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Public Legal Documents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Grievance Redressal Policy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How to raise a concern, and how Equator Resolution will handle it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Published legal documents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Draft for counsel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This is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draft for counsel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It must be reviewed and settled by qualified legal counsel and a Data Protection Officer, and localised to the entity's actual operations, before publication. It is not legal advice.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Our commitment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would rather hear from you than have you stay unhappy. This policy explains how to raise a concern about our service, our platform, a mediator, or how we have handled your personal data — and what we will do about it. Raising a grievance will never disadvantage your mediation.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What you can complain about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Service quality, delay, or a failure to follow the Rules of Mediation.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conduct, impartiality or competence of a mediator or member of staff.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Fees, invoicing or refunds.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Accessibility, language or reasonable adjustments.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Handling of your personal data (a data grievance under the DPDP Act, 2023).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Safety concerns about how a matter is being conducted.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What this policy </w:t>
      </w:r>
      <w:r>
        <w:rPr>
          <w:rFonts w:ascii="Calibri" w:hAnsi="Calibri"/>
          <w:b/>
          <w:i w:val="0"/>
          <w:color w:val="1B2A32"/>
          <w:sz w:val="21"/>
        </w:rPr>
        <w:t>cannot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do is change the outcome of a settlement you agreed, or act as an appeal against the merits of your dispute. It also cannot substitute for the police where there is a criminal matter or immediate danger.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How to raise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How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Stage 1 — Case Manager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Tell your case manager (email, phone or in the portal)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Manager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Acknowledge 2 working days; resolve 7 working days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Stage 2 — Grievance Officer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Escalate in writing to the Grievance Officer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Officer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Acknowledge 2 working days; decide 15 working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Stage 3 — Review Committee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Request an independent internal review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Review Committee (excludes anyone previously involved)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Decide 30 working days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External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Data Protection Board (data grievances); the Mediation Council of India (once constituted); the relevant professional body; consumer forum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External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As applicable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What we will do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Acknowledge promptly and give you a reference number and a named contact.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Investigate proportionately, fairly and confidentially, giving anyone complained about a chance to respond.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Keep you updated, and explain our decision and reasons in writing.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Put things right where we got it wrong — including an apology, corrective action, a fee adjustment, a change of mediator, or a process change.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Record the complaint and its outcome, and use the learning to improve.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Safety and urgent matters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If you are in danger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If there is a threat to your safety or a child's safety, contact the police immediately. Tell us as well and we will act urgently — including suspending a session, changing the process, or terminating the mediation.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Mediator conduct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complaint about a mediator is handled under the </w:t>
      </w:r>
      <w:r>
        <w:rPr>
          <w:rFonts w:ascii="Calibri" w:hAnsi="Calibri"/>
          <w:b/>
          <w:i w:val="0"/>
          <w:color w:val="1B2A32"/>
          <w:sz w:val="21"/>
        </w:rPr>
        <w:t>Empanelment Bye-laws</w:t>
      </w:r>
      <w:r>
        <w:rPr>
          <w:rFonts w:ascii="Calibri" w:hAnsi="Calibri"/>
          <w:b w:val="0"/>
          <w:i w:val="0"/>
          <w:color w:val="1B2A32"/>
          <w:sz w:val="21"/>
        </w:rPr>
        <w:t>. The mediator will be told the substance and given a chance to respond. Outcomes range from advice or further training to conditions, suspension or removal from the panel, and referral to a professional or statutory body.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7. Anonymous and third-party complaints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will consider anonymous complaints so far as we fairly can, though our ability to investigate and respond may be limited. A complaint may be made by a representative with your authority.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8. Contact and publication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Grievance Officer:</w:t>
      </w:r>
      <w:r>
        <w:rPr>
          <w:rFonts w:ascii="Calibri" w:hAnsi="Calibri"/>
          <w:b w:val="0"/>
          <w:i w:val="0"/>
          <w:color w:val="1B2A32"/>
          <w:sz w:val="21"/>
        </w:rPr>
        <w:t xml:space="preserve"> [name] · grievance@equatorresolution.com · [address] · [phone] · [hours]. We publish anonymised complaint volumes and themes in our annual report as part of our quality commitment.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851F8A-22FF-43AA-BB64-DFFD693343FF}"/>
</file>

<file path=customXml/itemProps3.xml><?xml version="1.0" encoding="utf-8"?>
<ds:datastoreItem xmlns:ds="http://schemas.openxmlformats.org/officeDocument/2006/customXml" ds:itemID="{92B536C7-E39A-4082-AFE0-399F957BF848}"/>
</file>

<file path=customXml/itemProps4.xml><?xml version="1.0" encoding="utf-8"?>
<ds:datastoreItem xmlns:ds="http://schemas.openxmlformats.org/officeDocument/2006/customXml" ds:itemID="{54AFA602-47D2-4461-BD5C-B150B0E2A0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