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University &amp; Academic Partnership Programme</w:t>
      </w:r>
    </w:p>
    <w:p>
      <w:pPr>
        <w:spacing w:after="280" w:line="276" w:lineRule="auto"/>
      </w:pPr>
      <w:r>
        <w:rPr>
          <w:rFonts w:ascii="Calibri" w:hAnsi="Calibri"/>
          <w:i/>
          <w:color w:val="3E6B8A"/>
          <w:sz w:val="25"/>
        </w:rPr>
        <w:t>The front door to the complete document architecture — strategy, contracting, commercials, curriculum, competitions, operations and governance</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EQ-UAP-000</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Programme index</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What this folder is</w:t>
      </w:r>
    </w:p>
    <w:p>
      <w:r>
        <w:t xml:space="preserve">This folder is the complete operating system for Equator Resolution's partnerships with universities, law schools and business schools across India. It contains every document required not only to </w:t>
      </w:r>
      <w:r>
        <w:rPr>
          <w:b/>
        </w:rPr>
        <w:t>sign</w:t>
      </w:r>
      <w:r>
        <w:t xml:space="preserve"> a collaboration, but to </w:t>
      </w:r>
      <w:r>
        <w:rPr>
          <w:b/>
        </w:rPr>
        <w:t>run, monetise, govern and exit</w:t>
      </w:r>
      <w:r>
        <w:t xml:space="preserve"> one.</w:t>
      </w:r>
    </w:p>
    <w:p>
      <w:r>
        <w:t xml:space="preserve">It sits alongside the five dispute-resolution verticals and the platform layer. Where those folders answer </w:t>
      </w:r>
      <w:r>
        <w:rPr>
          <w:i/>
        </w:rPr>
        <w:t>how Equator resolves disputes</w:t>
      </w:r>
      <w:r>
        <w:t xml:space="preserve">, this folder answers </w:t>
      </w:r>
      <w:r>
        <w:rPr>
          <w:i/>
        </w:rPr>
        <w:t>how Equator builds the talent pipeline, the credibility and the recurring revenue that make those verticals scale</w:t>
      </w:r>
      <w:r>
        <w:t>.</w:t>
      </w:r>
    </w:p>
    <w:p>
      <w:r>
        <w:t>The programme is delivered under two brands, deliberately separated: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708"/>
            <w:shd w:val="clear" w:color="auto" w:fill="10375C"/>
          </w:tcPr>
          <w:p>
            <w:pPr>
              <w:spacing w:after="50" w:before="50"/>
            </w:pPr>
            <w:r>
              <w:rPr>
                <w:b/>
                <w:color w:val="FFFFFF"/>
                <w:sz w:val="17"/>
              </w:rPr>
              <w:t>Entity</w:t>
            </w:r>
          </w:p>
        </w:tc>
        <w:tc>
          <w:tcPr>
            <w:tcW w:type="dxa" w:w="3880"/>
            <w:shd w:val="clear" w:color="auto" w:fill="10375C"/>
          </w:tcPr>
          <w:p>
            <w:pPr>
              <w:spacing w:after="50" w:before="50"/>
            </w:pPr>
            <w:r>
              <w:rPr>
                <w:b/>
                <w:color w:val="FFFFFF"/>
                <w:sz w:val="17"/>
              </w:rPr>
              <w:t>Role in this programme</w:t>
            </w:r>
          </w:p>
        </w:tc>
        <w:tc>
          <w:tcPr>
            <w:tcW w:type="dxa" w:w="3880"/>
            <w:shd w:val="clear" w:color="auto" w:fill="10375C"/>
          </w:tcPr>
          <w:p>
            <w:pPr>
              <w:spacing w:after="50" w:before="50"/>
            </w:pPr>
            <w:r>
              <w:rPr>
                <w:b/>
                <w:color w:val="FFFFFF"/>
                <w:sz w:val="17"/>
              </w:rPr>
              <w:t>What it signs</w:t>
            </w:r>
          </w:p>
        </w:tc>
      </w:tr>
      <w:tr>
        <w:tc>
          <w:tcPr>
            <w:tcW w:type="dxa" w:w="1708"/>
          </w:tcPr>
          <w:p>
            <w:pPr>
              <w:spacing w:after="50" w:before="50" w:line="252" w:lineRule="auto"/>
            </w:pPr>
            <w:r>
              <w:rPr>
                <w:b/>
                <w:sz w:val="17"/>
              </w:rPr>
              <w:t>Equator ADR Institute</w:t>
            </w:r>
          </w:p>
        </w:tc>
        <w:tc>
          <w:tcPr>
            <w:tcW w:type="dxa" w:w="3880"/>
          </w:tcPr>
          <w:p>
            <w:pPr>
              <w:spacing w:after="50" w:before="50" w:line="252" w:lineRule="auto"/>
            </w:pPr>
            <w:r>
              <w:rPr>
                <w:sz w:val="17"/>
              </w:rPr>
              <w:t>Academic, training and certification arm. The face of every campus engagement.</w:t>
            </w:r>
          </w:p>
        </w:tc>
        <w:tc>
          <w:tcPr>
            <w:tcW w:type="dxa" w:w="3880"/>
          </w:tcPr>
          <w:p>
            <w:pPr>
              <w:spacing w:after="50" w:before="50" w:line="252" w:lineRule="auto"/>
            </w:pPr>
            <w:r>
              <w:rPr>
                <w:sz w:val="17"/>
              </w:rPr>
              <w:t>MOUs, training agreements, curriculum licences, competition rules, research collaborations</w:t>
            </w:r>
          </w:p>
        </w:tc>
      </w:tr>
      <w:tr>
        <w:tc>
          <w:tcPr>
            <w:tcW w:type="dxa" w:w="1708"/>
            <w:shd w:val="clear" w:color="auto" w:fill="EAF1F4"/>
          </w:tcPr>
          <w:p>
            <w:pPr>
              <w:spacing w:after="50" w:before="50" w:line="252" w:lineRule="auto"/>
            </w:pPr>
            <w:r>
              <w:rPr>
                <w:b/>
                <w:sz w:val="17"/>
              </w:rPr>
              <w:t>Equator Resolution</w:t>
            </w:r>
          </w:p>
        </w:tc>
        <w:tc>
          <w:tcPr>
            <w:tcW w:type="dxa" w:w="3880"/>
            <w:shd w:val="clear" w:color="auto" w:fill="EAF1F4"/>
          </w:tcPr>
          <w:p>
            <w:pPr>
              <w:spacing w:after="50" w:before="50" w:line="252" w:lineRule="auto"/>
            </w:pPr>
            <w:r>
              <w:rPr>
                <w:sz w:val="17"/>
              </w:rPr>
              <w:t>Dispute-resolution services provider. Receives referred matters, empanels neutrals, employs graduates.</w:t>
            </w:r>
          </w:p>
        </w:tc>
        <w:tc>
          <w:tcPr>
            <w:tcW w:type="dxa" w:w="3880"/>
            <w:shd w:val="clear" w:color="auto" w:fill="EAF1F4"/>
          </w:tcPr>
          <w:p>
            <w:pPr>
              <w:spacing w:after="50" w:before="50" w:line="252" w:lineRule="auto"/>
            </w:pPr>
            <w:r>
              <w:rPr>
                <w:sz w:val="17"/>
              </w:rPr>
              <w:t>Empanelment agreements, case-referral protocols, commercial service contracts, employment offers</w:t>
            </w:r>
          </w:p>
        </w:tc>
      </w:tr>
    </w:tbl>
    <w:p>
      <w:pPr>
        <w:spacing w:after="80" w:before="0"/>
      </w:pPr>
    </w:p>
    <w:p>
      <w:r>
        <w:t xml:space="preserve">Keeping them separate matters. Universities engage far more readily with an </w:t>
      </w:r>
      <w:r>
        <w:rPr>
          <w:i/>
        </w:rPr>
        <w:t>institute</w:t>
      </w:r>
      <w:r>
        <w:t xml:space="preserve"> than with a </w:t>
      </w:r>
      <w:r>
        <w:rPr>
          <w:i/>
        </w:rPr>
        <w:t>services company</w:t>
      </w:r>
      <w:r>
        <w:t>, and the separation keeps neutrality arguments clean when a partner university later becomes a party to a dispute.</w:t>
      </w:r>
    </w:p>
    <w:p>
      <w:pPr>
        <w:spacing w:before="140" w:after="140"/>
        <w:ind w:left="198" w:right="113"/>
        <w:shd w:val="clear" w:color="auto" w:fill="EAF1F4"/>
        <w:pBdr>
          <w:left w:val="single" w:sz="18" w:space="6" w:color="0E7C7B"/>
        </w:pBdr>
      </w:pPr>
      <w:r>
        <w:rPr>
          <w:b/>
          <w:sz w:val="19"/>
        </w:rPr>
        <w:t>Not legal advice.</w:t>
      </w:r>
      <w:r>
        <w:rPr>
          <w:sz w:val="19"/>
        </w:rPr>
        <w:t xml:space="preserve"> Every document in this folder is a working draft. Nothing here may be executed, published or used with a real institution, student or party until it has been reviewed by qualified counsel and, where personal data is involved, by the Data Protection Officer. Every item marked </w:t>
      </w:r>
      <w:r>
        <w:rPr>
          <w:b/>
          <w:sz w:val="19"/>
        </w:rPr>
        <w:t>[verify]</w:t>
      </w:r>
      <w:r>
        <w:rPr>
          <w:sz w:val="19"/>
        </w:rPr>
        <w:t xml:space="preserve"> must be cleared in the Master Legal Sign-off Register before go-live.</w:t>
      </w:r>
    </w:p>
    <w:p>
      <w:pPr>
        <w:spacing w:before="80" w:after="160"/>
        <w:pBdr>
          <w:bottom w:val="single" w:sz="6" w:space="1" w:color="C9D6DE"/>
        </w:pBdr>
      </w:pPr>
    </w:p>
    <w:p>
      <w:pPr>
        <w:pStyle w:val="Heading1"/>
        <w:pBdr>
          <w:bottom w:val="single" w:sz="8" w:space="4" w:color="C9D6DE"/>
        </w:pBdr>
      </w:pPr>
      <w:r>
        <w:t>The architecture at a glance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742"/>
            <w:shd w:val="clear" w:color="auto" w:fill="10375C"/>
          </w:tcPr>
          <w:p>
            <w:pPr>
              <w:spacing w:after="50" w:before="50"/>
            </w:pPr>
            <w:r>
              <w:rPr>
                <w:b/>
                <w:color w:val="FFFFFF"/>
                <w:sz w:val="17"/>
              </w:rPr>
              <w:t>Folder</w:t>
            </w:r>
          </w:p>
        </w:tc>
        <w:tc>
          <w:tcPr>
            <w:tcW w:type="dxa" w:w="3722"/>
            <w:shd w:val="clear" w:color="auto" w:fill="10375C"/>
          </w:tcPr>
          <w:p>
            <w:pPr>
              <w:spacing w:after="50" w:before="50"/>
            </w:pPr>
            <w:r>
              <w:rPr>
                <w:b/>
                <w:color w:val="FFFFFF"/>
                <w:sz w:val="17"/>
              </w:rPr>
              <w:t>What it does</w:t>
            </w:r>
          </w:p>
        </w:tc>
        <w:tc>
          <w:tcPr>
            <w:tcW w:type="dxa" w:w="3003"/>
            <w:shd w:val="clear" w:color="auto" w:fill="10375C"/>
          </w:tcPr>
          <w:p>
            <w:pPr>
              <w:spacing w:after="50" w:before="50"/>
            </w:pPr>
            <w:r>
              <w:rPr>
                <w:b/>
                <w:color w:val="FFFFFF"/>
                <w:sz w:val="17"/>
              </w:rPr>
              <w:t>When you reach for it</w:t>
            </w:r>
          </w:p>
        </w:tc>
      </w:tr>
      <w:tr>
        <w:tc>
          <w:tcPr>
            <w:tcW w:type="dxa" w:w="2742"/>
          </w:tcPr>
          <w:p>
            <w:pPr>
              <w:spacing w:after="50" w:before="50" w:line="252" w:lineRule="auto"/>
            </w:pPr>
            <w:r>
              <w:rPr>
                <w:b/>
                <w:sz w:val="17"/>
              </w:rPr>
              <w:t>01 Strategy &amp; Business Case</w:t>
            </w:r>
          </w:p>
        </w:tc>
        <w:tc>
          <w:tcPr>
            <w:tcW w:type="dxa" w:w="3722"/>
          </w:tcPr>
          <w:p>
            <w:pPr>
              <w:spacing w:after="50" w:before="50" w:line="252" w:lineRule="auto"/>
            </w:pPr>
            <w:r>
              <w:rPr>
                <w:sz w:val="17"/>
              </w:rPr>
              <w:t>Why we do this, which institutions we target, how we score them, who decides what</w:t>
            </w:r>
          </w:p>
        </w:tc>
        <w:tc>
          <w:tcPr>
            <w:tcW w:type="dxa" w:w="3003"/>
          </w:tcPr>
          <w:p>
            <w:pPr>
              <w:spacing w:after="50" w:before="50" w:line="252" w:lineRule="auto"/>
            </w:pPr>
            <w:r>
              <w:rPr>
                <w:sz w:val="17"/>
              </w:rPr>
              <w:t>Before approaching anyone</w:t>
            </w:r>
          </w:p>
        </w:tc>
      </w:tr>
      <w:tr>
        <w:tc>
          <w:tcPr>
            <w:tcW w:type="dxa" w:w="2742"/>
            <w:shd w:val="clear" w:color="auto" w:fill="EAF1F4"/>
          </w:tcPr>
          <w:p>
            <w:pPr>
              <w:spacing w:after="50" w:before="50" w:line="252" w:lineRule="auto"/>
            </w:pPr>
            <w:r>
              <w:rPr>
                <w:b/>
                <w:sz w:val="17"/>
              </w:rPr>
              <w:t>02 Outreach &amp; Business Development</w:t>
            </w:r>
          </w:p>
        </w:tc>
        <w:tc>
          <w:tcPr>
            <w:tcW w:type="dxa" w:w="3722"/>
            <w:shd w:val="clear" w:color="auto" w:fill="EAF1F4"/>
          </w:tcPr>
          <w:p>
            <w:pPr>
              <w:spacing w:after="50" w:before="50" w:line="252" w:lineRule="auto"/>
            </w:pPr>
            <w:r>
              <w:rPr>
                <w:sz w:val="17"/>
              </w:rPr>
              <w:t>Letters, proposals, capability statement, email sequences, discovery questions, objection handling</w:t>
            </w:r>
          </w:p>
        </w:tc>
        <w:tc>
          <w:tcPr>
            <w:tcW w:type="dxa" w:w="3003"/>
            <w:shd w:val="clear" w:color="auto" w:fill="EAF1F4"/>
          </w:tcPr>
          <w:p>
            <w:pPr>
              <w:spacing w:after="50" w:before="50" w:line="252" w:lineRule="auto"/>
            </w:pPr>
            <w:r>
              <w:rPr>
                <w:sz w:val="17"/>
              </w:rPr>
              <w:t>First contact to signed term sheet</w:t>
            </w:r>
          </w:p>
        </w:tc>
      </w:tr>
      <w:tr>
        <w:tc>
          <w:tcPr>
            <w:tcW w:type="dxa" w:w="2742"/>
          </w:tcPr>
          <w:p>
            <w:pPr>
              <w:spacing w:after="50" w:before="50" w:line="252" w:lineRule="auto"/>
            </w:pPr>
            <w:r>
              <w:rPr>
                <w:b/>
                <w:sz w:val="17"/>
              </w:rPr>
              <w:t>03 Contracting &amp; Legal</w:t>
            </w:r>
          </w:p>
        </w:tc>
        <w:tc>
          <w:tcPr>
            <w:tcW w:type="dxa" w:w="3722"/>
          </w:tcPr>
          <w:p>
            <w:pPr>
              <w:spacing w:after="50" w:before="50" w:line="252" w:lineRule="auto"/>
            </w:pPr>
            <w:r>
              <w:rPr>
                <w:sz w:val="17"/>
              </w:rPr>
              <w:t>Master MOU with eight schedules, NDA, DPDP addendum, trainer and empanelment agreements, internship agreement, consents, sponsorship, clause bank and negotiation playbook</w:t>
            </w:r>
          </w:p>
        </w:tc>
        <w:tc>
          <w:tcPr>
            <w:tcW w:type="dxa" w:w="3003"/>
          </w:tcPr>
          <w:p>
            <w:pPr>
              <w:spacing w:after="50" w:before="50" w:line="252" w:lineRule="auto"/>
            </w:pPr>
            <w:r>
              <w:rPr>
                <w:sz w:val="17"/>
              </w:rPr>
              <w:t>Term sheet to signature</w:t>
            </w:r>
          </w:p>
        </w:tc>
      </w:tr>
      <w:tr>
        <w:tc>
          <w:tcPr>
            <w:tcW w:type="dxa" w:w="2742"/>
            <w:shd w:val="clear" w:color="auto" w:fill="EAF1F4"/>
          </w:tcPr>
          <w:p>
            <w:pPr>
              <w:spacing w:after="50" w:before="50" w:line="252" w:lineRule="auto"/>
            </w:pPr>
            <w:r>
              <w:rPr>
                <w:b/>
                <w:sz w:val="17"/>
              </w:rPr>
              <w:t>04 Commercial &amp; Financial</w:t>
            </w:r>
          </w:p>
        </w:tc>
        <w:tc>
          <w:tcPr>
            <w:tcW w:type="dxa" w:w="3722"/>
            <w:shd w:val="clear" w:color="auto" w:fill="EAF1F4"/>
          </w:tcPr>
          <w:p>
            <w:pPr>
              <w:spacing w:after="50" w:before="50" w:line="252" w:lineRule="auto"/>
            </w:pPr>
            <w:r>
              <w:rPr>
                <w:sz w:val="17"/>
              </w:rPr>
              <w:t>Pricing policy, rate card, unit economics, revenue-share mechanics, event budgeting, GST and invoicing, sponsorship prospectus, financial model</w:t>
            </w:r>
          </w:p>
        </w:tc>
        <w:tc>
          <w:tcPr>
            <w:tcW w:type="dxa" w:w="3003"/>
            <w:shd w:val="clear" w:color="auto" w:fill="EAF1F4"/>
          </w:tcPr>
          <w:p>
            <w:pPr>
              <w:spacing w:after="50" w:before="50" w:line="252" w:lineRule="auto"/>
            </w:pPr>
            <w:r>
              <w:rPr>
                <w:sz w:val="17"/>
              </w:rPr>
              <w:t>Throughout — this is where the money is defined</w:t>
            </w:r>
          </w:p>
        </w:tc>
      </w:tr>
      <w:tr>
        <w:tc>
          <w:tcPr>
            <w:tcW w:type="dxa" w:w="2742"/>
          </w:tcPr>
          <w:p>
            <w:pPr>
              <w:spacing w:after="50" w:before="50" w:line="252" w:lineRule="auto"/>
            </w:pPr>
            <w:r>
              <w:rPr>
                <w:b/>
                <w:sz w:val="17"/>
              </w:rPr>
              <w:t>05 Programme Design &amp; Curriculum</w:t>
            </w:r>
          </w:p>
        </w:tc>
        <w:tc>
          <w:tcPr>
            <w:tcW w:type="dxa" w:w="3722"/>
          </w:tcPr>
          <w:p>
            <w:pPr>
              <w:spacing w:after="50" w:before="50" w:line="252" w:lineRule="auto"/>
            </w:pPr>
            <w:r>
              <w:rPr>
                <w:sz w:val="17"/>
              </w:rPr>
              <w:t>Master programme catalogue, 40-hour and 20-hour curricula, FDP, workshop compendium, credit-bearing certificate design, assessment policy, trainer manual</w:t>
            </w:r>
          </w:p>
        </w:tc>
        <w:tc>
          <w:tcPr>
            <w:tcW w:type="dxa" w:w="3003"/>
          </w:tcPr>
          <w:p>
            <w:pPr>
              <w:spacing w:after="50" w:before="50" w:line="252" w:lineRule="auto"/>
            </w:pPr>
            <w:r>
              <w:rPr>
                <w:sz w:val="17"/>
              </w:rPr>
              <w:t>Designing and delivering what we sell</w:t>
            </w:r>
          </w:p>
        </w:tc>
      </w:tr>
      <w:tr>
        <w:tc>
          <w:tcPr>
            <w:tcW w:type="dxa" w:w="2742"/>
            <w:shd w:val="clear" w:color="auto" w:fill="EAF1F4"/>
          </w:tcPr>
          <w:p>
            <w:pPr>
              <w:spacing w:after="50" w:before="50" w:line="252" w:lineRule="auto"/>
            </w:pPr>
            <w:r>
              <w:rPr>
                <w:b/>
                <w:sz w:val="17"/>
              </w:rPr>
              <w:t>06 Competitions</w:t>
            </w:r>
          </w:p>
        </w:tc>
        <w:tc>
          <w:tcPr>
            <w:tcW w:type="dxa" w:w="3722"/>
            <w:shd w:val="clear" w:color="auto" w:fill="EAF1F4"/>
          </w:tcPr>
          <w:p>
            <w:pPr>
              <w:spacing w:after="50" w:before="50" w:line="252" w:lineRule="auto"/>
            </w:pPr>
            <w:r>
              <w:rPr>
                <w:sz w:val="17"/>
              </w:rPr>
              <w:t>Competition framework, official rules, a complete mediation competition problem with confidential briefs, scoresheets, judge calibration, operations manual, team handbook, arbitration moot and negotiation problems</w:t>
            </w:r>
          </w:p>
        </w:tc>
        <w:tc>
          <w:tcPr>
            <w:tcW w:type="dxa" w:w="3003"/>
            <w:shd w:val="clear" w:color="auto" w:fill="EAF1F4"/>
          </w:tcPr>
          <w:p>
            <w:pPr>
              <w:spacing w:after="50" w:before="50" w:line="252" w:lineRule="auto"/>
            </w:pPr>
            <w:r>
              <w:rPr>
                <w:sz w:val="17"/>
              </w:rPr>
              <w:t>Running any competition</w:t>
            </w:r>
          </w:p>
        </w:tc>
      </w:tr>
      <w:tr>
        <w:tc>
          <w:tcPr>
            <w:tcW w:type="dxa" w:w="2742"/>
          </w:tcPr>
          <w:p>
            <w:pPr>
              <w:spacing w:after="50" w:before="50" w:line="252" w:lineRule="auto"/>
            </w:pPr>
            <w:r>
              <w:rPr>
                <w:b/>
                <w:sz w:val="17"/>
              </w:rPr>
              <w:t>07 Operations &amp; SOPs</w:t>
            </w:r>
          </w:p>
        </w:tc>
        <w:tc>
          <w:tcPr>
            <w:tcW w:type="dxa" w:w="3722"/>
          </w:tcPr>
          <w:p>
            <w:pPr>
              <w:spacing w:after="50" w:before="50" w:line="252" w:lineRule="auto"/>
            </w:pPr>
            <w:r>
              <w:rPr>
                <w:sz w:val="17"/>
              </w:rPr>
              <w:t>Onboarding, internships, training delivery, event management, campus mediation cell manual, live clinic, quality assurance, risk register, ethics and safeguarding</w:t>
            </w:r>
          </w:p>
        </w:tc>
        <w:tc>
          <w:tcPr>
            <w:tcW w:type="dxa" w:w="3003"/>
          </w:tcPr>
          <w:p>
            <w:pPr>
              <w:spacing w:after="50" w:before="50" w:line="252" w:lineRule="auto"/>
            </w:pPr>
            <w:r>
              <w:rPr>
                <w:sz w:val="17"/>
              </w:rPr>
              <w:t>Day-to-day execution</w:t>
            </w:r>
          </w:p>
        </w:tc>
      </w:tr>
      <w:tr>
        <w:tc>
          <w:tcPr>
            <w:tcW w:type="dxa" w:w="2742"/>
            <w:shd w:val="clear" w:color="auto" w:fill="EAF1F4"/>
          </w:tcPr>
          <w:p>
            <w:pPr>
              <w:spacing w:after="50" w:before="50" w:line="252" w:lineRule="auto"/>
            </w:pPr>
            <w:r>
              <w:rPr>
                <w:b/>
                <w:sz w:val="17"/>
              </w:rPr>
              <w:t>08 Research &amp; Knowledge</w:t>
            </w:r>
          </w:p>
        </w:tc>
        <w:tc>
          <w:tcPr>
            <w:tcW w:type="dxa" w:w="3722"/>
            <w:shd w:val="clear" w:color="auto" w:fill="EAF1F4"/>
          </w:tcPr>
          <w:p>
            <w:pPr>
              <w:spacing w:after="50" w:before="50" w:line="252" w:lineRule="auto"/>
            </w:pPr>
            <w:r>
              <w:rPr>
                <w:sz w:val="17"/>
              </w:rPr>
              <w:t>Research collaboration framework, authorship and IP policy, research ethics and data protocol</w:t>
            </w:r>
          </w:p>
        </w:tc>
        <w:tc>
          <w:tcPr>
            <w:tcW w:type="dxa" w:w="3003"/>
            <w:shd w:val="clear" w:color="auto" w:fill="EAF1F4"/>
          </w:tcPr>
          <w:p>
            <w:pPr>
              <w:spacing w:after="50" w:before="50" w:line="252" w:lineRule="auto"/>
            </w:pPr>
            <w:r>
              <w:rPr>
                <w:sz w:val="17"/>
              </w:rPr>
              <w:t>Joint publications and empirical work</w:t>
            </w:r>
          </w:p>
        </w:tc>
      </w:tr>
      <w:tr>
        <w:tc>
          <w:tcPr>
            <w:tcW w:type="dxa" w:w="2742"/>
          </w:tcPr>
          <w:p>
            <w:pPr>
              <w:spacing w:after="50" w:before="50" w:line="252" w:lineRule="auto"/>
            </w:pPr>
            <w:r>
              <w:rPr>
                <w:b/>
                <w:sz w:val="17"/>
              </w:rPr>
              <w:t>09 Brand, Marketing &amp; Communications</w:t>
            </w:r>
          </w:p>
        </w:tc>
        <w:tc>
          <w:tcPr>
            <w:tcW w:type="dxa" w:w="3722"/>
          </w:tcPr>
          <w:p>
            <w:pPr>
              <w:spacing w:after="50" w:before="50" w:line="252" w:lineRule="auto"/>
            </w:pPr>
            <w:r>
              <w:rPr>
                <w:sz w:val="17"/>
              </w:rPr>
              <w:t>Co-branding rules, social media playbook and content calendar, press kit, student ambassador handbook</w:t>
            </w:r>
          </w:p>
        </w:tc>
        <w:tc>
          <w:tcPr>
            <w:tcW w:type="dxa" w:w="3003"/>
          </w:tcPr>
          <w:p>
            <w:pPr>
              <w:spacing w:after="50" w:before="50" w:line="252" w:lineRule="auto"/>
            </w:pPr>
            <w:r>
              <w:rPr>
                <w:sz w:val="17"/>
              </w:rPr>
              <w:t>Anything public-facing</w:t>
            </w:r>
          </w:p>
        </w:tc>
      </w:tr>
      <w:tr>
        <w:tc>
          <w:tcPr>
            <w:tcW w:type="dxa" w:w="2742"/>
            <w:shd w:val="clear" w:color="auto" w:fill="EAF1F4"/>
          </w:tcPr>
          <w:p>
            <w:pPr>
              <w:spacing w:after="50" w:before="50" w:line="252" w:lineRule="auto"/>
            </w:pPr>
            <w:r>
              <w:rPr>
                <w:b/>
                <w:sz w:val="17"/>
              </w:rPr>
              <w:t>10 Governance, Monitoring &amp; Reporting</w:t>
            </w:r>
          </w:p>
        </w:tc>
        <w:tc>
          <w:tcPr>
            <w:tcW w:type="dxa" w:w="3722"/>
            <w:shd w:val="clear" w:color="auto" w:fill="EAF1F4"/>
          </w:tcPr>
          <w:p>
            <w:pPr>
              <w:spacing w:after="50" w:before="50" w:line="252" w:lineRule="auto"/>
            </w:pPr>
            <w:r>
              <w:rPr>
                <w:sz w:val="17"/>
              </w:rPr>
              <w:t>Steering committee charter, KPI framework and scorecard, annual review template, renewal and exit SOP</w:t>
            </w:r>
          </w:p>
        </w:tc>
        <w:tc>
          <w:tcPr>
            <w:tcW w:type="dxa" w:w="3003"/>
            <w:shd w:val="clear" w:color="auto" w:fill="EAF1F4"/>
          </w:tcPr>
          <w:p>
            <w:pPr>
              <w:spacing w:after="50" w:before="50" w:line="252" w:lineRule="auto"/>
            </w:pPr>
            <w:r>
              <w:rPr>
                <w:sz w:val="17"/>
              </w:rPr>
              <w:t>Keeping partnerships alive and accountable</w:t>
            </w:r>
          </w:p>
        </w:tc>
      </w:tr>
      <w:tr>
        <w:tc>
          <w:tcPr>
            <w:tcW w:type="dxa" w:w="2742"/>
          </w:tcPr>
          <w:p>
            <w:pPr>
              <w:spacing w:after="50" w:before="50" w:line="252" w:lineRule="auto"/>
            </w:pPr>
            <w:r>
              <w:rPr>
                <w:b/>
                <w:sz w:val="17"/>
              </w:rPr>
              <w:t>11 Forms, Checklists &amp; Registers</w:t>
            </w:r>
          </w:p>
        </w:tc>
        <w:tc>
          <w:tcPr>
            <w:tcW w:type="dxa" w:w="3722"/>
          </w:tcPr>
          <w:p>
            <w:pPr>
              <w:spacing w:after="50" w:before="50" w:line="252" w:lineRule="auto"/>
            </w:pPr>
            <w:r>
              <w:rPr>
                <w:sz w:val="17"/>
              </w:rPr>
              <w:t>Every form, checklist, certificate template and tracker referenced elsewhere</w:t>
            </w:r>
          </w:p>
        </w:tc>
        <w:tc>
          <w:tcPr>
            <w:tcW w:type="dxa" w:w="3003"/>
          </w:tcPr>
          <w:p>
            <w:pPr>
              <w:spacing w:after="50" w:before="50" w:line="252" w:lineRule="auto"/>
            </w:pPr>
            <w:r>
              <w:rPr>
                <w:sz w:val="17"/>
              </w:rPr>
              <w:t>Constantly</w:t>
            </w:r>
          </w:p>
        </w:tc>
      </w:tr>
      <w:tr>
        <w:tc>
          <w:tcPr>
            <w:tcW w:type="dxa" w:w="2742"/>
            <w:shd w:val="clear" w:color="auto" w:fill="EAF1F4"/>
          </w:tcPr>
          <w:p>
            <w:pPr>
              <w:spacing w:after="50" w:before="50" w:line="252" w:lineRule="auto"/>
            </w:pPr>
            <w:r>
              <w:rPr>
                <w:b/>
                <w:sz w:val="17"/>
              </w:rPr>
              <w:t>12 Organisation &amp; Resourcing</w:t>
            </w:r>
          </w:p>
        </w:tc>
        <w:tc>
          <w:tcPr>
            <w:tcW w:type="dxa" w:w="3722"/>
            <w:shd w:val="clear" w:color="auto" w:fill="EAF1F4"/>
          </w:tcPr>
          <w:p>
            <w:pPr>
              <w:spacing w:after="50" w:before="50" w:line="252" w:lineRule="auto"/>
            </w:pPr>
            <w:r>
              <w:rPr>
                <w:sz w:val="17"/>
              </w:rPr>
              <w:t>Organisation design, eleven role descriptions, hiring plan with triggers, and the year 1 operating budget</w:t>
            </w:r>
          </w:p>
        </w:tc>
        <w:tc>
          <w:tcPr>
            <w:tcW w:type="dxa" w:w="3003"/>
            <w:shd w:val="clear" w:color="auto" w:fill="EAF1F4"/>
          </w:tcPr>
          <w:p>
            <w:pPr>
              <w:spacing w:after="50" w:before="50" w:line="252" w:lineRule="auto"/>
            </w:pPr>
            <w:r>
              <w:rPr>
                <w:sz w:val="17"/>
              </w:rPr>
              <w:t>Deciding who to hire, and when</w:t>
            </w:r>
          </w:p>
        </w:tc>
      </w:tr>
      <w:tr>
        <w:tc>
          <w:tcPr>
            <w:tcW w:type="dxa" w:w="2742"/>
          </w:tcPr>
          <w:p>
            <w:pPr>
              <w:spacing w:after="50" w:before="50" w:line="252" w:lineRule="auto"/>
            </w:pPr>
            <w:r>
              <w:rPr>
                <w:b/>
                <w:sz w:val="17"/>
              </w:rPr>
              <w:t>13 Platform, Technology &amp; ODR</w:t>
            </w:r>
          </w:p>
        </w:tc>
        <w:tc>
          <w:tcPr>
            <w:tcW w:type="dxa" w:w="3722"/>
          </w:tcPr>
          <w:p>
            <w:pPr>
              <w:spacing w:after="50" w:before="50" w:line="252" w:lineRule="auto"/>
            </w:pPr>
            <w:r>
              <w:rPr>
                <w:sz w:val="17"/>
              </w:rPr>
              <w:t>Connecting the academic programme to Equator's platform layer — student access, campus cell tooling, certification verification, ODR pilots, research pipeline</w:t>
            </w:r>
          </w:p>
        </w:tc>
        <w:tc>
          <w:tcPr>
            <w:tcW w:type="dxa" w:w="3003"/>
          </w:tcPr>
          <w:p>
            <w:pPr>
              <w:spacing w:after="50" w:before="50" w:line="252" w:lineRule="auto"/>
            </w:pPr>
            <w:r>
              <w:rPr>
                <w:sz w:val="17"/>
              </w:rPr>
              <w:t>Building the defence a training provider cannot copy</w:t>
            </w:r>
          </w:p>
        </w:tc>
      </w:tr>
    </w:tbl>
    <w:p>
      <w:pPr>
        <w:spacing w:after="80" w:before="0"/>
      </w:pPr>
    </w:p>
    <w:p>
      <w:pPr>
        <w:spacing w:before="80" w:after="160"/>
        <w:pBdr>
          <w:bottom w:val="single" w:sz="6" w:space="1" w:color="C9D6DE"/>
        </w:pBdr>
      </w:pPr>
    </w:p>
    <w:p>
      <w:pPr>
        <w:pStyle w:val="Heading1"/>
        <w:pBdr>
          <w:bottom w:val="single" w:sz="8" w:space="4" w:color="C9D6DE"/>
        </w:pBdr>
      </w:pPr>
      <w:r>
        <w:t>Read these four first</w:t>
      </w:r>
    </w:p>
    <w:p>
      <w:r>
        <w:t>The set is large. If you read nothing else, read these, in this order.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t>
            </w:r>
          </w:p>
        </w:tc>
        <w:tc>
          <w:tcPr>
            <w:tcW w:type="dxa" w:w="4414"/>
            <w:shd w:val="clear" w:color="auto" w:fill="10375C"/>
          </w:tcPr>
          <w:p>
            <w:pPr>
              <w:spacing w:after="50" w:before="50"/>
            </w:pPr>
            <w:r>
              <w:rPr>
                <w:b/>
                <w:color w:val="FFFFFF"/>
                <w:sz w:val="17"/>
              </w:rPr>
              <w:t>Document</w:t>
            </w:r>
          </w:p>
        </w:tc>
        <w:tc>
          <w:tcPr>
            <w:tcW w:type="dxa" w:w="4594"/>
            <w:shd w:val="clear" w:color="auto" w:fill="10375C"/>
          </w:tcPr>
          <w:p>
            <w:pPr>
              <w:spacing w:after="50" w:before="50"/>
            </w:pPr>
            <w:r>
              <w:rPr>
                <w:b/>
                <w:color w:val="FFFFFF"/>
                <w:sz w:val="17"/>
              </w:rPr>
              <w:t>Why</w:t>
            </w:r>
          </w:p>
        </w:tc>
      </w:tr>
      <w:tr>
        <w:tc>
          <w:tcPr>
            <w:tcW w:type="dxa" w:w="850"/>
          </w:tcPr>
          <w:p>
            <w:pPr>
              <w:spacing w:after="50" w:before="50" w:line="252" w:lineRule="auto"/>
            </w:pPr>
            <w:r>
              <w:rPr>
                <w:sz w:val="17"/>
              </w:rPr>
              <w:t>1</w:t>
            </w:r>
          </w:p>
        </w:tc>
        <w:tc>
          <w:tcPr>
            <w:tcW w:type="dxa" w:w="4414"/>
          </w:tcPr>
          <w:p>
            <w:pPr>
              <w:spacing w:after="50" w:before="50" w:line="252" w:lineRule="auto"/>
            </w:pPr>
            <w:r>
              <w:rPr>
                <w:b/>
                <w:sz w:val="17"/>
              </w:rPr>
              <w:t>01.6 Revised Go-to-Market Sequencing &amp; Lean Year 1 Plan</w:t>
            </w:r>
          </w:p>
        </w:tc>
        <w:tc>
          <w:tcPr>
            <w:tcW w:type="dxa" w:w="4594"/>
          </w:tcPr>
          <w:p>
            <w:pPr>
              <w:spacing w:after="50" w:before="50" w:line="252" w:lineRule="auto"/>
            </w:pPr>
            <w:r>
              <w:rPr>
                <w:sz w:val="17"/>
              </w:rPr>
              <w:t>It supersedes the sequencing in 01.1 and the portfolio view in 04.2. The original plan led with the worst revenue line in the model</w:t>
            </w:r>
          </w:p>
        </w:tc>
      </w:tr>
      <w:tr>
        <w:tc>
          <w:tcPr>
            <w:tcW w:type="dxa" w:w="850"/>
            <w:shd w:val="clear" w:color="auto" w:fill="EAF1F4"/>
          </w:tcPr>
          <w:p>
            <w:pPr>
              <w:spacing w:after="50" w:before="50" w:line="252" w:lineRule="auto"/>
            </w:pPr>
            <w:r>
              <w:rPr>
                <w:sz w:val="17"/>
              </w:rPr>
              <w:t>2</w:t>
            </w:r>
          </w:p>
        </w:tc>
        <w:tc>
          <w:tcPr>
            <w:tcW w:type="dxa" w:w="4414"/>
            <w:shd w:val="clear" w:color="auto" w:fill="EAF1F4"/>
          </w:tcPr>
          <w:p>
            <w:pPr>
              <w:spacing w:after="50" w:before="50" w:line="252" w:lineRule="auto"/>
            </w:pPr>
            <w:r>
              <w:rPr>
                <w:b/>
                <w:sz w:val="17"/>
              </w:rPr>
              <w:t>04.2 Unit Economics &amp; Partnership ROI Framework</w:t>
            </w:r>
          </w:p>
        </w:tc>
        <w:tc>
          <w:tcPr>
            <w:tcW w:type="dxa" w:w="4594"/>
            <w:shd w:val="clear" w:color="auto" w:fill="EAF1F4"/>
          </w:tcPr>
          <w:p>
            <w:pPr>
              <w:spacing w:after="50" w:before="50" w:line="252" w:lineRule="auto"/>
            </w:pPr>
            <w:r>
              <w:rPr>
                <w:sz w:val="17"/>
              </w:rPr>
              <w:t>Section 2.2 contains the number that governs every delivery decision: the same student course earns 29.8% locally and 6.1% with outstation trainers</w:t>
            </w:r>
          </w:p>
        </w:tc>
      </w:tr>
      <w:tr>
        <w:tc>
          <w:tcPr>
            <w:tcW w:type="dxa" w:w="850"/>
          </w:tcPr>
          <w:p>
            <w:pPr>
              <w:spacing w:after="50" w:before="50" w:line="252" w:lineRule="auto"/>
            </w:pPr>
            <w:r>
              <w:rPr>
                <w:sz w:val="17"/>
              </w:rPr>
              <w:t>3</w:t>
            </w:r>
          </w:p>
        </w:tc>
        <w:tc>
          <w:tcPr>
            <w:tcW w:type="dxa" w:w="4414"/>
          </w:tcPr>
          <w:p>
            <w:pPr>
              <w:spacing w:after="50" w:before="50" w:line="252" w:lineRule="auto"/>
            </w:pPr>
            <w:r>
              <w:rPr>
                <w:b/>
                <w:sz w:val="17"/>
              </w:rPr>
              <w:t>07.11 Trainer Bench</w:t>
            </w:r>
          </w:p>
        </w:tc>
        <w:tc>
          <w:tcPr>
            <w:tcW w:type="dxa" w:w="4594"/>
          </w:tcPr>
          <w:p>
            <w:pPr>
              <w:spacing w:after="50" w:before="50" w:line="252" w:lineRule="auto"/>
            </w:pPr>
            <w:r>
              <w:rPr>
                <w:sz w:val="17"/>
              </w:rPr>
              <w:t>The binding constraint on everything. No bench, no student delivery, no scale</w:t>
            </w:r>
          </w:p>
        </w:tc>
      </w:tr>
      <w:tr>
        <w:tc>
          <w:tcPr>
            <w:tcW w:type="dxa" w:w="850"/>
            <w:shd w:val="clear" w:color="auto" w:fill="EAF1F4"/>
          </w:tcPr>
          <w:p>
            <w:pPr>
              <w:spacing w:after="50" w:before="50" w:line="252" w:lineRule="auto"/>
            </w:pPr>
            <w:r>
              <w:rPr>
                <w:sz w:val="17"/>
              </w:rPr>
              <w:t>4</w:t>
            </w:r>
          </w:p>
        </w:tc>
        <w:tc>
          <w:tcPr>
            <w:tcW w:type="dxa" w:w="4414"/>
            <w:shd w:val="clear" w:color="auto" w:fill="EAF1F4"/>
          </w:tcPr>
          <w:p>
            <w:pPr>
              <w:spacing w:after="50" w:before="50" w:line="252" w:lineRule="auto"/>
            </w:pPr>
            <w:r>
              <w:rPr>
                <w:b/>
                <w:sz w:val="17"/>
              </w:rPr>
              <w:t>01.7 Competitive Landscape &amp; Battlecards</w:t>
            </w:r>
          </w:p>
        </w:tc>
        <w:tc>
          <w:tcPr>
            <w:tcW w:type="dxa" w:w="4594"/>
            <w:shd w:val="clear" w:color="auto" w:fill="EAF1F4"/>
          </w:tcPr>
          <w:p>
            <w:pPr>
              <w:spacing w:after="50" w:before="50" w:line="252" w:lineRule="auto"/>
            </w:pPr>
            <w:r>
              <w:rPr>
                <w:sz w:val="17"/>
              </w:rPr>
              <w:t>The leading law schools are largely already partnered. Section 1 changes who to approach</w:t>
            </w:r>
          </w:p>
        </w:tc>
      </w:tr>
    </w:tbl>
    <w:p>
      <w:pPr>
        <w:spacing w:after="80" w:before="0"/>
      </w:pPr>
    </w:p>
    <w:p>
      <w:pPr>
        <w:spacing w:before="80" w:after="160"/>
        <w:pBdr>
          <w:bottom w:val="single" w:sz="6" w:space="1" w:color="C9D6DE"/>
        </w:pBdr>
      </w:pPr>
    </w:p>
    <w:p>
      <w:pPr>
        <w:pStyle w:val="Heading1"/>
        <w:pBdr>
          <w:bottom w:val="single" w:sz="8" w:space="4" w:color="C9D6DE"/>
        </w:pBdr>
      </w:pPr>
      <w:r>
        <w:t>The three-outcome test</w:t>
      </w:r>
    </w:p>
    <w:p>
      <w:r>
        <w:t>No activity enters a partnership unless it delivers at least one of these. Every schedule, budget line and KPI in this folder traces back to one of them.</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144"/>
            <w:shd w:val="clear" w:color="auto" w:fill="10375C"/>
          </w:tcPr>
          <w:p>
            <w:pPr>
              <w:spacing w:after="50" w:before="50"/>
            </w:pPr>
            <w:r>
              <w:rPr>
                <w:b/>
                <w:color w:val="FFFFFF"/>
                <w:sz w:val="17"/>
              </w:rPr>
              <w:t>Outcome</w:t>
            </w:r>
          </w:p>
        </w:tc>
        <w:tc>
          <w:tcPr>
            <w:tcW w:type="dxa" w:w="4162"/>
            <w:shd w:val="clear" w:color="auto" w:fill="10375C"/>
          </w:tcPr>
          <w:p>
            <w:pPr>
              <w:spacing w:after="50" w:before="50"/>
            </w:pPr>
            <w:r>
              <w:rPr>
                <w:b/>
                <w:color w:val="FFFFFF"/>
                <w:sz w:val="17"/>
              </w:rPr>
              <w:t>What it means</w:t>
            </w:r>
          </w:p>
        </w:tc>
        <w:tc>
          <w:tcPr>
            <w:tcW w:type="dxa" w:w="4162"/>
            <w:shd w:val="clear" w:color="auto" w:fill="10375C"/>
          </w:tcPr>
          <w:p>
            <w:pPr>
              <w:spacing w:after="50" w:before="50"/>
            </w:pPr>
            <w:r>
              <w:rPr>
                <w:b/>
                <w:color w:val="FFFFFF"/>
                <w:sz w:val="17"/>
              </w:rPr>
              <w:t>How it is measured</w:t>
            </w:r>
          </w:p>
        </w:tc>
      </w:tr>
      <w:tr>
        <w:tc>
          <w:tcPr>
            <w:tcW w:type="dxa" w:w="1144"/>
          </w:tcPr>
          <w:p>
            <w:pPr>
              <w:spacing w:after="50" w:before="50" w:line="252" w:lineRule="auto"/>
            </w:pPr>
            <w:r>
              <w:rPr>
                <w:b/>
                <w:sz w:val="17"/>
              </w:rPr>
              <w:t>Pipeline</w:t>
            </w:r>
          </w:p>
        </w:tc>
        <w:tc>
          <w:tcPr>
            <w:tcW w:type="dxa" w:w="4162"/>
          </w:tcPr>
          <w:p>
            <w:pPr>
              <w:spacing w:after="50" w:before="50" w:line="252" w:lineRule="auto"/>
            </w:pPr>
            <w:r>
              <w:rPr>
                <w:sz w:val="17"/>
              </w:rPr>
              <w:t>Trained interns, case managers, empanelled neutrals and future employees flowing into Equator Resolution</w:t>
            </w:r>
          </w:p>
        </w:tc>
        <w:tc>
          <w:tcPr>
            <w:tcW w:type="dxa" w:w="4162"/>
          </w:tcPr>
          <w:p>
            <w:pPr>
              <w:spacing w:after="50" w:before="50" w:line="252" w:lineRule="auto"/>
            </w:pPr>
            <w:r>
              <w:rPr>
                <w:sz w:val="17"/>
              </w:rPr>
              <w:t>Interns converted; neutrals empanelled; cost-per-hire avoided</w:t>
            </w:r>
          </w:p>
        </w:tc>
      </w:tr>
      <w:tr>
        <w:tc>
          <w:tcPr>
            <w:tcW w:type="dxa" w:w="1144"/>
            <w:shd w:val="clear" w:color="auto" w:fill="EAF1F4"/>
          </w:tcPr>
          <w:p>
            <w:pPr>
              <w:spacing w:after="50" w:before="50" w:line="252" w:lineRule="auto"/>
            </w:pPr>
            <w:r>
              <w:rPr>
                <w:b/>
                <w:sz w:val="17"/>
              </w:rPr>
              <w:t>Credibility</w:t>
            </w:r>
          </w:p>
        </w:tc>
        <w:tc>
          <w:tcPr>
            <w:tcW w:type="dxa" w:w="4162"/>
            <w:shd w:val="clear" w:color="auto" w:fill="EAF1F4"/>
          </w:tcPr>
          <w:p>
            <w:pPr>
              <w:spacing w:after="50" w:before="50" w:line="252" w:lineRule="auto"/>
            </w:pPr>
            <w:r>
              <w:rPr>
                <w:sz w:val="17"/>
              </w:rPr>
              <w:t>Institutional authority ahead of Mediation Council of India accreditation — research output, faculty association, judicial visibility, brand reach</w:t>
            </w:r>
          </w:p>
        </w:tc>
        <w:tc>
          <w:tcPr>
            <w:tcW w:type="dxa" w:w="4162"/>
            <w:shd w:val="clear" w:color="auto" w:fill="EAF1F4"/>
          </w:tcPr>
          <w:p>
            <w:pPr>
              <w:spacing w:after="50" w:before="50" w:line="252" w:lineRule="auto"/>
            </w:pPr>
            <w:r>
              <w:rPr>
                <w:sz w:val="17"/>
              </w:rPr>
              <w:t>Publications; judiciary and bar attendance; media and social reach; competition prestige</w:t>
            </w:r>
          </w:p>
        </w:tc>
      </w:tr>
      <w:tr>
        <w:tc>
          <w:tcPr>
            <w:tcW w:type="dxa" w:w="1144"/>
          </w:tcPr>
          <w:p>
            <w:pPr>
              <w:spacing w:after="50" w:before="50" w:line="252" w:lineRule="auto"/>
            </w:pPr>
            <w:r>
              <w:rPr>
                <w:b/>
                <w:sz w:val="17"/>
              </w:rPr>
              <w:t>Revenue</w:t>
            </w:r>
          </w:p>
        </w:tc>
        <w:tc>
          <w:tcPr>
            <w:tcW w:type="dxa" w:w="4162"/>
          </w:tcPr>
          <w:p>
            <w:pPr>
              <w:spacing w:after="50" w:before="50" w:line="252" w:lineRule="auto"/>
            </w:pPr>
            <w:r>
              <w:rPr>
                <w:sz w:val="17"/>
              </w:rPr>
              <w:t>Fee-share on certificate courses, faculty development, coaching, summer schools, advisory retainers and sponsorship</w:t>
            </w:r>
          </w:p>
        </w:tc>
        <w:tc>
          <w:tcPr>
            <w:tcW w:type="dxa" w:w="4162"/>
          </w:tcPr>
          <w:p>
            <w:pPr>
              <w:spacing w:after="50" w:before="50" w:line="252" w:lineRule="auto"/>
            </w:pPr>
            <w:r>
              <w:rPr>
                <w:sz w:val="17"/>
              </w:rPr>
              <w:t>Gross revenue per partnership; contribution margin; payback period</w:t>
            </w:r>
          </w:p>
        </w:tc>
      </w:tr>
    </w:tbl>
    <w:p>
      <w:pPr>
        <w:spacing w:after="80" w:before="0"/>
      </w:pPr>
    </w:p>
    <w:p>
      <w:r>
        <w:t>An activity that delivers none of the three is refused, however flattering the invitation.</w:t>
      </w:r>
    </w:p>
    <w:p>
      <w:pPr>
        <w:spacing w:before="80" w:after="160"/>
        <w:pBdr>
          <w:bottom w:val="single" w:sz="6" w:space="1" w:color="C9D6DE"/>
        </w:pBdr>
      </w:pPr>
    </w:p>
    <w:p>
      <w:pPr>
        <w:pStyle w:val="Heading1"/>
        <w:pBdr>
          <w:bottom w:val="single" w:sz="8" w:space="4" w:color="C9D6DE"/>
        </w:pBdr>
      </w:pPr>
      <w:r>
        <w:t>How to use this folder</w:t>
      </w:r>
    </w:p>
    <w:p>
      <w:pPr>
        <w:pStyle w:val="ListNumber"/>
      </w:pPr>
      <w:r>
        <w:rPr>
          <w:b/>
          <w:sz w:val="21"/>
        </w:rPr>
        <w:t>Read 01.1 Strategy &amp; Playbook first.</w:t>
      </w:r>
      <w:r>
        <w:rPr>
          <w:sz w:val="21"/>
        </w:rPr>
        <w:t xml:space="preserve"> It carries the commercial logic that everything else assumes.</w:t>
      </w:r>
    </w:p>
    <w:p>
      <w:pPr>
        <w:pStyle w:val="ListNumber"/>
      </w:pPr>
      <w:r>
        <w:rPr>
          <w:b/>
          <w:sz w:val="21"/>
        </w:rPr>
        <w:t>Score the institution in 01.3</w:t>
      </w:r>
      <w:r>
        <w:rPr>
          <w:sz w:val="21"/>
        </w:rPr>
        <w:t xml:space="preserve"> before spending time on it. The scoring model tells you which tier to offer, and therefore which schedules to attach.</w:t>
      </w:r>
    </w:p>
    <w:p>
      <w:pPr>
        <w:pStyle w:val="ListNumber"/>
      </w:pPr>
      <w:r>
        <w:rPr>
          <w:b/>
          <w:sz w:val="21"/>
        </w:rPr>
        <w:t>Run outreach from 02.</w:t>
      </w:r>
      <w:r>
        <w:rPr>
          <w:sz w:val="21"/>
        </w:rPr>
        <w:t xml:space="preserve"> Do not improvise letters — the compendium exists so that every approach carries the same institutional voice.</w:t>
      </w:r>
    </w:p>
    <w:p>
      <w:pPr>
        <w:pStyle w:val="ListNumber"/>
      </w:pPr>
      <w:r>
        <w:rPr>
          <w:b/>
          <w:sz w:val="21"/>
        </w:rPr>
        <w:t>Contract from 03.</w:t>
      </w:r>
      <w:r>
        <w:rPr>
          <w:sz w:val="21"/>
        </w:rPr>
        <w:t xml:space="preserve"> Use the Master MOU unchanged and vary only the schedules. This is what allows twenty partnerships to be signed without twenty negotiations.</w:t>
      </w:r>
    </w:p>
    <w:p>
      <w:pPr>
        <w:pStyle w:val="ListNumber"/>
      </w:pPr>
      <w:r>
        <w:rPr>
          <w:b/>
          <w:sz w:val="21"/>
        </w:rPr>
        <w:t>Price from 04.</w:t>
      </w:r>
      <w:r>
        <w:rPr>
          <w:sz w:val="21"/>
        </w:rPr>
        <w:t xml:space="preserve"> Never quote a number that is not on the rate card without written approval under the Delegation of Authority (01.5).</w:t>
      </w:r>
    </w:p>
    <w:p>
      <w:pPr>
        <w:pStyle w:val="ListNumber"/>
      </w:pPr>
      <w:r>
        <w:rPr>
          <w:b/>
          <w:sz w:val="21"/>
        </w:rPr>
        <w:t>Deliver from 05, 06 and 07.</w:t>
      </w:r>
    </w:p>
    <w:p>
      <w:pPr>
        <w:pStyle w:val="ListNumber"/>
      </w:pPr>
      <w:r>
        <w:rPr>
          <w:b/>
          <w:sz w:val="21"/>
        </w:rPr>
        <w:t>Report from 10.</w:t>
      </w:r>
      <w:r>
        <w:rPr>
          <w:sz w:val="21"/>
        </w:rPr>
        <w:t xml:space="preserve"> Every partnership is reviewed annually against the scorecard, and partnerships that fail the minimum activity threshold are allowed to lapse.</w:t>
      </w:r>
    </w:p>
    <w:p>
      <w:pPr>
        <w:spacing w:before="80" w:after="160"/>
        <w:pBdr>
          <w:bottom w:val="single" w:sz="6" w:space="1" w:color="C9D6DE"/>
        </w:pBdr>
      </w:pPr>
    </w:p>
    <w:p>
      <w:pPr>
        <w:pStyle w:val="Heading1"/>
        <w:pBdr>
          <w:bottom w:val="single" w:sz="8" w:space="4" w:color="C9D6DE"/>
        </w:pBdr>
      </w:pPr>
      <w:r>
        <w:t>Naming, versioning and control conventions</w:t>
      </w:r>
    </w:p>
    <w:p>
      <w:pPr>
        <w:pStyle w:val="ListBullet"/>
      </w:pPr>
      <w:r>
        <w:rPr>
          <w:sz w:val="21"/>
        </w:rPr>
        <w:t xml:space="preserve">Every document carries a reference in the form </w:t>
      </w:r>
      <w:r>
        <w:rPr>
          <w:b/>
          <w:sz w:val="21"/>
        </w:rPr>
        <w:t>EQ-UAP-nnn</w:t>
      </w:r>
      <w:r>
        <w:rPr>
          <w:sz w:val="21"/>
        </w:rPr>
        <w:t xml:space="preserve">, a version number and a status. Superseded versions move to an </w:t>
      </w:r>
      <w:r>
        <w:rPr>
          <w:rFonts w:ascii="Consolas" w:hAnsi="Consolas"/>
          <w:color w:val="0E7C7B"/>
          <w:sz w:val="21"/>
        </w:rPr>
        <w:t>_Archive</w:t>
      </w:r>
      <w:r>
        <w:rPr>
          <w:sz w:val="21"/>
        </w:rPr>
        <w:t xml:space="preserve"> subfolder; they are never deleted.</w:t>
      </w:r>
    </w:p>
    <w:p>
      <w:pPr>
        <w:pStyle w:val="ListBullet"/>
      </w:pPr>
      <w:r>
        <w:rPr>
          <w:b/>
          <w:sz w:val="21"/>
        </w:rPr>
        <w:t>[verify]</w:t>
      </w:r>
      <w:r>
        <w:rPr>
          <w:sz w:val="21"/>
        </w:rPr>
        <w:t xml:space="preserve"> marks a factual or legal proposition that has not yet been confirmed by counsel or by a primary source. It must be resolved before external use.</w:t>
      </w:r>
    </w:p>
    <w:p>
      <w:pPr>
        <w:pStyle w:val="ListBullet"/>
      </w:pPr>
      <w:r>
        <w:rPr>
          <w:b/>
          <w:sz w:val="21"/>
        </w:rPr>
        <w:t>[●]</w:t>
      </w:r>
      <w:r>
        <w:rPr>
          <w:sz w:val="21"/>
        </w:rPr>
        <w:t xml:space="preserve"> marks a field to be completed at the point of use — a name, a date, an amount, an institution.</w:t>
      </w:r>
    </w:p>
    <w:p>
      <w:pPr>
        <w:pStyle w:val="ListBullet"/>
      </w:pPr>
      <w:r>
        <w:rPr>
          <w:sz w:val="21"/>
        </w:rPr>
        <w:t xml:space="preserve">Rupee amounts are indicative planning figures, exclusive of GST unless stated, and are to be confirmed against the current rate card in </w:t>
      </w:r>
      <w:r>
        <w:rPr>
          <w:b/>
          <w:sz w:val="21"/>
        </w:rPr>
        <w:t>04.1</w:t>
      </w:r>
      <w:r>
        <w:rPr>
          <w:sz w:val="21"/>
        </w:rPr>
        <w:t xml:space="preserve"> before quotation.</w:t>
      </w:r>
    </w:p>
    <w:p>
      <w:pPr>
        <w:pStyle w:val="ListBullet"/>
      </w:pPr>
      <w:r>
        <w:rPr>
          <w:sz w:val="21"/>
        </w:rPr>
        <w:t xml:space="preserve">Law is stated as at </w:t>
      </w:r>
      <w:r>
        <w:rPr>
          <w:b/>
          <w:sz w:val="21"/>
        </w:rPr>
        <w:t>22 July 2026</w:t>
      </w:r>
      <w:r>
        <w:rPr>
          <w:sz w:val="21"/>
        </w:rPr>
        <w:t>.</w:t>
      </w:r>
    </w:p>
    <w:p>
      <w:pPr>
        <w:spacing w:before="80" w:after="160"/>
        <w:pBdr>
          <w:bottom w:val="single" w:sz="6" w:space="1" w:color="C9D6DE"/>
        </w:pBdr>
      </w:pPr>
    </w:p>
    <w:p>
      <w:pPr>
        <w:pStyle w:val="Heading1"/>
        <w:pBdr>
          <w:bottom w:val="single" w:sz="8" w:space="4" w:color="C9D6DE"/>
        </w:pBdr>
      </w:pPr>
      <w:r>
        <w:t>Document register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817"/>
            <w:shd w:val="clear" w:color="auto" w:fill="10375C"/>
          </w:tcPr>
          <w:p>
            <w:pPr>
              <w:spacing w:after="50" w:before="50"/>
            </w:pPr>
            <w:r>
              <w:rPr>
                <w:b/>
                <w:color w:val="FFFFFF"/>
                <w:sz w:val="17"/>
              </w:rPr>
              <w:t>Ref</w:t>
            </w:r>
          </w:p>
        </w:tc>
        <w:tc>
          <w:tcPr>
            <w:tcW w:type="dxa" w:w="6955"/>
            <w:shd w:val="clear" w:color="auto" w:fill="10375C"/>
          </w:tcPr>
          <w:p>
            <w:pPr>
              <w:spacing w:after="50" w:before="50"/>
            </w:pPr>
            <w:r>
              <w:rPr>
                <w:b/>
                <w:color w:val="FFFFFF"/>
                <w:sz w:val="17"/>
              </w:rPr>
              <w:t>Document</w:t>
            </w:r>
          </w:p>
        </w:tc>
        <w:tc>
          <w:tcPr>
            <w:tcW w:type="dxa" w:w="850"/>
            <w:shd w:val="clear" w:color="auto" w:fill="10375C"/>
          </w:tcPr>
          <w:p>
            <w:pPr>
              <w:spacing w:after="50" w:before="50"/>
            </w:pPr>
            <w:r>
              <w:rPr>
                <w:b/>
                <w:color w:val="FFFFFF"/>
                <w:sz w:val="17"/>
              </w:rPr>
              <w:t>Folder</w:t>
            </w:r>
          </w:p>
        </w:tc>
      </w:tr>
      <w:tr>
        <w:tc>
          <w:tcPr>
            <w:tcW w:type="dxa" w:w="1817"/>
          </w:tcPr>
          <w:p>
            <w:pPr>
              <w:spacing w:after="50" w:before="50" w:line="252" w:lineRule="auto"/>
            </w:pPr>
            <w:r>
              <w:rPr>
                <w:sz w:val="17"/>
              </w:rPr>
              <w:t>EQ-UAP-000</w:t>
            </w:r>
          </w:p>
        </w:tc>
        <w:tc>
          <w:tcPr>
            <w:tcW w:type="dxa" w:w="6955"/>
          </w:tcPr>
          <w:p>
            <w:pPr>
              <w:spacing w:after="50" w:before="50" w:line="252" w:lineRule="auto"/>
            </w:pPr>
            <w:r>
              <w:rPr>
                <w:sz w:val="17"/>
              </w:rPr>
              <w:t>READ ME — University &amp; Academic Partnership Programme</w:t>
            </w:r>
          </w:p>
        </w:tc>
        <w:tc>
          <w:tcPr>
            <w:tcW w:type="dxa" w:w="850"/>
          </w:tcPr>
          <w:p>
            <w:pPr>
              <w:spacing w:after="50" w:before="50" w:line="252" w:lineRule="auto"/>
            </w:pPr>
            <w:r>
              <w:rPr>
                <w:sz w:val="17"/>
              </w:rPr>
              <w:t>Root</w:t>
            </w:r>
          </w:p>
        </w:tc>
      </w:tr>
      <w:tr>
        <w:tc>
          <w:tcPr>
            <w:tcW w:type="dxa" w:w="1817"/>
            <w:shd w:val="clear" w:color="auto" w:fill="EAF1F4"/>
          </w:tcPr>
          <w:p>
            <w:pPr>
              <w:spacing w:after="50" w:before="50" w:line="252" w:lineRule="auto"/>
            </w:pPr>
            <w:r>
              <w:rPr>
                <w:sz w:val="17"/>
              </w:rPr>
              <w:t>EQ-UAP-011</w:t>
            </w:r>
          </w:p>
        </w:tc>
        <w:tc>
          <w:tcPr>
            <w:tcW w:type="dxa" w:w="6955"/>
            <w:shd w:val="clear" w:color="auto" w:fill="EAF1F4"/>
          </w:tcPr>
          <w:p>
            <w:pPr>
              <w:spacing w:after="50" w:before="50" w:line="252" w:lineRule="auto"/>
            </w:pPr>
            <w:r>
              <w:rPr>
                <w:sz w:val="17"/>
              </w:rPr>
              <w:t>University Partnership Strategy &amp; Playbook</w:t>
            </w:r>
          </w:p>
        </w:tc>
        <w:tc>
          <w:tcPr>
            <w:tcW w:type="dxa" w:w="850"/>
            <w:shd w:val="clear" w:color="auto" w:fill="EAF1F4"/>
          </w:tcPr>
          <w:p>
            <w:pPr>
              <w:spacing w:after="50" w:before="50" w:line="252" w:lineRule="auto"/>
            </w:pPr>
            <w:r>
              <w:rPr>
                <w:sz w:val="17"/>
              </w:rPr>
              <w:t>01</w:t>
            </w:r>
          </w:p>
        </w:tc>
      </w:tr>
      <w:tr>
        <w:tc>
          <w:tcPr>
            <w:tcW w:type="dxa" w:w="1817"/>
          </w:tcPr>
          <w:p>
            <w:pPr>
              <w:spacing w:after="50" w:before="50" w:line="252" w:lineRule="auto"/>
            </w:pPr>
            <w:r>
              <w:rPr>
                <w:sz w:val="17"/>
              </w:rPr>
              <w:t>EQ-UAP-012</w:t>
            </w:r>
          </w:p>
        </w:tc>
        <w:tc>
          <w:tcPr>
            <w:tcW w:type="dxa" w:w="6955"/>
          </w:tcPr>
          <w:p>
            <w:pPr>
              <w:spacing w:after="50" w:before="50" w:line="252" w:lineRule="auto"/>
            </w:pPr>
            <w:r>
              <w:rPr>
                <w:sz w:val="17"/>
              </w:rPr>
              <w:t>Regulatory &amp; Market Landscape Report</w:t>
            </w:r>
          </w:p>
        </w:tc>
        <w:tc>
          <w:tcPr>
            <w:tcW w:type="dxa" w:w="850"/>
          </w:tcPr>
          <w:p>
            <w:pPr>
              <w:spacing w:after="50" w:before="50" w:line="252" w:lineRule="auto"/>
            </w:pPr>
            <w:r>
              <w:rPr>
                <w:sz w:val="17"/>
              </w:rPr>
              <w:t>01</w:t>
            </w:r>
          </w:p>
        </w:tc>
      </w:tr>
      <w:tr>
        <w:tc>
          <w:tcPr>
            <w:tcW w:type="dxa" w:w="1817"/>
            <w:shd w:val="clear" w:color="auto" w:fill="EAF1F4"/>
          </w:tcPr>
          <w:p>
            <w:pPr>
              <w:spacing w:after="50" w:before="50" w:line="252" w:lineRule="auto"/>
            </w:pPr>
            <w:r>
              <w:rPr>
                <w:sz w:val="17"/>
              </w:rPr>
              <w:t>EQ-UAP-013</w:t>
            </w:r>
          </w:p>
        </w:tc>
        <w:tc>
          <w:tcPr>
            <w:tcW w:type="dxa" w:w="6955"/>
            <w:shd w:val="clear" w:color="auto" w:fill="EAF1F4"/>
          </w:tcPr>
          <w:p>
            <w:pPr>
              <w:spacing w:after="50" w:before="50" w:line="252" w:lineRule="auto"/>
            </w:pPr>
            <w:r>
              <w:rPr>
                <w:sz w:val="17"/>
              </w:rPr>
              <w:t>University Tiering, Scoring &amp; Selection Framework</w:t>
            </w:r>
          </w:p>
        </w:tc>
        <w:tc>
          <w:tcPr>
            <w:tcW w:type="dxa" w:w="850"/>
            <w:shd w:val="clear" w:color="auto" w:fill="EAF1F4"/>
          </w:tcPr>
          <w:p>
            <w:pPr>
              <w:spacing w:after="50" w:before="50" w:line="252" w:lineRule="auto"/>
            </w:pPr>
            <w:r>
              <w:rPr>
                <w:sz w:val="17"/>
              </w:rPr>
              <w:t>01</w:t>
            </w:r>
          </w:p>
        </w:tc>
      </w:tr>
      <w:tr>
        <w:tc>
          <w:tcPr>
            <w:tcW w:type="dxa" w:w="1817"/>
          </w:tcPr>
          <w:p>
            <w:pPr>
              <w:spacing w:after="50" w:before="50" w:line="252" w:lineRule="auto"/>
            </w:pPr>
            <w:r>
              <w:rPr>
                <w:sz w:val="17"/>
              </w:rPr>
              <w:t>EQ-UAP-014</w:t>
            </w:r>
          </w:p>
        </w:tc>
        <w:tc>
          <w:tcPr>
            <w:tcW w:type="dxa" w:w="6955"/>
          </w:tcPr>
          <w:p>
            <w:pPr>
              <w:spacing w:after="50" w:before="50" w:line="252" w:lineRule="auto"/>
            </w:pPr>
            <w:r>
              <w:rPr>
                <w:sz w:val="17"/>
              </w:rPr>
              <w:t>Programme Charter &amp; Governance Framework</w:t>
            </w:r>
          </w:p>
        </w:tc>
        <w:tc>
          <w:tcPr>
            <w:tcW w:type="dxa" w:w="850"/>
          </w:tcPr>
          <w:p>
            <w:pPr>
              <w:spacing w:after="50" w:before="50" w:line="252" w:lineRule="auto"/>
            </w:pPr>
            <w:r>
              <w:rPr>
                <w:sz w:val="17"/>
              </w:rPr>
              <w:t>01</w:t>
            </w:r>
          </w:p>
        </w:tc>
      </w:tr>
      <w:tr>
        <w:tc>
          <w:tcPr>
            <w:tcW w:type="dxa" w:w="1817"/>
            <w:shd w:val="clear" w:color="auto" w:fill="EAF1F4"/>
          </w:tcPr>
          <w:p>
            <w:pPr>
              <w:spacing w:after="50" w:before="50" w:line="252" w:lineRule="auto"/>
            </w:pPr>
            <w:r>
              <w:rPr>
                <w:sz w:val="17"/>
              </w:rPr>
              <w:t>EQ-UAP-015</w:t>
            </w:r>
          </w:p>
        </w:tc>
        <w:tc>
          <w:tcPr>
            <w:tcW w:type="dxa" w:w="6955"/>
            <w:shd w:val="clear" w:color="auto" w:fill="EAF1F4"/>
          </w:tcPr>
          <w:p>
            <w:pPr>
              <w:spacing w:after="50" w:before="50" w:line="252" w:lineRule="auto"/>
            </w:pPr>
            <w:r>
              <w:rPr>
                <w:sz w:val="17"/>
              </w:rPr>
              <w:t>Delegation of Authority &amp; Approval Matrix</w:t>
            </w:r>
          </w:p>
        </w:tc>
        <w:tc>
          <w:tcPr>
            <w:tcW w:type="dxa" w:w="850"/>
            <w:shd w:val="clear" w:color="auto" w:fill="EAF1F4"/>
          </w:tcPr>
          <w:p>
            <w:pPr>
              <w:spacing w:after="50" w:before="50" w:line="252" w:lineRule="auto"/>
            </w:pPr>
            <w:r>
              <w:rPr>
                <w:sz w:val="17"/>
              </w:rPr>
              <w:t>01</w:t>
            </w:r>
          </w:p>
        </w:tc>
      </w:tr>
      <w:tr>
        <w:tc>
          <w:tcPr>
            <w:tcW w:type="dxa" w:w="1817"/>
          </w:tcPr>
          <w:p>
            <w:pPr>
              <w:spacing w:after="50" w:before="50" w:line="252" w:lineRule="auto"/>
            </w:pPr>
            <w:r>
              <w:rPr>
                <w:b/>
                <w:sz w:val="17"/>
              </w:rPr>
              <w:t>EQ-UAP-101</w:t>
            </w:r>
          </w:p>
        </w:tc>
        <w:tc>
          <w:tcPr>
            <w:tcW w:type="dxa" w:w="6955"/>
          </w:tcPr>
          <w:p>
            <w:pPr>
              <w:spacing w:after="50" w:before="50" w:line="252" w:lineRule="auto"/>
            </w:pPr>
            <w:r>
              <w:rPr>
                <w:b/>
                <w:sz w:val="17"/>
              </w:rPr>
              <w:t>Revised Go-to-Market Sequencing &amp; Lean Year 1 Plan</w:t>
            </w:r>
          </w:p>
        </w:tc>
        <w:tc>
          <w:tcPr>
            <w:tcW w:type="dxa" w:w="850"/>
          </w:tcPr>
          <w:p>
            <w:pPr>
              <w:spacing w:after="50" w:before="50" w:line="252" w:lineRule="auto"/>
            </w:pPr>
            <w:r>
              <w:rPr>
                <w:b/>
                <w:sz w:val="17"/>
              </w:rPr>
              <w:t>01</w:t>
            </w:r>
          </w:p>
        </w:tc>
      </w:tr>
      <w:tr>
        <w:tc>
          <w:tcPr>
            <w:tcW w:type="dxa" w:w="1817"/>
            <w:shd w:val="clear" w:color="auto" w:fill="EAF1F4"/>
          </w:tcPr>
          <w:p>
            <w:pPr>
              <w:spacing w:after="50" w:before="50" w:line="252" w:lineRule="auto"/>
            </w:pPr>
            <w:r>
              <w:rPr>
                <w:b/>
                <w:sz w:val="17"/>
              </w:rPr>
              <w:t>EQ-UAP-102</w:t>
            </w:r>
          </w:p>
        </w:tc>
        <w:tc>
          <w:tcPr>
            <w:tcW w:type="dxa" w:w="6955"/>
            <w:shd w:val="clear" w:color="auto" w:fill="EAF1F4"/>
          </w:tcPr>
          <w:p>
            <w:pPr>
              <w:spacing w:after="50" w:before="50" w:line="252" w:lineRule="auto"/>
            </w:pPr>
            <w:r>
              <w:rPr>
                <w:b/>
                <w:sz w:val="17"/>
              </w:rPr>
              <w:t>Competitive Landscape &amp; Battlecards</w:t>
            </w:r>
          </w:p>
        </w:tc>
        <w:tc>
          <w:tcPr>
            <w:tcW w:type="dxa" w:w="850"/>
            <w:shd w:val="clear" w:color="auto" w:fill="EAF1F4"/>
          </w:tcPr>
          <w:p>
            <w:pPr>
              <w:spacing w:after="50" w:before="50" w:line="252" w:lineRule="auto"/>
            </w:pPr>
            <w:r>
              <w:rPr>
                <w:b/>
                <w:sz w:val="17"/>
              </w:rPr>
              <w:t>01</w:t>
            </w:r>
          </w:p>
        </w:tc>
      </w:tr>
      <w:tr>
        <w:tc>
          <w:tcPr>
            <w:tcW w:type="dxa" w:w="1817"/>
          </w:tcPr>
          <w:p>
            <w:pPr>
              <w:spacing w:after="50" w:before="50" w:line="252" w:lineRule="auto"/>
            </w:pPr>
            <w:r>
              <w:rPr>
                <w:b/>
                <w:sz w:val="17"/>
              </w:rPr>
              <w:t>EQ-UAP-103</w:t>
            </w:r>
          </w:p>
        </w:tc>
        <w:tc>
          <w:tcPr>
            <w:tcW w:type="dxa" w:w="6955"/>
          </w:tcPr>
          <w:p>
            <w:pPr>
              <w:spacing w:after="50" w:before="50" w:line="252" w:lineRule="auto"/>
            </w:pPr>
            <w:r>
              <w:rPr>
                <w:b/>
                <w:sz w:val="17"/>
              </w:rPr>
              <w:t>Target Institution Longlist &amp; Scored Pipeline</w:t>
            </w:r>
          </w:p>
        </w:tc>
        <w:tc>
          <w:tcPr>
            <w:tcW w:type="dxa" w:w="850"/>
          </w:tcPr>
          <w:p>
            <w:pPr>
              <w:spacing w:after="50" w:before="50" w:line="252" w:lineRule="auto"/>
            </w:pPr>
            <w:r>
              <w:rPr>
                <w:b/>
                <w:sz w:val="17"/>
              </w:rPr>
              <w:t>01</w:t>
            </w:r>
          </w:p>
        </w:tc>
      </w:tr>
      <w:tr>
        <w:tc>
          <w:tcPr>
            <w:tcW w:type="dxa" w:w="1817"/>
            <w:shd w:val="clear" w:color="auto" w:fill="EAF1F4"/>
          </w:tcPr>
          <w:p>
            <w:pPr>
              <w:spacing w:after="50" w:before="50" w:line="252" w:lineRule="auto"/>
            </w:pPr>
            <w:r>
              <w:rPr>
                <w:sz w:val="17"/>
              </w:rPr>
              <w:t>EQ-UAP-021</w:t>
            </w:r>
          </w:p>
        </w:tc>
        <w:tc>
          <w:tcPr>
            <w:tcW w:type="dxa" w:w="6955"/>
            <w:shd w:val="clear" w:color="auto" w:fill="EAF1F4"/>
          </w:tcPr>
          <w:p>
            <w:pPr>
              <w:spacing w:after="50" w:before="50" w:line="252" w:lineRule="auto"/>
            </w:pPr>
            <w:r>
              <w:rPr>
                <w:sz w:val="17"/>
              </w:rPr>
              <w:t>Letters Compendium — Approach to Institutions</w:t>
            </w:r>
          </w:p>
        </w:tc>
        <w:tc>
          <w:tcPr>
            <w:tcW w:type="dxa" w:w="850"/>
            <w:shd w:val="clear" w:color="auto" w:fill="EAF1F4"/>
          </w:tcPr>
          <w:p>
            <w:pPr>
              <w:spacing w:after="50" w:before="50" w:line="252" w:lineRule="auto"/>
            </w:pPr>
            <w:r>
              <w:rPr>
                <w:sz w:val="17"/>
              </w:rPr>
              <w:t>02</w:t>
            </w:r>
          </w:p>
        </w:tc>
      </w:tr>
      <w:tr>
        <w:tc>
          <w:tcPr>
            <w:tcW w:type="dxa" w:w="1817"/>
          </w:tcPr>
          <w:p>
            <w:pPr>
              <w:spacing w:after="50" w:before="50" w:line="252" w:lineRule="auto"/>
            </w:pPr>
            <w:r>
              <w:rPr>
                <w:sz w:val="17"/>
              </w:rPr>
              <w:t>EQ-UAP-022</w:t>
            </w:r>
          </w:p>
        </w:tc>
        <w:tc>
          <w:tcPr>
            <w:tcW w:type="dxa" w:w="6955"/>
          </w:tcPr>
          <w:p>
            <w:pPr>
              <w:spacing w:after="50" w:before="50" w:line="252" w:lineRule="auto"/>
            </w:pPr>
            <w:r>
              <w:rPr>
                <w:sz w:val="17"/>
              </w:rPr>
              <w:t>Partnership Proposal &amp; Concept Note</w:t>
            </w:r>
          </w:p>
        </w:tc>
        <w:tc>
          <w:tcPr>
            <w:tcW w:type="dxa" w:w="850"/>
          </w:tcPr>
          <w:p>
            <w:pPr>
              <w:spacing w:after="50" w:before="50" w:line="252" w:lineRule="auto"/>
            </w:pPr>
            <w:r>
              <w:rPr>
                <w:sz w:val="17"/>
              </w:rPr>
              <w:t>02</w:t>
            </w:r>
          </w:p>
        </w:tc>
      </w:tr>
      <w:tr>
        <w:tc>
          <w:tcPr>
            <w:tcW w:type="dxa" w:w="1817"/>
            <w:shd w:val="clear" w:color="auto" w:fill="EAF1F4"/>
          </w:tcPr>
          <w:p>
            <w:pPr>
              <w:spacing w:after="50" w:before="50" w:line="252" w:lineRule="auto"/>
            </w:pPr>
            <w:r>
              <w:rPr>
                <w:sz w:val="17"/>
              </w:rPr>
              <w:t>EQ-UAP-023</w:t>
            </w:r>
          </w:p>
        </w:tc>
        <w:tc>
          <w:tcPr>
            <w:tcW w:type="dxa" w:w="6955"/>
            <w:shd w:val="clear" w:color="auto" w:fill="EAF1F4"/>
          </w:tcPr>
          <w:p>
            <w:pPr>
              <w:spacing w:after="50" w:before="50" w:line="252" w:lineRule="auto"/>
            </w:pPr>
            <w:r>
              <w:rPr>
                <w:sz w:val="17"/>
              </w:rPr>
              <w:t>Institutional Capability Statement</w:t>
            </w:r>
          </w:p>
        </w:tc>
        <w:tc>
          <w:tcPr>
            <w:tcW w:type="dxa" w:w="850"/>
            <w:shd w:val="clear" w:color="auto" w:fill="EAF1F4"/>
          </w:tcPr>
          <w:p>
            <w:pPr>
              <w:spacing w:after="50" w:before="50" w:line="252" w:lineRule="auto"/>
            </w:pPr>
            <w:r>
              <w:rPr>
                <w:sz w:val="17"/>
              </w:rPr>
              <w:t>02</w:t>
            </w:r>
          </w:p>
        </w:tc>
      </w:tr>
      <w:tr>
        <w:tc>
          <w:tcPr>
            <w:tcW w:type="dxa" w:w="1817"/>
          </w:tcPr>
          <w:p>
            <w:pPr>
              <w:spacing w:after="50" w:before="50" w:line="252" w:lineRule="auto"/>
            </w:pPr>
            <w:r>
              <w:rPr>
                <w:sz w:val="17"/>
              </w:rPr>
              <w:t>EQ-UAP-024</w:t>
            </w:r>
          </w:p>
        </w:tc>
        <w:tc>
          <w:tcPr>
            <w:tcW w:type="dxa" w:w="6955"/>
          </w:tcPr>
          <w:p>
            <w:pPr>
              <w:spacing w:after="50" w:before="50" w:line="252" w:lineRule="auto"/>
            </w:pPr>
            <w:r>
              <w:rPr>
                <w:sz w:val="17"/>
              </w:rPr>
              <w:t>Outreach Email Sequences &amp; Follow-Up Playbook</w:t>
            </w:r>
          </w:p>
        </w:tc>
        <w:tc>
          <w:tcPr>
            <w:tcW w:type="dxa" w:w="850"/>
          </w:tcPr>
          <w:p>
            <w:pPr>
              <w:spacing w:after="50" w:before="50" w:line="252" w:lineRule="auto"/>
            </w:pPr>
            <w:r>
              <w:rPr>
                <w:sz w:val="17"/>
              </w:rPr>
              <w:t>02</w:t>
            </w:r>
          </w:p>
        </w:tc>
      </w:tr>
      <w:tr>
        <w:tc>
          <w:tcPr>
            <w:tcW w:type="dxa" w:w="1817"/>
            <w:shd w:val="clear" w:color="auto" w:fill="EAF1F4"/>
          </w:tcPr>
          <w:p>
            <w:pPr>
              <w:spacing w:after="50" w:before="50" w:line="252" w:lineRule="auto"/>
            </w:pPr>
            <w:r>
              <w:rPr>
                <w:sz w:val="17"/>
              </w:rPr>
              <w:t>EQ-UAP-025</w:t>
            </w:r>
          </w:p>
        </w:tc>
        <w:tc>
          <w:tcPr>
            <w:tcW w:type="dxa" w:w="6955"/>
            <w:shd w:val="clear" w:color="auto" w:fill="EAF1F4"/>
          </w:tcPr>
          <w:p>
            <w:pPr>
              <w:spacing w:after="50" w:before="50" w:line="252" w:lineRule="auto"/>
            </w:pPr>
            <w:r>
              <w:rPr>
                <w:sz w:val="17"/>
              </w:rPr>
              <w:t>Discovery Questionnaire &amp; Meeting Agenda</w:t>
            </w:r>
          </w:p>
        </w:tc>
        <w:tc>
          <w:tcPr>
            <w:tcW w:type="dxa" w:w="850"/>
            <w:shd w:val="clear" w:color="auto" w:fill="EAF1F4"/>
          </w:tcPr>
          <w:p>
            <w:pPr>
              <w:spacing w:after="50" w:before="50" w:line="252" w:lineRule="auto"/>
            </w:pPr>
            <w:r>
              <w:rPr>
                <w:sz w:val="17"/>
              </w:rPr>
              <w:t>02</w:t>
            </w:r>
          </w:p>
        </w:tc>
      </w:tr>
      <w:tr>
        <w:tc>
          <w:tcPr>
            <w:tcW w:type="dxa" w:w="1817"/>
          </w:tcPr>
          <w:p>
            <w:pPr>
              <w:spacing w:after="50" w:before="50" w:line="252" w:lineRule="auto"/>
            </w:pPr>
            <w:r>
              <w:rPr>
                <w:sz w:val="17"/>
              </w:rPr>
              <w:t>EQ-UAP-026</w:t>
            </w:r>
          </w:p>
        </w:tc>
        <w:tc>
          <w:tcPr>
            <w:tcW w:type="dxa" w:w="6955"/>
          </w:tcPr>
          <w:p>
            <w:pPr>
              <w:spacing w:after="50" w:before="50" w:line="252" w:lineRule="auto"/>
            </w:pPr>
            <w:r>
              <w:rPr>
                <w:sz w:val="17"/>
              </w:rPr>
              <w:t>Objection Handling &amp; FAQ Guide</w:t>
            </w:r>
          </w:p>
        </w:tc>
        <w:tc>
          <w:tcPr>
            <w:tcW w:type="dxa" w:w="850"/>
          </w:tcPr>
          <w:p>
            <w:pPr>
              <w:spacing w:after="50" w:before="50" w:line="252" w:lineRule="auto"/>
            </w:pPr>
            <w:r>
              <w:rPr>
                <w:sz w:val="17"/>
              </w:rPr>
              <w:t>02</w:t>
            </w:r>
          </w:p>
        </w:tc>
      </w:tr>
      <w:tr>
        <w:tc>
          <w:tcPr>
            <w:tcW w:type="dxa" w:w="1817"/>
            <w:shd w:val="clear" w:color="auto" w:fill="EAF1F4"/>
          </w:tcPr>
          <w:p>
            <w:pPr>
              <w:spacing w:after="50" w:before="50" w:line="252" w:lineRule="auto"/>
            </w:pPr>
            <w:r>
              <w:rPr>
                <w:b/>
                <w:sz w:val="17"/>
              </w:rPr>
              <w:t>EQ-UAP-110</w:t>
            </w:r>
          </w:p>
        </w:tc>
        <w:tc>
          <w:tcPr>
            <w:tcW w:type="dxa" w:w="6955"/>
            <w:shd w:val="clear" w:color="auto" w:fill="EAF1F4"/>
          </w:tcPr>
          <w:p>
            <w:pPr>
              <w:spacing w:after="50" w:before="50" w:line="252" w:lineRule="auto"/>
            </w:pPr>
            <w:r>
              <w:rPr>
                <w:b/>
                <w:sz w:val="17"/>
              </w:rPr>
              <w:t>Advisory Services Go-to-Market Pack</w:t>
            </w:r>
          </w:p>
        </w:tc>
        <w:tc>
          <w:tcPr>
            <w:tcW w:type="dxa" w:w="850"/>
            <w:shd w:val="clear" w:color="auto" w:fill="EAF1F4"/>
          </w:tcPr>
          <w:p>
            <w:pPr>
              <w:spacing w:after="50" w:before="50" w:line="252" w:lineRule="auto"/>
            </w:pPr>
            <w:r>
              <w:rPr>
                <w:b/>
                <w:sz w:val="17"/>
              </w:rPr>
              <w:t>02</w:t>
            </w:r>
          </w:p>
        </w:tc>
      </w:tr>
      <w:tr>
        <w:tc>
          <w:tcPr>
            <w:tcW w:type="dxa" w:w="1817"/>
          </w:tcPr>
          <w:p>
            <w:pPr>
              <w:spacing w:after="50" w:before="50" w:line="252" w:lineRule="auto"/>
            </w:pPr>
            <w:r>
              <w:rPr>
                <w:b/>
                <w:sz w:val="17"/>
              </w:rPr>
              <w:t>EQ-UAP-114</w:t>
            </w:r>
          </w:p>
        </w:tc>
        <w:tc>
          <w:tcPr>
            <w:tcW w:type="dxa" w:w="6955"/>
          </w:tcPr>
          <w:p>
            <w:pPr>
              <w:spacing w:after="50" w:before="50" w:line="252" w:lineRule="auto"/>
            </w:pPr>
            <w:r>
              <w:rPr>
                <w:b/>
                <w:sz w:val="17"/>
              </w:rPr>
              <w:t>Leave-Behind, Website &amp; Brochure Copy</w:t>
            </w:r>
          </w:p>
        </w:tc>
        <w:tc>
          <w:tcPr>
            <w:tcW w:type="dxa" w:w="850"/>
          </w:tcPr>
          <w:p>
            <w:pPr>
              <w:spacing w:after="50" w:before="50" w:line="252" w:lineRule="auto"/>
            </w:pPr>
            <w:r>
              <w:rPr>
                <w:b/>
                <w:sz w:val="17"/>
              </w:rPr>
              <w:t>02</w:t>
            </w:r>
          </w:p>
        </w:tc>
      </w:tr>
      <w:tr>
        <w:tc>
          <w:tcPr>
            <w:tcW w:type="dxa" w:w="1817"/>
            <w:shd w:val="clear" w:color="auto" w:fill="EAF1F4"/>
          </w:tcPr>
          <w:p>
            <w:pPr>
              <w:spacing w:after="50" w:before="50" w:line="252" w:lineRule="auto"/>
            </w:pPr>
            <w:r>
              <w:rPr>
                <w:b/>
                <w:sz w:val="17"/>
              </w:rPr>
              <w:t>EQ-UAP-116</w:t>
            </w:r>
          </w:p>
        </w:tc>
        <w:tc>
          <w:tcPr>
            <w:tcW w:type="dxa" w:w="6955"/>
            <w:shd w:val="clear" w:color="auto" w:fill="EAF1F4"/>
          </w:tcPr>
          <w:p>
            <w:pPr>
              <w:spacing w:after="50" w:before="50" w:line="252" w:lineRule="auto"/>
            </w:pPr>
            <w:r>
              <w:rPr>
                <w:b/>
                <w:sz w:val="17"/>
              </w:rPr>
              <w:t>Partnership Pitch Deck</w:t>
            </w:r>
            <w:r>
              <w:rPr>
                <w:sz w:val="17"/>
              </w:rPr>
              <w:t xml:space="preserve"> </w:t>
            </w:r>
            <w:r>
              <w:rPr>
                <w:i/>
                <w:sz w:val="17"/>
              </w:rPr>
              <w:t>(.pptx)</w:t>
            </w:r>
          </w:p>
        </w:tc>
        <w:tc>
          <w:tcPr>
            <w:tcW w:type="dxa" w:w="850"/>
            <w:shd w:val="clear" w:color="auto" w:fill="EAF1F4"/>
          </w:tcPr>
          <w:p>
            <w:pPr>
              <w:spacing w:after="50" w:before="50" w:line="252" w:lineRule="auto"/>
            </w:pPr>
            <w:r>
              <w:rPr>
                <w:b/>
                <w:sz w:val="17"/>
              </w:rPr>
              <w:t>02</w:t>
            </w:r>
          </w:p>
        </w:tc>
      </w:tr>
      <w:tr>
        <w:tc>
          <w:tcPr>
            <w:tcW w:type="dxa" w:w="1817"/>
          </w:tcPr>
          <w:p>
            <w:pPr>
              <w:spacing w:after="50" w:before="50" w:line="252" w:lineRule="auto"/>
            </w:pPr>
            <w:r>
              <w:rPr>
                <w:b/>
                <w:sz w:val="17"/>
              </w:rPr>
              <w:t>EQ-UAP-117</w:t>
            </w:r>
          </w:p>
        </w:tc>
        <w:tc>
          <w:tcPr>
            <w:tcW w:type="dxa" w:w="6955"/>
          </w:tcPr>
          <w:p>
            <w:pPr>
              <w:spacing w:after="50" w:before="50" w:line="252" w:lineRule="auto"/>
            </w:pPr>
            <w:r>
              <w:rPr>
                <w:b/>
                <w:sz w:val="17"/>
              </w:rPr>
              <w:t>Advisory Services Deck for Registrars</w:t>
            </w:r>
            <w:r>
              <w:rPr>
                <w:sz w:val="17"/>
              </w:rPr>
              <w:t xml:space="preserve"> </w:t>
            </w:r>
            <w:r>
              <w:rPr>
                <w:i/>
                <w:sz w:val="17"/>
              </w:rPr>
              <w:t>(.pptx)</w:t>
            </w:r>
          </w:p>
        </w:tc>
        <w:tc>
          <w:tcPr>
            <w:tcW w:type="dxa" w:w="850"/>
          </w:tcPr>
          <w:p>
            <w:pPr>
              <w:spacing w:after="50" w:before="50" w:line="252" w:lineRule="auto"/>
            </w:pPr>
            <w:r>
              <w:rPr>
                <w:b/>
                <w:sz w:val="17"/>
              </w:rPr>
              <w:t>02</w:t>
            </w:r>
          </w:p>
        </w:tc>
      </w:tr>
      <w:tr>
        <w:tc>
          <w:tcPr>
            <w:tcW w:type="dxa" w:w="1817"/>
            <w:shd w:val="clear" w:color="auto" w:fill="EAF1F4"/>
          </w:tcPr>
          <w:p>
            <w:pPr>
              <w:spacing w:after="50" w:before="50" w:line="252" w:lineRule="auto"/>
            </w:pPr>
            <w:r>
              <w:rPr>
                <w:sz w:val="17"/>
              </w:rPr>
              <w:t>EQ-UAP-031</w:t>
            </w:r>
          </w:p>
        </w:tc>
        <w:tc>
          <w:tcPr>
            <w:tcW w:type="dxa" w:w="6955"/>
            <w:shd w:val="clear" w:color="auto" w:fill="EAF1F4"/>
          </w:tcPr>
          <w:p>
            <w:pPr>
              <w:spacing w:after="50" w:before="50" w:line="252" w:lineRule="auto"/>
            </w:pPr>
            <w:r>
              <w:rPr>
                <w:sz w:val="17"/>
              </w:rPr>
              <w:t>Master Memorandum of Understanding</w:t>
            </w:r>
          </w:p>
        </w:tc>
        <w:tc>
          <w:tcPr>
            <w:tcW w:type="dxa" w:w="850"/>
            <w:shd w:val="clear" w:color="auto" w:fill="EAF1F4"/>
          </w:tcPr>
          <w:p>
            <w:pPr>
              <w:spacing w:after="50" w:before="50" w:line="252" w:lineRule="auto"/>
            </w:pPr>
            <w:r>
              <w:rPr>
                <w:sz w:val="17"/>
              </w:rPr>
              <w:t>03</w:t>
            </w:r>
          </w:p>
        </w:tc>
      </w:tr>
      <w:tr>
        <w:tc>
          <w:tcPr>
            <w:tcW w:type="dxa" w:w="1817"/>
          </w:tcPr>
          <w:p>
            <w:pPr>
              <w:spacing w:after="50" w:before="50" w:line="252" w:lineRule="auto"/>
            </w:pPr>
            <w:r>
              <w:rPr>
                <w:sz w:val="17"/>
              </w:rPr>
              <w:t>EQ-UAP-032</w:t>
            </w:r>
          </w:p>
        </w:tc>
        <w:tc>
          <w:tcPr>
            <w:tcW w:type="dxa" w:w="6955"/>
          </w:tcPr>
          <w:p>
            <w:pPr>
              <w:spacing w:after="50" w:before="50" w:line="252" w:lineRule="auto"/>
            </w:pPr>
            <w:r>
              <w:rPr>
                <w:sz w:val="17"/>
              </w:rPr>
              <w:t>Schedules A to D — Academic Engagement</w:t>
            </w:r>
          </w:p>
        </w:tc>
        <w:tc>
          <w:tcPr>
            <w:tcW w:type="dxa" w:w="850"/>
          </w:tcPr>
          <w:p>
            <w:pPr>
              <w:spacing w:after="50" w:before="50" w:line="252" w:lineRule="auto"/>
            </w:pPr>
            <w:r>
              <w:rPr>
                <w:sz w:val="17"/>
              </w:rPr>
              <w:t>03</w:t>
            </w:r>
          </w:p>
        </w:tc>
      </w:tr>
      <w:tr>
        <w:tc>
          <w:tcPr>
            <w:tcW w:type="dxa" w:w="1817"/>
            <w:shd w:val="clear" w:color="auto" w:fill="EAF1F4"/>
          </w:tcPr>
          <w:p>
            <w:pPr>
              <w:spacing w:after="50" w:before="50" w:line="252" w:lineRule="auto"/>
            </w:pPr>
            <w:r>
              <w:rPr>
                <w:sz w:val="17"/>
              </w:rPr>
              <w:t>EQ-UAP-033</w:t>
            </w:r>
          </w:p>
        </w:tc>
        <w:tc>
          <w:tcPr>
            <w:tcW w:type="dxa" w:w="6955"/>
            <w:shd w:val="clear" w:color="auto" w:fill="EAF1F4"/>
          </w:tcPr>
          <w:p>
            <w:pPr>
              <w:spacing w:after="50" w:before="50" w:line="252" w:lineRule="auto"/>
            </w:pPr>
            <w:r>
              <w:rPr>
                <w:sz w:val="17"/>
              </w:rPr>
              <w:t>Schedules E to H — Commercial, Brand, Infrastructure, Governance</w:t>
            </w:r>
          </w:p>
        </w:tc>
        <w:tc>
          <w:tcPr>
            <w:tcW w:type="dxa" w:w="850"/>
            <w:shd w:val="clear" w:color="auto" w:fill="EAF1F4"/>
          </w:tcPr>
          <w:p>
            <w:pPr>
              <w:spacing w:after="50" w:before="50" w:line="252" w:lineRule="auto"/>
            </w:pPr>
            <w:r>
              <w:rPr>
                <w:sz w:val="17"/>
              </w:rPr>
              <w:t>03</w:t>
            </w:r>
          </w:p>
        </w:tc>
      </w:tr>
      <w:tr>
        <w:tc>
          <w:tcPr>
            <w:tcW w:type="dxa" w:w="1817"/>
          </w:tcPr>
          <w:p>
            <w:pPr>
              <w:spacing w:after="50" w:before="50" w:line="252" w:lineRule="auto"/>
            </w:pPr>
            <w:r>
              <w:rPr>
                <w:sz w:val="17"/>
              </w:rPr>
              <w:t>EQ-UAP-034</w:t>
            </w:r>
          </w:p>
        </w:tc>
        <w:tc>
          <w:tcPr>
            <w:tcW w:type="dxa" w:w="6955"/>
          </w:tcPr>
          <w:p>
            <w:pPr>
              <w:spacing w:after="50" w:before="50" w:line="252" w:lineRule="auto"/>
            </w:pPr>
            <w:r>
              <w:rPr>
                <w:sz w:val="17"/>
              </w:rPr>
              <w:t>Mutual Non-Disclosure Agreement</w:t>
            </w:r>
          </w:p>
        </w:tc>
        <w:tc>
          <w:tcPr>
            <w:tcW w:type="dxa" w:w="850"/>
          </w:tcPr>
          <w:p>
            <w:pPr>
              <w:spacing w:after="50" w:before="50" w:line="252" w:lineRule="auto"/>
            </w:pPr>
            <w:r>
              <w:rPr>
                <w:sz w:val="17"/>
              </w:rPr>
              <w:t>03</w:t>
            </w:r>
          </w:p>
        </w:tc>
      </w:tr>
      <w:tr>
        <w:tc>
          <w:tcPr>
            <w:tcW w:type="dxa" w:w="1817"/>
            <w:shd w:val="clear" w:color="auto" w:fill="EAF1F4"/>
          </w:tcPr>
          <w:p>
            <w:pPr>
              <w:spacing w:after="50" w:before="50" w:line="252" w:lineRule="auto"/>
            </w:pPr>
            <w:r>
              <w:rPr>
                <w:sz w:val="17"/>
              </w:rPr>
              <w:t>EQ-UAP-035</w:t>
            </w:r>
          </w:p>
        </w:tc>
        <w:tc>
          <w:tcPr>
            <w:tcW w:type="dxa" w:w="6955"/>
            <w:shd w:val="clear" w:color="auto" w:fill="EAF1F4"/>
          </w:tcPr>
          <w:p>
            <w:pPr>
              <w:spacing w:after="50" w:before="50" w:line="252" w:lineRule="auto"/>
            </w:pPr>
            <w:r>
              <w:rPr>
                <w:sz w:val="17"/>
              </w:rPr>
              <w:t>Data Sharing &amp; DPDP Compliance Addendum</w:t>
            </w:r>
          </w:p>
        </w:tc>
        <w:tc>
          <w:tcPr>
            <w:tcW w:type="dxa" w:w="850"/>
            <w:shd w:val="clear" w:color="auto" w:fill="EAF1F4"/>
          </w:tcPr>
          <w:p>
            <w:pPr>
              <w:spacing w:after="50" w:before="50" w:line="252" w:lineRule="auto"/>
            </w:pPr>
            <w:r>
              <w:rPr>
                <w:sz w:val="17"/>
              </w:rPr>
              <w:t>03</w:t>
            </w:r>
          </w:p>
        </w:tc>
      </w:tr>
      <w:tr>
        <w:tc>
          <w:tcPr>
            <w:tcW w:type="dxa" w:w="1817"/>
          </w:tcPr>
          <w:p>
            <w:pPr>
              <w:spacing w:after="50" w:before="50" w:line="252" w:lineRule="auto"/>
            </w:pPr>
            <w:r>
              <w:rPr>
                <w:sz w:val="17"/>
              </w:rPr>
              <w:t>EQ-UAP-036</w:t>
            </w:r>
          </w:p>
        </w:tc>
        <w:tc>
          <w:tcPr>
            <w:tcW w:type="dxa" w:w="6955"/>
          </w:tcPr>
          <w:p>
            <w:pPr>
              <w:spacing w:after="50" w:before="50" w:line="252" w:lineRule="auto"/>
            </w:pPr>
            <w:r>
              <w:rPr>
                <w:sz w:val="17"/>
              </w:rPr>
              <w:t>Resource Person &amp; Trainer Engagement Agreement</w:t>
            </w:r>
          </w:p>
        </w:tc>
        <w:tc>
          <w:tcPr>
            <w:tcW w:type="dxa" w:w="850"/>
          </w:tcPr>
          <w:p>
            <w:pPr>
              <w:spacing w:after="50" w:before="50" w:line="252" w:lineRule="auto"/>
            </w:pPr>
            <w:r>
              <w:rPr>
                <w:sz w:val="17"/>
              </w:rPr>
              <w:t>03</w:t>
            </w:r>
          </w:p>
        </w:tc>
      </w:tr>
      <w:tr>
        <w:tc>
          <w:tcPr>
            <w:tcW w:type="dxa" w:w="1817"/>
            <w:shd w:val="clear" w:color="auto" w:fill="EAF1F4"/>
          </w:tcPr>
          <w:p>
            <w:pPr>
              <w:spacing w:after="50" w:before="50" w:line="252" w:lineRule="auto"/>
            </w:pPr>
            <w:r>
              <w:rPr>
                <w:sz w:val="17"/>
              </w:rPr>
              <w:t>EQ-UAP-037</w:t>
            </w:r>
          </w:p>
        </w:tc>
        <w:tc>
          <w:tcPr>
            <w:tcW w:type="dxa" w:w="6955"/>
            <w:shd w:val="clear" w:color="auto" w:fill="EAF1F4"/>
          </w:tcPr>
          <w:p>
            <w:pPr>
              <w:spacing w:after="50" w:before="50" w:line="252" w:lineRule="auto"/>
            </w:pPr>
            <w:r>
              <w:rPr>
                <w:sz w:val="17"/>
              </w:rPr>
              <w:t>Faculty Neutral Empanelment Agreement</w:t>
            </w:r>
          </w:p>
        </w:tc>
        <w:tc>
          <w:tcPr>
            <w:tcW w:type="dxa" w:w="850"/>
            <w:shd w:val="clear" w:color="auto" w:fill="EAF1F4"/>
          </w:tcPr>
          <w:p>
            <w:pPr>
              <w:spacing w:after="50" w:before="50" w:line="252" w:lineRule="auto"/>
            </w:pPr>
            <w:r>
              <w:rPr>
                <w:sz w:val="17"/>
              </w:rPr>
              <w:t>03</w:t>
            </w:r>
          </w:p>
        </w:tc>
      </w:tr>
      <w:tr>
        <w:tc>
          <w:tcPr>
            <w:tcW w:type="dxa" w:w="1817"/>
          </w:tcPr>
          <w:p>
            <w:pPr>
              <w:spacing w:after="50" w:before="50" w:line="252" w:lineRule="auto"/>
            </w:pPr>
            <w:r>
              <w:rPr>
                <w:sz w:val="17"/>
              </w:rPr>
              <w:t>EQ-UAP-038</w:t>
            </w:r>
          </w:p>
        </w:tc>
        <w:tc>
          <w:tcPr>
            <w:tcW w:type="dxa" w:w="6955"/>
          </w:tcPr>
          <w:p>
            <w:pPr>
              <w:spacing w:after="50" w:before="50" w:line="252" w:lineRule="auto"/>
            </w:pPr>
            <w:r>
              <w:rPr>
                <w:sz w:val="17"/>
              </w:rPr>
              <w:t>Internship Agreement &amp; Student Undertakings</w:t>
            </w:r>
          </w:p>
        </w:tc>
        <w:tc>
          <w:tcPr>
            <w:tcW w:type="dxa" w:w="850"/>
          </w:tcPr>
          <w:p>
            <w:pPr>
              <w:spacing w:after="50" w:before="50" w:line="252" w:lineRule="auto"/>
            </w:pPr>
            <w:r>
              <w:rPr>
                <w:sz w:val="17"/>
              </w:rPr>
              <w:t>03</w:t>
            </w:r>
          </w:p>
        </w:tc>
      </w:tr>
      <w:tr>
        <w:tc>
          <w:tcPr>
            <w:tcW w:type="dxa" w:w="1817"/>
            <w:shd w:val="clear" w:color="auto" w:fill="EAF1F4"/>
          </w:tcPr>
          <w:p>
            <w:pPr>
              <w:spacing w:after="50" w:before="50" w:line="252" w:lineRule="auto"/>
            </w:pPr>
            <w:r>
              <w:rPr>
                <w:sz w:val="17"/>
              </w:rPr>
              <w:t>EQ-UAP-039</w:t>
            </w:r>
          </w:p>
        </w:tc>
        <w:tc>
          <w:tcPr>
            <w:tcW w:type="dxa" w:w="6955"/>
            <w:shd w:val="clear" w:color="auto" w:fill="EAF1F4"/>
          </w:tcPr>
          <w:p>
            <w:pPr>
              <w:spacing w:after="50" w:before="50" w:line="252" w:lineRule="auto"/>
            </w:pPr>
            <w:r>
              <w:rPr>
                <w:sz w:val="17"/>
              </w:rPr>
              <w:t>Consent, Confidentiality &amp; Media Release Forms</w:t>
            </w:r>
          </w:p>
        </w:tc>
        <w:tc>
          <w:tcPr>
            <w:tcW w:type="dxa" w:w="850"/>
            <w:shd w:val="clear" w:color="auto" w:fill="EAF1F4"/>
          </w:tcPr>
          <w:p>
            <w:pPr>
              <w:spacing w:after="50" w:before="50" w:line="252" w:lineRule="auto"/>
            </w:pPr>
            <w:r>
              <w:rPr>
                <w:sz w:val="17"/>
              </w:rPr>
              <w:t>03</w:t>
            </w:r>
          </w:p>
        </w:tc>
      </w:tr>
      <w:tr>
        <w:tc>
          <w:tcPr>
            <w:tcW w:type="dxa" w:w="1817"/>
          </w:tcPr>
          <w:p>
            <w:pPr>
              <w:spacing w:after="50" w:before="50" w:line="252" w:lineRule="auto"/>
            </w:pPr>
            <w:r>
              <w:rPr>
                <w:sz w:val="17"/>
              </w:rPr>
              <w:t>EQ-UAP-040</w:t>
            </w:r>
          </w:p>
        </w:tc>
        <w:tc>
          <w:tcPr>
            <w:tcW w:type="dxa" w:w="6955"/>
          </w:tcPr>
          <w:p>
            <w:pPr>
              <w:spacing w:after="50" w:before="50" w:line="252" w:lineRule="auto"/>
            </w:pPr>
            <w:r>
              <w:rPr>
                <w:sz w:val="17"/>
              </w:rPr>
              <w:t>Sponsorship &amp; Naming Rights Agreement</w:t>
            </w:r>
          </w:p>
        </w:tc>
        <w:tc>
          <w:tcPr>
            <w:tcW w:type="dxa" w:w="850"/>
          </w:tcPr>
          <w:p>
            <w:pPr>
              <w:spacing w:after="50" w:before="50" w:line="252" w:lineRule="auto"/>
            </w:pPr>
            <w:r>
              <w:rPr>
                <w:sz w:val="17"/>
              </w:rPr>
              <w:t>03</w:t>
            </w:r>
          </w:p>
        </w:tc>
      </w:tr>
      <w:tr>
        <w:tc>
          <w:tcPr>
            <w:tcW w:type="dxa" w:w="1817"/>
            <w:shd w:val="clear" w:color="auto" w:fill="EAF1F4"/>
          </w:tcPr>
          <w:p>
            <w:pPr>
              <w:spacing w:after="50" w:before="50" w:line="252" w:lineRule="auto"/>
            </w:pPr>
            <w:r>
              <w:rPr>
                <w:sz w:val="17"/>
              </w:rPr>
              <w:t>EQ-UAP-041</w:t>
            </w:r>
          </w:p>
        </w:tc>
        <w:tc>
          <w:tcPr>
            <w:tcW w:type="dxa" w:w="6955"/>
            <w:shd w:val="clear" w:color="auto" w:fill="EAF1F4"/>
          </w:tcPr>
          <w:p>
            <w:pPr>
              <w:spacing w:after="50" w:before="50" w:line="252" w:lineRule="auto"/>
            </w:pPr>
            <w:r>
              <w:rPr>
                <w:sz w:val="17"/>
              </w:rPr>
              <w:t>MOU Negotiation Playbook &amp; Clause Bank</w:t>
            </w:r>
          </w:p>
        </w:tc>
        <w:tc>
          <w:tcPr>
            <w:tcW w:type="dxa" w:w="850"/>
            <w:shd w:val="clear" w:color="auto" w:fill="EAF1F4"/>
          </w:tcPr>
          <w:p>
            <w:pPr>
              <w:spacing w:after="50" w:before="50" w:line="252" w:lineRule="auto"/>
            </w:pPr>
            <w:r>
              <w:rPr>
                <w:sz w:val="17"/>
              </w:rPr>
              <w:t>03</w:t>
            </w:r>
          </w:p>
        </w:tc>
      </w:tr>
      <w:tr>
        <w:tc>
          <w:tcPr>
            <w:tcW w:type="dxa" w:w="1817"/>
          </w:tcPr>
          <w:p>
            <w:pPr>
              <w:spacing w:after="50" w:before="50" w:line="252" w:lineRule="auto"/>
            </w:pPr>
            <w:r>
              <w:rPr>
                <w:b/>
                <w:sz w:val="17"/>
              </w:rPr>
              <w:t>EQ-UAP-112</w:t>
            </w:r>
          </w:p>
        </w:tc>
        <w:tc>
          <w:tcPr>
            <w:tcW w:type="dxa" w:w="6955"/>
          </w:tcPr>
          <w:p>
            <w:pPr>
              <w:spacing w:after="50" w:before="50" w:line="252" w:lineRule="auto"/>
            </w:pPr>
            <w:r>
              <w:rPr>
                <w:b/>
                <w:sz w:val="17"/>
              </w:rPr>
              <w:t>Tier 3 Letter Agreement</w:t>
            </w:r>
            <w:r>
              <w:rPr>
                <w:sz w:val="17"/>
              </w:rPr>
              <w:t xml:space="preserve"> — one page</w:t>
            </w:r>
          </w:p>
        </w:tc>
        <w:tc>
          <w:tcPr>
            <w:tcW w:type="dxa" w:w="850"/>
          </w:tcPr>
          <w:p>
            <w:pPr>
              <w:spacing w:after="50" w:before="50" w:line="252" w:lineRule="auto"/>
            </w:pPr>
            <w:r>
              <w:rPr>
                <w:b/>
                <w:sz w:val="17"/>
              </w:rPr>
              <w:t>03</w:t>
            </w:r>
          </w:p>
        </w:tc>
      </w:tr>
      <w:tr>
        <w:tc>
          <w:tcPr>
            <w:tcW w:type="dxa" w:w="1817"/>
            <w:shd w:val="clear" w:color="auto" w:fill="EAF1F4"/>
          </w:tcPr>
          <w:p>
            <w:pPr>
              <w:spacing w:after="50" w:before="50" w:line="252" w:lineRule="auto"/>
            </w:pPr>
            <w:r>
              <w:rPr>
                <w:b/>
                <w:sz w:val="17"/>
              </w:rPr>
              <w:t>EQ-UAP-113</w:t>
            </w:r>
          </w:p>
        </w:tc>
        <w:tc>
          <w:tcPr>
            <w:tcW w:type="dxa" w:w="6955"/>
            <w:shd w:val="clear" w:color="auto" w:fill="EAF1F4"/>
          </w:tcPr>
          <w:p>
            <w:pPr>
              <w:spacing w:after="50" w:before="50" w:line="252" w:lineRule="auto"/>
            </w:pPr>
            <w:r>
              <w:rPr>
                <w:b/>
                <w:sz w:val="17"/>
              </w:rPr>
              <w:t>Institutional Membership Agreement</w:t>
            </w:r>
          </w:p>
        </w:tc>
        <w:tc>
          <w:tcPr>
            <w:tcW w:type="dxa" w:w="850"/>
            <w:shd w:val="clear" w:color="auto" w:fill="EAF1F4"/>
          </w:tcPr>
          <w:p>
            <w:pPr>
              <w:spacing w:after="50" w:before="50" w:line="252" w:lineRule="auto"/>
            </w:pPr>
            <w:r>
              <w:rPr>
                <w:b/>
                <w:sz w:val="17"/>
              </w:rPr>
              <w:t>03</w:t>
            </w:r>
          </w:p>
        </w:tc>
      </w:tr>
      <w:tr>
        <w:tc>
          <w:tcPr>
            <w:tcW w:type="dxa" w:w="1817"/>
          </w:tcPr>
          <w:p>
            <w:pPr>
              <w:spacing w:after="50" w:before="50" w:line="252" w:lineRule="auto"/>
            </w:pPr>
            <w:r>
              <w:rPr>
                <w:sz w:val="17"/>
              </w:rPr>
              <w:t>EQ-UAP-042</w:t>
            </w:r>
          </w:p>
        </w:tc>
        <w:tc>
          <w:tcPr>
            <w:tcW w:type="dxa" w:w="6955"/>
          </w:tcPr>
          <w:p>
            <w:pPr>
              <w:spacing w:after="50" w:before="50" w:line="252" w:lineRule="auto"/>
            </w:pPr>
            <w:r>
              <w:rPr>
                <w:sz w:val="17"/>
              </w:rPr>
              <w:t>Commercial Model, Pricing Policy &amp; Rate Card</w:t>
            </w:r>
          </w:p>
        </w:tc>
        <w:tc>
          <w:tcPr>
            <w:tcW w:type="dxa" w:w="850"/>
          </w:tcPr>
          <w:p>
            <w:pPr>
              <w:spacing w:after="50" w:before="50" w:line="252" w:lineRule="auto"/>
            </w:pPr>
            <w:r>
              <w:rPr>
                <w:sz w:val="17"/>
              </w:rPr>
              <w:t>04</w:t>
            </w:r>
          </w:p>
        </w:tc>
      </w:tr>
      <w:tr>
        <w:tc>
          <w:tcPr>
            <w:tcW w:type="dxa" w:w="1817"/>
            <w:shd w:val="clear" w:color="auto" w:fill="EAF1F4"/>
          </w:tcPr>
          <w:p>
            <w:pPr>
              <w:spacing w:after="50" w:before="50" w:line="252" w:lineRule="auto"/>
            </w:pPr>
            <w:r>
              <w:rPr>
                <w:sz w:val="17"/>
              </w:rPr>
              <w:t>EQ-UAP-043</w:t>
            </w:r>
          </w:p>
        </w:tc>
        <w:tc>
          <w:tcPr>
            <w:tcW w:type="dxa" w:w="6955"/>
            <w:shd w:val="clear" w:color="auto" w:fill="EAF1F4"/>
          </w:tcPr>
          <w:p>
            <w:pPr>
              <w:spacing w:after="50" w:before="50" w:line="252" w:lineRule="auto"/>
            </w:pPr>
            <w:r>
              <w:rPr>
                <w:sz w:val="17"/>
              </w:rPr>
              <w:t>Unit Economics &amp; Partnership ROI Framework</w:t>
            </w:r>
          </w:p>
        </w:tc>
        <w:tc>
          <w:tcPr>
            <w:tcW w:type="dxa" w:w="850"/>
            <w:shd w:val="clear" w:color="auto" w:fill="EAF1F4"/>
          </w:tcPr>
          <w:p>
            <w:pPr>
              <w:spacing w:after="50" w:before="50" w:line="252" w:lineRule="auto"/>
            </w:pPr>
            <w:r>
              <w:rPr>
                <w:sz w:val="17"/>
              </w:rPr>
              <w:t>04</w:t>
            </w:r>
          </w:p>
        </w:tc>
      </w:tr>
      <w:tr>
        <w:tc>
          <w:tcPr>
            <w:tcW w:type="dxa" w:w="1817"/>
          </w:tcPr>
          <w:p>
            <w:pPr>
              <w:spacing w:after="50" w:before="50" w:line="252" w:lineRule="auto"/>
            </w:pPr>
            <w:r>
              <w:rPr>
                <w:sz w:val="17"/>
              </w:rPr>
              <w:t>EQ-UAP-044</w:t>
            </w:r>
          </w:p>
        </w:tc>
        <w:tc>
          <w:tcPr>
            <w:tcW w:type="dxa" w:w="6955"/>
          </w:tcPr>
          <w:p>
            <w:pPr>
              <w:spacing w:after="50" w:before="50" w:line="252" w:lineRule="auto"/>
            </w:pPr>
            <w:r>
              <w:rPr>
                <w:sz w:val="17"/>
              </w:rPr>
              <w:t>Revenue Share, Settlement &amp; Reconciliation SOP</w:t>
            </w:r>
          </w:p>
        </w:tc>
        <w:tc>
          <w:tcPr>
            <w:tcW w:type="dxa" w:w="850"/>
          </w:tcPr>
          <w:p>
            <w:pPr>
              <w:spacing w:after="50" w:before="50" w:line="252" w:lineRule="auto"/>
            </w:pPr>
            <w:r>
              <w:rPr>
                <w:sz w:val="17"/>
              </w:rPr>
              <w:t>04</w:t>
            </w:r>
          </w:p>
        </w:tc>
      </w:tr>
      <w:tr>
        <w:tc>
          <w:tcPr>
            <w:tcW w:type="dxa" w:w="1817"/>
            <w:shd w:val="clear" w:color="auto" w:fill="EAF1F4"/>
          </w:tcPr>
          <w:p>
            <w:pPr>
              <w:spacing w:after="50" w:before="50" w:line="252" w:lineRule="auto"/>
            </w:pPr>
            <w:r>
              <w:rPr>
                <w:sz w:val="17"/>
              </w:rPr>
              <w:t>EQ-UAP-045</w:t>
            </w:r>
          </w:p>
        </w:tc>
        <w:tc>
          <w:tcPr>
            <w:tcW w:type="dxa" w:w="6955"/>
            <w:shd w:val="clear" w:color="auto" w:fill="EAF1F4"/>
          </w:tcPr>
          <w:p>
            <w:pPr>
              <w:spacing w:after="50" w:before="50" w:line="252" w:lineRule="auto"/>
            </w:pPr>
            <w:r>
              <w:rPr>
                <w:sz w:val="17"/>
              </w:rPr>
              <w:t>Event Budgeting &amp; Cost-Split Matrix</w:t>
            </w:r>
          </w:p>
        </w:tc>
        <w:tc>
          <w:tcPr>
            <w:tcW w:type="dxa" w:w="850"/>
            <w:shd w:val="clear" w:color="auto" w:fill="EAF1F4"/>
          </w:tcPr>
          <w:p>
            <w:pPr>
              <w:spacing w:after="50" w:before="50" w:line="252" w:lineRule="auto"/>
            </w:pPr>
            <w:r>
              <w:rPr>
                <w:sz w:val="17"/>
              </w:rPr>
              <w:t>04</w:t>
            </w:r>
          </w:p>
        </w:tc>
      </w:tr>
      <w:tr>
        <w:tc>
          <w:tcPr>
            <w:tcW w:type="dxa" w:w="1817"/>
          </w:tcPr>
          <w:p>
            <w:pPr>
              <w:spacing w:after="50" w:before="50" w:line="252" w:lineRule="auto"/>
            </w:pPr>
            <w:r>
              <w:rPr>
                <w:sz w:val="17"/>
              </w:rPr>
              <w:t>EQ-UAP-046</w:t>
            </w:r>
          </w:p>
        </w:tc>
        <w:tc>
          <w:tcPr>
            <w:tcW w:type="dxa" w:w="6955"/>
          </w:tcPr>
          <w:p>
            <w:pPr>
              <w:spacing w:after="50" w:before="50" w:line="252" w:lineRule="auto"/>
            </w:pPr>
            <w:r>
              <w:rPr>
                <w:sz w:val="17"/>
              </w:rPr>
              <w:t>Invoicing, GST &amp; Collections SOP</w:t>
            </w:r>
          </w:p>
        </w:tc>
        <w:tc>
          <w:tcPr>
            <w:tcW w:type="dxa" w:w="850"/>
          </w:tcPr>
          <w:p>
            <w:pPr>
              <w:spacing w:after="50" w:before="50" w:line="252" w:lineRule="auto"/>
            </w:pPr>
            <w:r>
              <w:rPr>
                <w:sz w:val="17"/>
              </w:rPr>
              <w:t>04</w:t>
            </w:r>
          </w:p>
        </w:tc>
      </w:tr>
      <w:tr>
        <w:tc>
          <w:tcPr>
            <w:tcW w:type="dxa" w:w="1817"/>
            <w:shd w:val="clear" w:color="auto" w:fill="EAF1F4"/>
          </w:tcPr>
          <w:p>
            <w:pPr>
              <w:spacing w:after="50" w:before="50" w:line="252" w:lineRule="auto"/>
            </w:pPr>
            <w:r>
              <w:rPr>
                <w:sz w:val="17"/>
              </w:rPr>
              <w:t>EQ-UAP-047</w:t>
            </w:r>
          </w:p>
        </w:tc>
        <w:tc>
          <w:tcPr>
            <w:tcW w:type="dxa" w:w="6955"/>
            <w:shd w:val="clear" w:color="auto" w:fill="EAF1F4"/>
          </w:tcPr>
          <w:p>
            <w:pPr>
              <w:spacing w:after="50" w:before="50" w:line="252" w:lineRule="auto"/>
            </w:pPr>
            <w:r>
              <w:rPr>
                <w:sz w:val="17"/>
              </w:rPr>
              <w:t>Sponsorship Prospectus</w:t>
            </w:r>
          </w:p>
        </w:tc>
        <w:tc>
          <w:tcPr>
            <w:tcW w:type="dxa" w:w="850"/>
            <w:shd w:val="clear" w:color="auto" w:fill="EAF1F4"/>
          </w:tcPr>
          <w:p>
            <w:pPr>
              <w:spacing w:after="50" w:before="50" w:line="252" w:lineRule="auto"/>
            </w:pPr>
            <w:r>
              <w:rPr>
                <w:sz w:val="17"/>
              </w:rPr>
              <w:t>04</w:t>
            </w:r>
          </w:p>
        </w:tc>
      </w:tr>
      <w:tr>
        <w:tc>
          <w:tcPr>
            <w:tcW w:type="dxa" w:w="1817"/>
          </w:tcPr>
          <w:p>
            <w:pPr>
              <w:spacing w:after="50" w:before="50" w:line="252" w:lineRule="auto"/>
            </w:pPr>
            <w:r>
              <w:rPr>
                <w:b/>
                <w:sz w:val="17"/>
              </w:rPr>
              <w:t>EQ-UAP-048</w:t>
            </w:r>
          </w:p>
        </w:tc>
        <w:tc>
          <w:tcPr>
            <w:tcW w:type="dxa" w:w="6955"/>
          </w:tcPr>
          <w:p>
            <w:pPr>
              <w:spacing w:after="50" w:before="50" w:line="252" w:lineRule="auto"/>
            </w:pPr>
            <w:r>
              <w:rPr>
                <w:b/>
                <w:sz w:val="17"/>
              </w:rPr>
              <w:t>Partnership Financial Model</w:t>
            </w:r>
            <w:r>
              <w:rPr>
                <w:sz w:val="17"/>
              </w:rPr>
              <w:t xml:space="preserve"> </w:t>
            </w:r>
            <w:r>
              <w:rPr>
                <w:i/>
                <w:sz w:val="17"/>
              </w:rPr>
              <w:t>(.xlsx, live formulas)</w:t>
            </w:r>
          </w:p>
        </w:tc>
        <w:tc>
          <w:tcPr>
            <w:tcW w:type="dxa" w:w="850"/>
          </w:tcPr>
          <w:p>
            <w:pPr>
              <w:spacing w:after="50" w:before="50" w:line="252" w:lineRule="auto"/>
            </w:pPr>
            <w:r>
              <w:rPr>
                <w:b/>
                <w:sz w:val="17"/>
              </w:rPr>
              <w:t>04</w:t>
            </w:r>
          </w:p>
        </w:tc>
      </w:tr>
      <w:tr>
        <w:tc>
          <w:tcPr>
            <w:tcW w:type="dxa" w:w="1817"/>
            <w:shd w:val="clear" w:color="auto" w:fill="EAF1F4"/>
          </w:tcPr>
          <w:p>
            <w:pPr>
              <w:spacing w:after="50" w:before="50" w:line="252" w:lineRule="auto"/>
            </w:pPr>
            <w:r>
              <w:rPr>
                <w:b/>
                <w:sz w:val="17"/>
              </w:rPr>
              <w:t>EQ-UAP-111</w:t>
            </w:r>
          </w:p>
        </w:tc>
        <w:tc>
          <w:tcPr>
            <w:tcW w:type="dxa" w:w="6955"/>
            <w:shd w:val="clear" w:color="auto" w:fill="EAF1F4"/>
          </w:tcPr>
          <w:p>
            <w:pPr>
              <w:spacing w:after="50" w:before="50" w:line="252" w:lineRule="auto"/>
            </w:pPr>
            <w:r>
              <w:rPr>
                <w:b/>
                <w:sz w:val="17"/>
              </w:rPr>
              <w:t>Institutional Membership &amp; Subscription Model</w:t>
            </w:r>
          </w:p>
        </w:tc>
        <w:tc>
          <w:tcPr>
            <w:tcW w:type="dxa" w:w="850"/>
            <w:shd w:val="clear" w:color="auto" w:fill="EAF1F4"/>
          </w:tcPr>
          <w:p>
            <w:pPr>
              <w:spacing w:after="50" w:before="50" w:line="252" w:lineRule="auto"/>
            </w:pPr>
            <w:r>
              <w:rPr>
                <w:b/>
                <w:sz w:val="17"/>
              </w:rPr>
              <w:t>04</w:t>
            </w:r>
          </w:p>
        </w:tc>
      </w:tr>
      <w:tr>
        <w:tc>
          <w:tcPr>
            <w:tcW w:type="dxa" w:w="1817"/>
          </w:tcPr>
          <w:p>
            <w:pPr>
              <w:spacing w:after="50" w:before="50" w:line="252" w:lineRule="auto"/>
            </w:pPr>
            <w:r>
              <w:rPr>
                <w:sz w:val="17"/>
              </w:rPr>
              <w:t>EQ-UAP-051</w:t>
            </w:r>
          </w:p>
        </w:tc>
        <w:tc>
          <w:tcPr>
            <w:tcW w:type="dxa" w:w="6955"/>
          </w:tcPr>
          <w:p>
            <w:pPr>
              <w:spacing w:after="50" w:before="50" w:line="252" w:lineRule="auto"/>
            </w:pPr>
            <w:r>
              <w:rPr>
                <w:sz w:val="17"/>
              </w:rPr>
              <w:t>Master Programme Catalogue</w:t>
            </w:r>
          </w:p>
        </w:tc>
        <w:tc>
          <w:tcPr>
            <w:tcW w:type="dxa" w:w="850"/>
          </w:tcPr>
          <w:p>
            <w:pPr>
              <w:spacing w:after="50" w:before="50" w:line="252" w:lineRule="auto"/>
            </w:pPr>
            <w:r>
              <w:rPr>
                <w:sz w:val="17"/>
              </w:rPr>
              <w:t>05</w:t>
            </w:r>
          </w:p>
        </w:tc>
      </w:tr>
      <w:tr>
        <w:tc>
          <w:tcPr>
            <w:tcW w:type="dxa" w:w="1817"/>
            <w:shd w:val="clear" w:color="auto" w:fill="EAF1F4"/>
          </w:tcPr>
          <w:p>
            <w:pPr>
              <w:spacing w:after="50" w:before="50" w:line="252" w:lineRule="auto"/>
            </w:pPr>
            <w:r>
              <w:rPr>
                <w:sz w:val="17"/>
              </w:rPr>
              <w:t>EQ-UAP-052</w:t>
            </w:r>
          </w:p>
        </w:tc>
        <w:tc>
          <w:tcPr>
            <w:tcW w:type="dxa" w:w="6955"/>
            <w:shd w:val="clear" w:color="auto" w:fill="EAF1F4"/>
          </w:tcPr>
          <w:p>
            <w:pPr>
              <w:spacing w:after="50" w:before="50" w:line="252" w:lineRule="auto"/>
            </w:pPr>
            <w:r>
              <w:rPr>
                <w:sz w:val="17"/>
              </w:rPr>
              <w:t>40-Hour Basic Mediation Training — Curriculum &amp; Session Plan</w:t>
            </w:r>
          </w:p>
        </w:tc>
        <w:tc>
          <w:tcPr>
            <w:tcW w:type="dxa" w:w="850"/>
            <w:shd w:val="clear" w:color="auto" w:fill="EAF1F4"/>
          </w:tcPr>
          <w:p>
            <w:pPr>
              <w:spacing w:after="50" w:before="50" w:line="252" w:lineRule="auto"/>
            </w:pPr>
            <w:r>
              <w:rPr>
                <w:sz w:val="17"/>
              </w:rPr>
              <w:t>05</w:t>
            </w:r>
          </w:p>
        </w:tc>
      </w:tr>
      <w:tr>
        <w:tc>
          <w:tcPr>
            <w:tcW w:type="dxa" w:w="1817"/>
          </w:tcPr>
          <w:p>
            <w:pPr>
              <w:spacing w:after="50" w:before="50" w:line="252" w:lineRule="auto"/>
            </w:pPr>
            <w:r>
              <w:rPr>
                <w:sz w:val="17"/>
              </w:rPr>
              <w:t>EQ-UAP-053</w:t>
            </w:r>
          </w:p>
        </w:tc>
        <w:tc>
          <w:tcPr>
            <w:tcW w:type="dxa" w:w="6955"/>
          </w:tcPr>
          <w:p>
            <w:pPr>
              <w:spacing w:after="50" w:before="50" w:line="252" w:lineRule="auto"/>
            </w:pPr>
            <w:r>
              <w:rPr>
                <w:sz w:val="17"/>
              </w:rPr>
              <w:t>20-Hour Advanced Mediation Training — Curriculum</w:t>
            </w:r>
          </w:p>
        </w:tc>
        <w:tc>
          <w:tcPr>
            <w:tcW w:type="dxa" w:w="850"/>
          </w:tcPr>
          <w:p>
            <w:pPr>
              <w:spacing w:after="50" w:before="50" w:line="252" w:lineRule="auto"/>
            </w:pPr>
            <w:r>
              <w:rPr>
                <w:sz w:val="17"/>
              </w:rPr>
              <w:t>05</w:t>
            </w:r>
          </w:p>
        </w:tc>
      </w:tr>
      <w:tr>
        <w:tc>
          <w:tcPr>
            <w:tcW w:type="dxa" w:w="1817"/>
            <w:shd w:val="clear" w:color="auto" w:fill="EAF1F4"/>
          </w:tcPr>
          <w:p>
            <w:pPr>
              <w:spacing w:after="50" w:before="50" w:line="252" w:lineRule="auto"/>
            </w:pPr>
            <w:r>
              <w:rPr>
                <w:sz w:val="17"/>
              </w:rPr>
              <w:t>EQ-UAP-054</w:t>
            </w:r>
          </w:p>
        </w:tc>
        <w:tc>
          <w:tcPr>
            <w:tcW w:type="dxa" w:w="6955"/>
            <w:shd w:val="clear" w:color="auto" w:fill="EAF1F4"/>
          </w:tcPr>
          <w:p>
            <w:pPr>
              <w:spacing w:after="50" w:before="50" w:line="252" w:lineRule="auto"/>
            </w:pPr>
            <w:r>
              <w:rPr>
                <w:sz w:val="17"/>
              </w:rPr>
              <w:t>Faculty Development Programme — Design &amp; Session Plan</w:t>
            </w:r>
          </w:p>
        </w:tc>
        <w:tc>
          <w:tcPr>
            <w:tcW w:type="dxa" w:w="850"/>
            <w:shd w:val="clear" w:color="auto" w:fill="EAF1F4"/>
          </w:tcPr>
          <w:p>
            <w:pPr>
              <w:spacing w:after="50" w:before="50" w:line="252" w:lineRule="auto"/>
            </w:pPr>
            <w:r>
              <w:rPr>
                <w:sz w:val="17"/>
              </w:rPr>
              <w:t>05</w:t>
            </w:r>
          </w:p>
        </w:tc>
      </w:tr>
      <w:tr>
        <w:tc>
          <w:tcPr>
            <w:tcW w:type="dxa" w:w="1817"/>
          </w:tcPr>
          <w:p>
            <w:pPr>
              <w:spacing w:after="50" w:before="50" w:line="252" w:lineRule="auto"/>
            </w:pPr>
            <w:r>
              <w:rPr>
                <w:sz w:val="17"/>
              </w:rPr>
              <w:t>EQ-UAP-055</w:t>
            </w:r>
          </w:p>
        </w:tc>
        <w:tc>
          <w:tcPr>
            <w:tcW w:type="dxa" w:w="6955"/>
          </w:tcPr>
          <w:p>
            <w:pPr>
              <w:spacing w:after="50" w:before="50" w:line="252" w:lineRule="auto"/>
            </w:pPr>
            <w:r>
              <w:rPr>
                <w:sz w:val="17"/>
              </w:rPr>
              <w:t>Workshop Design Compendium</w:t>
            </w:r>
          </w:p>
        </w:tc>
        <w:tc>
          <w:tcPr>
            <w:tcW w:type="dxa" w:w="850"/>
          </w:tcPr>
          <w:p>
            <w:pPr>
              <w:spacing w:after="50" w:before="50" w:line="252" w:lineRule="auto"/>
            </w:pPr>
            <w:r>
              <w:rPr>
                <w:sz w:val="17"/>
              </w:rPr>
              <w:t>05</w:t>
            </w:r>
          </w:p>
        </w:tc>
      </w:tr>
      <w:tr>
        <w:tc>
          <w:tcPr>
            <w:tcW w:type="dxa" w:w="1817"/>
            <w:shd w:val="clear" w:color="auto" w:fill="EAF1F4"/>
          </w:tcPr>
          <w:p>
            <w:pPr>
              <w:spacing w:after="50" w:before="50" w:line="252" w:lineRule="auto"/>
            </w:pPr>
            <w:r>
              <w:rPr>
                <w:sz w:val="17"/>
              </w:rPr>
              <w:t>EQ-UAP-056</w:t>
            </w:r>
          </w:p>
        </w:tc>
        <w:tc>
          <w:tcPr>
            <w:tcW w:type="dxa" w:w="6955"/>
            <w:shd w:val="clear" w:color="auto" w:fill="EAF1F4"/>
          </w:tcPr>
          <w:p>
            <w:pPr>
              <w:spacing w:after="50" w:before="50" w:line="252" w:lineRule="auto"/>
            </w:pPr>
            <w:r>
              <w:rPr>
                <w:sz w:val="17"/>
              </w:rPr>
              <w:t>Credit-Bearing Certificate Course — Academic Design</w:t>
            </w:r>
          </w:p>
        </w:tc>
        <w:tc>
          <w:tcPr>
            <w:tcW w:type="dxa" w:w="850"/>
            <w:shd w:val="clear" w:color="auto" w:fill="EAF1F4"/>
          </w:tcPr>
          <w:p>
            <w:pPr>
              <w:spacing w:after="50" w:before="50" w:line="252" w:lineRule="auto"/>
            </w:pPr>
            <w:r>
              <w:rPr>
                <w:sz w:val="17"/>
              </w:rPr>
              <w:t>05</w:t>
            </w:r>
          </w:p>
        </w:tc>
      </w:tr>
      <w:tr>
        <w:tc>
          <w:tcPr>
            <w:tcW w:type="dxa" w:w="1817"/>
          </w:tcPr>
          <w:p>
            <w:pPr>
              <w:spacing w:after="50" w:before="50" w:line="252" w:lineRule="auto"/>
            </w:pPr>
            <w:r>
              <w:rPr>
                <w:sz w:val="17"/>
              </w:rPr>
              <w:t>EQ-UAP-057</w:t>
            </w:r>
          </w:p>
        </w:tc>
        <w:tc>
          <w:tcPr>
            <w:tcW w:type="dxa" w:w="6955"/>
          </w:tcPr>
          <w:p>
            <w:pPr>
              <w:spacing w:after="50" w:before="50" w:line="252" w:lineRule="auto"/>
            </w:pPr>
            <w:r>
              <w:rPr>
                <w:sz w:val="17"/>
              </w:rPr>
              <w:t>Assessment, Evaluation &amp; Certification Policy</w:t>
            </w:r>
          </w:p>
        </w:tc>
        <w:tc>
          <w:tcPr>
            <w:tcW w:type="dxa" w:w="850"/>
          </w:tcPr>
          <w:p>
            <w:pPr>
              <w:spacing w:after="50" w:before="50" w:line="252" w:lineRule="auto"/>
            </w:pPr>
            <w:r>
              <w:rPr>
                <w:sz w:val="17"/>
              </w:rPr>
              <w:t>05</w:t>
            </w:r>
          </w:p>
        </w:tc>
      </w:tr>
      <w:tr>
        <w:tc>
          <w:tcPr>
            <w:tcW w:type="dxa" w:w="1817"/>
            <w:shd w:val="clear" w:color="auto" w:fill="EAF1F4"/>
          </w:tcPr>
          <w:p>
            <w:pPr>
              <w:spacing w:after="50" w:before="50" w:line="252" w:lineRule="auto"/>
            </w:pPr>
            <w:r>
              <w:rPr>
                <w:sz w:val="17"/>
              </w:rPr>
              <w:t>EQ-UAP-058</w:t>
            </w:r>
          </w:p>
        </w:tc>
        <w:tc>
          <w:tcPr>
            <w:tcW w:type="dxa" w:w="6955"/>
            <w:shd w:val="clear" w:color="auto" w:fill="EAF1F4"/>
          </w:tcPr>
          <w:p>
            <w:pPr>
              <w:spacing w:after="50" w:before="50" w:line="252" w:lineRule="auto"/>
            </w:pPr>
            <w:r>
              <w:rPr>
                <w:sz w:val="17"/>
              </w:rPr>
              <w:t>Trainer Manual &amp; Facilitation Guide</w:t>
            </w:r>
          </w:p>
        </w:tc>
        <w:tc>
          <w:tcPr>
            <w:tcW w:type="dxa" w:w="850"/>
            <w:shd w:val="clear" w:color="auto" w:fill="EAF1F4"/>
          </w:tcPr>
          <w:p>
            <w:pPr>
              <w:spacing w:after="50" w:before="50" w:line="252" w:lineRule="auto"/>
            </w:pPr>
            <w:r>
              <w:rPr>
                <w:sz w:val="17"/>
              </w:rPr>
              <w:t>05</w:t>
            </w:r>
          </w:p>
        </w:tc>
      </w:tr>
      <w:tr>
        <w:tc>
          <w:tcPr>
            <w:tcW w:type="dxa" w:w="1817"/>
          </w:tcPr>
          <w:p>
            <w:pPr>
              <w:spacing w:after="50" w:before="50" w:line="252" w:lineRule="auto"/>
            </w:pPr>
            <w:r>
              <w:rPr>
                <w:b/>
                <w:sz w:val="17"/>
              </w:rPr>
              <w:t>EQ-UAP-104</w:t>
            </w:r>
          </w:p>
        </w:tc>
        <w:tc>
          <w:tcPr>
            <w:tcW w:type="dxa" w:w="6955"/>
          </w:tcPr>
          <w:p>
            <w:pPr>
              <w:spacing w:after="50" w:before="50" w:line="252" w:lineRule="auto"/>
            </w:pPr>
            <w:r>
              <w:rPr>
                <w:b/>
                <w:sz w:val="17"/>
              </w:rPr>
              <w:t>Simulation Pack Compendium S-01 to S-08</w:t>
            </w:r>
          </w:p>
        </w:tc>
        <w:tc>
          <w:tcPr>
            <w:tcW w:type="dxa" w:w="850"/>
          </w:tcPr>
          <w:p>
            <w:pPr>
              <w:spacing w:after="50" w:before="50" w:line="252" w:lineRule="auto"/>
            </w:pPr>
            <w:r>
              <w:rPr>
                <w:b/>
                <w:sz w:val="17"/>
              </w:rPr>
              <w:t>05</w:t>
            </w:r>
          </w:p>
        </w:tc>
      </w:tr>
      <w:tr>
        <w:tc>
          <w:tcPr>
            <w:tcW w:type="dxa" w:w="1817"/>
            <w:shd w:val="clear" w:color="auto" w:fill="EAF1F4"/>
          </w:tcPr>
          <w:p>
            <w:pPr>
              <w:spacing w:after="50" w:before="50" w:line="252" w:lineRule="auto"/>
            </w:pPr>
            <w:r>
              <w:rPr>
                <w:b/>
                <w:sz w:val="17"/>
              </w:rPr>
              <w:t>EQ-UAP-105</w:t>
            </w:r>
          </w:p>
        </w:tc>
        <w:tc>
          <w:tcPr>
            <w:tcW w:type="dxa" w:w="6955"/>
            <w:shd w:val="clear" w:color="auto" w:fill="EAF1F4"/>
          </w:tcPr>
          <w:p>
            <w:pPr>
              <w:spacing w:after="50" w:before="50" w:line="252" w:lineRule="auto"/>
            </w:pPr>
            <w:r>
              <w:rPr>
                <w:b/>
                <w:sz w:val="17"/>
              </w:rPr>
              <w:t>Participant Workbook — 40-Hour Basic Mediation Training</w:t>
            </w:r>
          </w:p>
        </w:tc>
        <w:tc>
          <w:tcPr>
            <w:tcW w:type="dxa" w:w="850"/>
            <w:shd w:val="clear" w:color="auto" w:fill="EAF1F4"/>
          </w:tcPr>
          <w:p>
            <w:pPr>
              <w:spacing w:after="50" w:before="50" w:line="252" w:lineRule="auto"/>
            </w:pPr>
            <w:r>
              <w:rPr>
                <w:b/>
                <w:sz w:val="17"/>
              </w:rPr>
              <w:t>05</w:t>
            </w:r>
          </w:p>
        </w:tc>
      </w:tr>
      <w:tr>
        <w:tc>
          <w:tcPr>
            <w:tcW w:type="dxa" w:w="1817"/>
          </w:tcPr>
          <w:p>
            <w:pPr>
              <w:spacing w:after="50" w:before="50" w:line="252" w:lineRule="auto"/>
            </w:pPr>
            <w:r>
              <w:rPr>
                <w:b/>
                <w:sz w:val="17"/>
              </w:rPr>
              <w:t>EQ-UAP-115</w:t>
            </w:r>
          </w:p>
        </w:tc>
        <w:tc>
          <w:tcPr>
            <w:tcW w:type="dxa" w:w="6955"/>
          </w:tcPr>
          <w:p>
            <w:pPr>
              <w:spacing w:after="50" w:before="50" w:line="252" w:lineRule="auto"/>
            </w:pPr>
            <w:r>
              <w:rPr>
                <w:b/>
                <w:sz w:val="17"/>
              </w:rPr>
              <w:t>Trainer Deck — 40-Hour Basic Mediation Training</w:t>
            </w:r>
            <w:r>
              <w:rPr>
                <w:sz w:val="17"/>
              </w:rPr>
              <w:t xml:space="preserve"> </w:t>
            </w:r>
            <w:r>
              <w:rPr>
                <w:i/>
                <w:sz w:val="17"/>
              </w:rPr>
              <w:t>(.pptx)</w:t>
            </w:r>
          </w:p>
        </w:tc>
        <w:tc>
          <w:tcPr>
            <w:tcW w:type="dxa" w:w="850"/>
          </w:tcPr>
          <w:p>
            <w:pPr>
              <w:spacing w:after="50" w:before="50" w:line="252" w:lineRule="auto"/>
            </w:pPr>
            <w:r>
              <w:rPr>
                <w:b/>
                <w:sz w:val="17"/>
              </w:rPr>
              <w:t>05</w:t>
            </w:r>
          </w:p>
        </w:tc>
      </w:tr>
      <w:tr>
        <w:tc>
          <w:tcPr>
            <w:tcW w:type="dxa" w:w="1817"/>
            <w:shd w:val="clear" w:color="auto" w:fill="EAF1F4"/>
          </w:tcPr>
          <w:p>
            <w:pPr>
              <w:spacing w:after="50" w:before="50" w:line="252" w:lineRule="auto"/>
            </w:pPr>
            <w:r>
              <w:rPr>
                <w:b/>
                <w:sz w:val="17"/>
              </w:rPr>
              <w:t>EQ-UAP-118</w:t>
            </w:r>
          </w:p>
        </w:tc>
        <w:tc>
          <w:tcPr>
            <w:tcW w:type="dxa" w:w="6955"/>
            <w:shd w:val="clear" w:color="auto" w:fill="EAF1F4"/>
          </w:tcPr>
          <w:p>
            <w:pPr>
              <w:spacing w:after="50" w:before="50" w:line="252" w:lineRule="auto"/>
            </w:pPr>
            <w:r>
              <w:rPr>
                <w:b/>
                <w:sz w:val="17"/>
              </w:rPr>
              <w:t>Student Orientation Deck</w:t>
            </w:r>
            <w:r>
              <w:rPr>
                <w:sz w:val="17"/>
              </w:rPr>
              <w:t xml:space="preserve"> </w:t>
            </w:r>
            <w:r>
              <w:rPr>
                <w:i/>
                <w:sz w:val="17"/>
              </w:rPr>
              <w:t>(.pptx)</w:t>
            </w:r>
          </w:p>
        </w:tc>
        <w:tc>
          <w:tcPr>
            <w:tcW w:type="dxa" w:w="850"/>
            <w:shd w:val="clear" w:color="auto" w:fill="EAF1F4"/>
          </w:tcPr>
          <w:p>
            <w:pPr>
              <w:spacing w:after="50" w:before="50" w:line="252" w:lineRule="auto"/>
            </w:pPr>
            <w:r>
              <w:rPr>
                <w:b/>
                <w:sz w:val="17"/>
              </w:rPr>
              <w:t>05</w:t>
            </w:r>
          </w:p>
        </w:tc>
      </w:tr>
      <w:tr>
        <w:tc>
          <w:tcPr>
            <w:tcW w:type="dxa" w:w="1817"/>
          </w:tcPr>
          <w:p>
            <w:pPr>
              <w:spacing w:after="50" w:before="50" w:line="252" w:lineRule="auto"/>
            </w:pPr>
            <w:r>
              <w:rPr>
                <w:sz w:val="17"/>
              </w:rPr>
              <w:t>EQ-UAP-061</w:t>
            </w:r>
          </w:p>
        </w:tc>
        <w:tc>
          <w:tcPr>
            <w:tcW w:type="dxa" w:w="6955"/>
          </w:tcPr>
          <w:p>
            <w:pPr>
              <w:spacing w:after="50" w:before="50" w:line="252" w:lineRule="auto"/>
            </w:pPr>
            <w:r>
              <w:rPr>
                <w:sz w:val="17"/>
              </w:rPr>
              <w:t>Competition Framework &amp; Governance</w:t>
            </w:r>
          </w:p>
        </w:tc>
        <w:tc>
          <w:tcPr>
            <w:tcW w:type="dxa" w:w="850"/>
          </w:tcPr>
          <w:p>
            <w:pPr>
              <w:spacing w:after="50" w:before="50" w:line="252" w:lineRule="auto"/>
            </w:pPr>
            <w:r>
              <w:rPr>
                <w:sz w:val="17"/>
              </w:rPr>
              <w:t>06</w:t>
            </w:r>
          </w:p>
        </w:tc>
      </w:tr>
      <w:tr>
        <w:tc>
          <w:tcPr>
            <w:tcW w:type="dxa" w:w="1817"/>
            <w:shd w:val="clear" w:color="auto" w:fill="EAF1F4"/>
          </w:tcPr>
          <w:p>
            <w:pPr>
              <w:spacing w:after="50" w:before="50" w:line="252" w:lineRule="auto"/>
            </w:pPr>
            <w:r>
              <w:rPr>
                <w:sz w:val="17"/>
              </w:rPr>
              <w:t>EQ-UAP-062</w:t>
            </w:r>
          </w:p>
        </w:tc>
        <w:tc>
          <w:tcPr>
            <w:tcW w:type="dxa" w:w="6955"/>
            <w:shd w:val="clear" w:color="auto" w:fill="EAF1F4"/>
          </w:tcPr>
          <w:p>
            <w:pPr>
              <w:spacing w:after="50" w:before="50" w:line="252" w:lineRule="auto"/>
            </w:pPr>
            <w:r>
              <w:rPr>
                <w:sz w:val="17"/>
              </w:rPr>
              <w:t>Official Rules — Equator National Mediation Championship</w:t>
            </w:r>
          </w:p>
        </w:tc>
        <w:tc>
          <w:tcPr>
            <w:tcW w:type="dxa" w:w="850"/>
            <w:shd w:val="clear" w:color="auto" w:fill="EAF1F4"/>
          </w:tcPr>
          <w:p>
            <w:pPr>
              <w:spacing w:after="50" w:before="50" w:line="252" w:lineRule="auto"/>
            </w:pPr>
            <w:r>
              <w:rPr>
                <w:sz w:val="17"/>
              </w:rPr>
              <w:t>06</w:t>
            </w:r>
          </w:p>
        </w:tc>
      </w:tr>
      <w:tr>
        <w:tc>
          <w:tcPr>
            <w:tcW w:type="dxa" w:w="1817"/>
          </w:tcPr>
          <w:p>
            <w:pPr>
              <w:spacing w:after="50" w:before="50" w:line="252" w:lineRule="auto"/>
            </w:pPr>
            <w:r>
              <w:rPr>
                <w:sz w:val="17"/>
              </w:rPr>
              <w:t>EQ-UAP-063</w:t>
            </w:r>
          </w:p>
        </w:tc>
        <w:tc>
          <w:tcPr>
            <w:tcW w:type="dxa" w:w="6955"/>
          </w:tcPr>
          <w:p>
            <w:pPr>
              <w:spacing w:after="50" w:before="50" w:line="252" w:lineRule="auto"/>
            </w:pPr>
            <w:r>
              <w:rPr>
                <w:sz w:val="17"/>
              </w:rPr>
              <w:t>Competition Problem — General Information</w:t>
            </w:r>
          </w:p>
        </w:tc>
        <w:tc>
          <w:tcPr>
            <w:tcW w:type="dxa" w:w="850"/>
          </w:tcPr>
          <w:p>
            <w:pPr>
              <w:spacing w:after="50" w:before="50" w:line="252" w:lineRule="auto"/>
            </w:pPr>
            <w:r>
              <w:rPr>
                <w:sz w:val="17"/>
              </w:rPr>
              <w:t>06</w:t>
            </w:r>
          </w:p>
        </w:tc>
      </w:tr>
      <w:tr>
        <w:tc>
          <w:tcPr>
            <w:tcW w:type="dxa" w:w="1817"/>
            <w:shd w:val="clear" w:color="auto" w:fill="EAF1F4"/>
          </w:tcPr>
          <w:p>
            <w:pPr>
              <w:spacing w:after="50" w:before="50" w:line="252" w:lineRule="auto"/>
            </w:pPr>
            <w:r>
              <w:rPr>
                <w:sz w:val="17"/>
              </w:rPr>
              <w:t>EQ-UAP-064</w:t>
            </w:r>
          </w:p>
        </w:tc>
        <w:tc>
          <w:tcPr>
            <w:tcW w:type="dxa" w:w="6955"/>
            <w:shd w:val="clear" w:color="auto" w:fill="EAF1F4"/>
          </w:tcPr>
          <w:p>
            <w:pPr>
              <w:spacing w:after="50" w:before="50" w:line="252" w:lineRule="auto"/>
            </w:pPr>
            <w:r>
              <w:rPr>
                <w:sz w:val="17"/>
              </w:rPr>
              <w:t>Confidential Information — Claimant</w:t>
            </w:r>
          </w:p>
        </w:tc>
        <w:tc>
          <w:tcPr>
            <w:tcW w:type="dxa" w:w="850"/>
            <w:shd w:val="clear" w:color="auto" w:fill="EAF1F4"/>
          </w:tcPr>
          <w:p>
            <w:pPr>
              <w:spacing w:after="50" w:before="50" w:line="252" w:lineRule="auto"/>
            </w:pPr>
            <w:r>
              <w:rPr>
                <w:sz w:val="17"/>
              </w:rPr>
              <w:t>06</w:t>
            </w:r>
          </w:p>
        </w:tc>
      </w:tr>
      <w:tr>
        <w:tc>
          <w:tcPr>
            <w:tcW w:type="dxa" w:w="1817"/>
          </w:tcPr>
          <w:p>
            <w:pPr>
              <w:spacing w:after="50" w:before="50" w:line="252" w:lineRule="auto"/>
            </w:pPr>
            <w:r>
              <w:rPr>
                <w:sz w:val="17"/>
              </w:rPr>
              <w:t>EQ-UAP-065</w:t>
            </w:r>
          </w:p>
        </w:tc>
        <w:tc>
          <w:tcPr>
            <w:tcW w:type="dxa" w:w="6955"/>
          </w:tcPr>
          <w:p>
            <w:pPr>
              <w:spacing w:after="50" w:before="50" w:line="252" w:lineRule="auto"/>
            </w:pPr>
            <w:r>
              <w:rPr>
                <w:sz w:val="17"/>
              </w:rPr>
              <w:t>Confidential Information — Respondent</w:t>
            </w:r>
          </w:p>
        </w:tc>
        <w:tc>
          <w:tcPr>
            <w:tcW w:type="dxa" w:w="850"/>
          </w:tcPr>
          <w:p>
            <w:pPr>
              <w:spacing w:after="50" w:before="50" w:line="252" w:lineRule="auto"/>
            </w:pPr>
            <w:r>
              <w:rPr>
                <w:sz w:val="17"/>
              </w:rPr>
              <w:t>06</w:t>
            </w:r>
          </w:p>
        </w:tc>
      </w:tr>
      <w:tr>
        <w:tc>
          <w:tcPr>
            <w:tcW w:type="dxa" w:w="1817"/>
            <w:shd w:val="clear" w:color="auto" w:fill="EAF1F4"/>
          </w:tcPr>
          <w:p>
            <w:pPr>
              <w:spacing w:after="50" w:before="50" w:line="252" w:lineRule="auto"/>
            </w:pPr>
            <w:r>
              <w:rPr>
                <w:sz w:val="17"/>
              </w:rPr>
              <w:t>EQ-UAP-066</w:t>
            </w:r>
          </w:p>
        </w:tc>
        <w:tc>
          <w:tcPr>
            <w:tcW w:type="dxa" w:w="6955"/>
            <w:shd w:val="clear" w:color="auto" w:fill="EAF1F4"/>
          </w:tcPr>
          <w:p>
            <w:pPr>
              <w:spacing w:after="50" w:before="50" w:line="252" w:lineRule="auto"/>
            </w:pPr>
            <w:r>
              <w:rPr>
                <w:sz w:val="17"/>
              </w:rPr>
              <w:t>Mediator Brief &amp; Assessor Notes</w:t>
            </w:r>
          </w:p>
        </w:tc>
        <w:tc>
          <w:tcPr>
            <w:tcW w:type="dxa" w:w="850"/>
            <w:shd w:val="clear" w:color="auto" w:fill="EAF1F4"/>
          </w:tcPr>
          <w:p>
            <w:pPr>
              <w:spacing w:after="50" w:before="50" w:line="252" w:lineRule="auto"/>
            </w:pPr>
            <w:r>
              <w:rPr>
                <w:sz w:val="17"/>
              </w:rPr>
              <w:t>06</w:t>
            </w:r>
          </w:p>
        </w:tc>
      </w:tr>
      <w:tr>
        <w:tc>
          <w:tcPr>
            <w:tcW w:type="dxa" w:w="1817"/>
          </w:tcPr>
          <w:p>
            <w:pPr>
              <w:spacing w:after="50" w:before="50" w:line="252" w:lineRule="auto"/>
            </w:pPr>
            <w:r>
              <w:rPr>
                <w:sz w:val="17"/>
              </w:rPr>
              <w:t>EQ-UAP-067</w:t>
            </w:r>
          </w:p>
        </w:tc>
        <w:tc>
          <w:tcPr>
            <w:tcW w:type="dxa" w:w="6955"/>
          </w:tcPr>
          <w:p>
            <w:pPr>
              <w:spacing w:after="50" w:before="50" w:line="252" w:lineRule="auto"/>
            </w:pPr>
            <w:r>
              <w:rPr>
                <w:sz w:val="17"/>
              </w:rPr>
              <w:t>Scoresheets &amp; Judging Criteria</w:t>
            </w:r>
          </w:p>
        </w:tc>
        <w:tc>
          <w:tcPr>
            <w:tcW w:type="dxa" w:w="850"/>
          </w:tcPr>
          <w:p>
            <w:pPr>
              <w:spacing w:after="50" w:before="50" w:line="252" w:lineRule="auto"/>
            </w:pPr>
            <w:r>
              <w:rPr>
                <w:sz w:val="17"/>
              </w:rPr>
              <w:t>06</w:t>
            </w:r>
          </w:p>
        </w:tc>
      </w:tr>
      <w:tr>
        <w:tc>
          <w:tcPr>
            <w:tcW w:type="dxa" w:w="1817"/>
            <w:shd w:val="clear" w:color="auto" w:fill="EAF1F4"/>
          </w:tcPr>
          <w:p>
            <w:pPr>
              <w:spacing w:after="50" w:before="50" w:line="252" w:lineRule="auto"/>
            </w:pPr>
            <w:r>
              <w:rPr>
                <w:sz w:val="17"/>
              </w:rPr>
              <w:t>EQ-UAP-068</w:t>
            </w:r>
          </w:p>
        </w:tc>
        <w:tc>
          <w:tcPr>
            <w:tcW w:type="dxa" w:w="6955"/>
            <w:shd w:val="clear" w:color="auto" w:fill="EAF1F4"/>
          </w:tcPr>
          <w:p>
            <w:pPr>
              <w:spacing w:after="50" w:before="50" w:line="252" w:lineRule="auto"/>
            </w:pPr>
            <w:r>
              <w:rPr>
                <w:sz w:val="17"/>
              </w:rPr>
              <w:t>Judge &amp; Assessor Briefing and Calibration Pack</w:t>
            </w:r>
          </w:p>
        </w:tc>
        <w:tc>
          <w:tcPr>
            <w:tcW w:type="dxa" w:w="850"/>
            <w:shd w:val="clear" w:color="auto" w:fill="EAF1F4"/>
          </w:tcPr>
          <w:p>
            <w:pPr>
              <w:spacing w:after="50" w:before="50" w:line="252" w:lineRule="auto"/>
            </w:pPr>
            <w:r>
              <w:rPr>
                <w:sz w:val="17"/>
              </w:rPr>
              <w:t>06</w:t>
            </w:r>
          </w:p>
        </w:tc>
      </w:tr>
      <w:tr>
        <w:tc>
          <w:tcPr>
            <w:tcW w:type="dxa" w:w="1817"/>
          </w:tcPr>
          <w:p>
            <w:pPr>
              <w:spacing w:after="50" w:before="50" w:line="252" w:lineRule="auto"/>
            </w:pPr>
            <w:r>
              <w:rPr>
                <w:sz w:val="17"/>
              </w:rPr>
              <w:t>EQ-UAP-069</w:t>
            </w:r>
          </w:p>
        </w:tc>
        <w:tc>
          <w:tcPr>
            <w:tcW w:type="dxa" w:w="6955"/>
          </w:tcPr>
          <w:p>
            <w:pPr>
              <w:spacing w:after="50" w:before="50" w:line="252" w:lineRule="auto"/>
            </w:pPr>
            <w:r>
              <w:rPr>
                <w:sz w:val="17"/>
              </w:rPr>
              <w:t>Competition Operations Manual &amp; Run Sheet</w:t>
            </w:r>
          </w:p>
        </w:tc>
        <w:tc>
          <w:tcPr>
            <w:tcW w:type="dxa" w:w="850"/>
          </w:tcPr>
          <w:p>
            <w:pPr>
              <w:spacing w:after="50" w:before="50" w:line="252" w:lineRule="auto"/>
            </w:pPr>
            <w:r>
              <w:rPr>
                <w:sz w:val="17"/>
              </w:rPr>
              <w:t>06</w:t>
            </w:r>
          </w:p>
        </w:tc>
      </w:tr>
      <w:tr>
        <w:tc>
          <w:tcPr>
            <w:tcW w:type="dxa" w:w="1817"/>
            <w:shd w:val="clear" w:color="auto" w:fill="EAF1F4"/>
          </w:tcPr>
          <w:p>
            <w:pPr>
              <w:spacing w:after="50" w:before="50" w:line="252" w:lineRule="auto"/>
            </w:pPr>
            <w:r>
              <w:rPr>
                <w:sz w:val="17"/>
              </w:rPr>
              <w:t>EQ-UAP-070</w:t>
            </w:r>
          </w:p>
        </w:tc>
        <w:tc>
          <w:tcPr>
            <w:tcW w:type="dxa" w:w="6955"/>
            <w:shd w:val="clear" w:color="auto" w:fill="EAF1F4"/>
          </w:tcPr>
          <w:p>
            <w:pPr>
              <w:spacing w:after="50" w:before="50" w:line="252" w:lineRule="auto"/>
            </w:pPr>
            <w:r>
              <w:rPr>
                <w:sz w:val="17"/>
              </w:rPr>
              <w:t>Team Handbook &amp; Registration Pack</w:t>
            </w:r>
          </w:p>
        </w:tc>
        <w:tc>
          <w:tcPr>
            <w:tcW w:type="dxa" w:w="850"/>
            <w:shd w:val="clear" w:color="auto" w:fill="EAF1F4"/>
          </w:tcPr>
          <w:p>
            <w:pPr>
              <w:spacing w:after="50" w:before="50" w:line="252" w:lineRule="auto"/>
            </w:pPr>
            <w:r>
              <w:rPr>
                <w:sz w:val="17"/>
              </w:rPr>
              <w:t>06</w:t>
            </w:r>
          </w:p>
        </w:tc>
      </w:tr>
      <w:tr>
        <w:tc>
          <w:tcPr>
            <w:tcW w:type="dxa" w:w="1817"/>
          </w:tcPr>
          <w:p>
            <w:pPr>
              <w:spacing w:after="50" w:before="50" w:line="252" w:lineRule="auto"/>
            </w:pPr>
            <w:r>
              <w:rPr>
                <w:sz w:val="17"/>
              </w:rPr>
              <w:t>EQ-UAP-071</w:t>
            </w:r>
          </w:p>
        </w:tc>
        <w:tc>
          <w:tcPr>
            <w:tcW w:type="dxa" w:w="6955"/>
          </w:tcPr>
          <w:p>
            <w:pPr>
              <w:spacing w:after="50" w:before="50" w:line="252" w:lineRule="auto"/>
            </w:pPr>
            <w:r>
              <w:rPr>
                <w:sz w:val="17"/>
              </w:rPr>
              <w:t>Arbitration Moot Problem</w:t>
            </w:r>
          </w:p>
        </w:tc>
        <w:tc>
          <w:tcPr>
            <w:tcW w:type="dxa" w:w="850"/>
          </w:tcPr>
          <w:p>
            <w:pPr>
              <w:spacing w:after="50" w:before="50" w:line="252" w:lineRule="auto"/>
            </w:pPr>
            <w:r>
              <w:rPr>
                <w:sz w:val="17"/>
              </w:rPr>
              <w:t>06</w:t>
            </w:r>
          </w:p>
        </w:tc>
      </w:tr>
      <w:tr>
        <w:tc>
          <w:tcPr>
            <w:tcW w:type="dxa" w:w="1817"/>
            <w:shd w:val="clear" w:color="auto" w:fill="EAF1F4"/>
          </w:tcPr>
          <w:p>
            <w:pPr>
              <w:spacing w:after="50" w:before="50" w:line="252" w:lineRule="auto"/>
            </w:pPr>
            <w:r>
              <w:rPr>
                <w:sz w:val="17"/>
              </w:rPr>
              <w:t>EQ-UAP-072</w:t>
            </w:r>
          </w:p>
        </w:tc>
        <w:tc>
          <w:tcPr>
            <w:tcW w:type="dxa" w:w="6955"/>
            <w:shd w:val="clear" w:color="auto" w:fill="EAF1F4"/>
          </w:tcPr>
          <w:p>
            <w:pPr>
              <w:spacing w:after="50" w:before="50" w:line="252" w:lineRule="auto"/>
            </w:pPr>
            <w:r>
              <w:rPr>
                <w:sz w:val="17"/>
              </w:rPr>
              <w:t>Negotiation Competition Problem</w:t>
            </w:r>
          </w:p>
        </w:tc>
        <w:tc>
          <w:tcPr>
            <w:tcW w:type="dxa" w:w="850"/>
            <w:shd w:val="clear" w:color="auto" w:fill="EAF1F4"/>
          </w:tcPr>
          <w:p>
            <w:pPr>
              <w:spacing w:after="50" w:before="50" w:line="252" w:lineRule="auto"/>
            </w:pPr>
            <w:r>
              <w:rPr>
                <w:sz w:val="17"/>
              </w:rPr>
              <w:t>06</w:t>
            </w:r>
          </w:p>
        </w:tc>
      </w:tr>
      <w:tr>
        <w:tc>
          <w:tcPr>
            <w:tcW w:type="dxa" w:w="1817"/>
          </w:tcPr>
          <w:p>
            <w:pPr>
              <w:spacing w:after="50" w:before="50" w:line="252" w:lineRule="auto"/>
            </w:pPr>
            <w:r>
              <w:rPr>
                <w:sz w:val="17"/>
              </w:rPr>
              <w:t>EQ-UAP-073</w:t>
            </w:r>
          </w:p>
        </w:tc>
        <w:tc>
          <w:tcPr>
            <w:tcW w:type="dxa" w:w="6955"/>
          </w:tcPr>
          <w:p>
            <w:pPr>
              <w:spacing w:after="50" w:before="50" w:line="252" w:lineRule="auto"/>
            </w:pPr>
            <w:r>
              <w:rPr>
                <w:sz w:val="17"/>
              </w:rPr>
              <w:t>Partnership Onboarding &amp; Activation SOP</w:t>
            </w:r>
          </w:p>
        </w:tc>
        <w:tc>
          <w:tcPr>
            <w:tcW w:type="dxa" w:w="850"/>
          </w:tcPr>
          <w:p>
            <w:pPr>
              <w:spacing w:after="50" w:before="50" w:line="252" w:lineRule="auto"/>
            </w:pPr>
            <w:r>
              <w:rPr>
                <w:sz w:val="17"/>
              </w:rPr>
              <w:t>07</w:t>
            </w:r>
          </w:p>
        </w:tc>
      </w:tr>
      <w:tr>
        <w:tc>
          <w:tcPr>
            <w:tcW w:type="dxa" w:w="1817"/>
            <w:shd w:val="clear" w:color="auto" w:fill="EAF1F4"/>
          </w:tcPr>
          <w:p>
            <w:pPr>
              <w:spacing w:after="50" w:before="50" w:line="252" w:lineRule="auto"/>
            </w:pPr>
            <w:r>
              <w:rPr>
                <w:sz w:val="17"/>
              </w:rPr>
              <w:t>EQ-UAP-074</w:t>
            </w:r>
          </w:p>
        </w:tc>
        <w:tc>
          <w:tcPr>
            <w:tcW w:type="dxa" w:w="6955"/>
            <w:shd w:val="clear" w:color="auto" w:fill="EAF1F4"/>
          </w:tcPr>
          <w:p>
            <w:pPr>
              <w:spacing w:after="50" w:before="50" w:line="252" w:lineRule="auto"/>
            </w:pPr>
            <w:r>
              <w:rPr>
                <w:sz w:val="17"/>
              </w:rPr>
              <w:t>Internship Programme SOP</w:t>
            </w:r>
          </w:p>
        </w:tc>
        <w:tc>
          <w:tcPr>
            <w:tcW w:type="dxa" w:w="850"/>
            <w:shd w:val="clear" w:color="auto" w:fill="EAF1F4"/>
          </w:tcPr>
          <w:p>
            <w:pPr>
              <w:spacing w:after="50" w:before="50" w:line="252" w:lineRule="auto"/>
            </w:pPr>
            <w:r>
              <w:rPr>
                <w:sz w:val="17"/>
              </w:rPr>
              <w:t>07</w:t>
            </w:r>
          </w:p>
        </w:tc>
      </w:tr>
      <w:tr>
        <w:tc>
          <w:tcPr>
            <w:tcW w:type="dxa" w:w="1817"/>
          </w:tcPr>
          <w:p>
            <w:pPr>
              <w:spacing w:after="50" w:before="50" w:line="252" w:lineRule="auto"/>
            </w:pPr>
            <w:r>
              <w:rPr>
                <w:sz w:val="17"/>
              </w:rPr>
              <w:t>EQ-UAP-075</w:t>
            </w:r>
          </w:p>
        </w:tc>
        <w:tc>
          <w:tcPr>
            <w:tcW w:type="dxa" w:w="6955"/>
          </w:tcPr>
          <w:p>
            <w:pPr>
              <w:spacing w:after="50" w:before="50" w:line="252" w:lineRule="auto"/>
            </w:pPr>
            <w:r>
              <w:rPr>
                <w:sz w:val="17"/>
              </w:rPr>
              <w:t>Training Delivery SOP</w:t>
            </w:r>
          </w:p>
        </w:tc>
        <w:tc>
          <w:tcPr>
            <w:tcW w:type="dxa" w:w="850"/>
          </w:tcPr>
          <w:p>
            <w:pPr>
              <w:spacing w:after="50" w:before="50" w:line="252" w:lineRule="auto"/>
            </w:pPr>
            <w:r>
              <w:rPr>
                <w:sz w:val="17"/>
              </w:rPr>
              <w:t>07</w:t>
            </w:r>
          </w:p>
        </w:tc>
      </w:tr>
      <w:tr>
        <w:tc>
          <w:tcPr>
            <w:tcW w:type="dxa" w:w="1817"/>
            <w:shd w:val="clear" w:color="auto" w:fill="EAF1F4"/>
          </w:tcPr>
          <w:p>
            <w:pPr>
              <w:spacing w:after="50" w:before="50" w:line="252" w:lineRule="auto"/>
            </w:pPr>
            <w:r>
              <w:rPr>
                <w:sz w:val="17"/>
              </w:rPr>
              <w:t>EQ-UAP-076</w:t>
            </w:r>
          </w:p>
        </w:tc>
        <w:tc>
          <w:tcPr>
            <w:tcW w:type="dxa" w:w="6955"/>
            <w:shd w:val="clear" w:color="auto" w:fill="EAF1F4"/>
          </w:tcPr>
          <w:p>
            <w:pPr>
              <w:spacing w:after="50" w:before="50" w:line="252" w:lineRule="auto"/>
            </w:pPr>
            <w:r>
              <w:rPr>
                <w:sz w:val="17"/>
              </w:rPr>
              <w:t>Event Management SOP</w:t>
            </w:r>
          </w:p>
        </w:tc>
        <w:tc>
          <w:tcPr>
            <w:tcW w:type="dxa" w:w="850"/>
            <w:shd w:val="clear" w:color="auto" w:fill="EAF1F4"/>
          </w:tcPr>
          <w:p>
            <w:pPr>
              <w:spacing w:after="50" w:before="50" w:line="252" w:lineRule="auto"/>
            </w:pPr>
            <w:r>
              <w:rPr>
                <w:sz w:val="17"/>
              </w:rPr>
              <w:t>07</w:t>
            </w:r>
          </w:p>
        </w:tc>
      </w:tr>
      <w:tr>
        <w:tc>
          <w:tcPr>
            <w:tcW w:type="dxa" w:w="1817"/>
          </w:tcPr>
          <w:p>
            <w:pPr>
              <w:spacing w:after="50" w:before="50" w:line="252" w:lineRule="auto"/>
            </w:pPr>
            <w:r>
              <w:rPr>
                <w:sz w:val="17"/>
              </w:rPr>
              <w:t>EQ-UAP-077</w:t>
            </w:r>
          </w:p>
        </w:tc>
        <w:tc>
          <w:tcPr>
            <w:tcW w:type="dxa" w:w="6955"/>
          </w:tcPr>
          <w:p>
            <w:pPr>
              <w:spacing w:after="50" w:before="50" w:line="252" w:lineRule="auto"/>
            </w:pPr>
            <w:r>
              <w:rPr>
                <w:sz w:val="17"/>
              </w:rPr>
              <w:t>Campus Mediation Cell — Establishment &amp; Operating Manual</w:t>
            </w:r>
          </w:p>
        </w:tc>
        <w:tc>
          <w:tcPr>
            <w:tcW w:type="dxa" w:w="850"/>
          </w:tcPr>
          <w:p>
            <w:pPr>
              <w:spacing w:after="50" w:before="50" w:line="252" w:lineRule="auto"/>
            </w:pPr>
            <w:r>
              <w:rPr>
                <w:sz w:val="17"/>
              </w:rPr>
              <w:t>07</w:t>
            </w:r>
          </w:p>
        </w:tc>
      </w:tr>
      <w:tr>
        <w:tc>
          <w:tcPr>
            <w:tcW w:type="dxa" w:w="1817"/>
            <w:shd w:val="clear" w:color="auto" w:fill="EAF1F4"/>
          </w:tcPr>
          <w:p>
            <w:pPr>
              <w:spacing w:after="50" w:before="50" w:line="252" w:lineRule="auto"/>
            </w:pPr>
            <w:r>
              <w:rPr>
                <w:sz w:val="17"/>
              </w:rPr>
              <w:t>EQ-UAP-078</w:t>
            </w:r>
          </w:p>
        </w:tc>
        <w:tc>
          <w:tcPr>
            <w:tcW w:type="dxa" w:w="6955"/>
            <w:shd w:val="clear" w:color="auto" w:fill="EAF1F4"/>
          </w:tcPr>
          <w:p>
            <w:pPr>
              <w:spacing w:after="50" w:before="50" w:line="252" w:lineRule="auto"/>
            </w:pPr>
            <w:r>
              <w:rPr>
                <w:sz w:val="17"/>
              </w:rPr>
              <w:t>Live Clinic &amp; Supervised Practice SOP</w:t>
            </w:r>
          </w:p>
        </w:tc>
        <w:tc>
          <w:tcPr>
            <w:tcW w:type="dxa" w:w="850"/>
            <w:shd w:val="clear" w:color="auto" w:fill="EAF1F4"/>
          </w:tcPr>
          <w:p>
            <w:pPr>
              <w:spacing w:after="50" w:before="50" w:line="252" w:lineRule="auto"/>
            </w:pPr>
            <w:r>
              <w:rPr>
                <w:sz w:val="17"/>
              </w:rPr>
              <w:t>07</w:t>
            </w:r>
          </w:p>
        </w:tc>
      </w:tr>
      <w:tr>
        <w:tc>
          <w:tcPr>
            <w:tcW w:type="dxa" w:w="1817"/>
          </w:tcPr>
          <w:p>
            <w:pPr>
              <w:spacing w:after="50" w:before="50" w:line="252" w:lineRule="auto"/>
            </w:pPr>
            <w:r>
              <w:rPr>
                <w:sz w:val="17"/>
              </w:rPr>
              <w:t>EQ-UAP-079</w:t>
            </w:r>
          </w:p>
        </w:tc>
        <w:tc>
          <w:tcPr>
            <w:tcW w:type="dxa" w:w="6955"/>
          </w:tcPr>
          <w:p>
            <w:pPr>
              <w:spacing w:after="50" w:before="50" w:line="252" w:lineRule="auto"/>
            </w:pPr>
            <w:r>
              <w:rPr>
                <w:sz w:val="17"/>
              </w:rPr>
              <w:t>Quality Assurance, Feedback &amp; Calibration SOP</w:t>
            </w:r>
          </w:p>
        </w:tc>
        <w:tc>
          <w:tcPr>
            <w:tcW w:type="dxa" w:w="850"/>
          </w:tcPr>
          <w:p>
            <w:pPr>
              <w:spacing w:after="50" w:before="50" w:line="252" w:lineRule="auto"/>
            </w:pPr>
            <w:r>
              <w:rPr>
                <w:sz w:val="17"/>
              </w:rPr>
              <w:t>07</w:t>
            </w:r>
          </w:p>
        </w:tc>
      </w:tr>
      <w:tr>
        <w:tc>
          <w:tcPr>
            <w:tcW w:type="dxa" w:w="1817"/>
            <w:shd w:val="clear" w:color="auto" w:fill="EAF1F4"/>
          </w:tcPr>
          <w:p>
            <w:pPr>
              <w:spacing w:after="50" w:before="50" w:line="252" w:lineRule="auto"/>
            </w:pPr>
            <w:r>
              <w:rPr>
                <w:sz w:val="17"/>
              </w:rPr>
              <w:t>EQ-UAP-080</w:t>
            </w:r>
          </w:p>
        </w:tc>
        <w:tc>
          <w:tcPr>
            <w:tcW w:type="dxa" w:w="6955"/>
            <w:shd w:val="clear" w:color="auto" w:fill="EAF1F4"/>
          </w:tcPr>
          <w:p>
            <w:pPr>
              <w:spacing w:after="50" w:before="50" w:line="252" w:lineRule="auto"/>
            </w:pPr>
            <w:r>
              <w:rPr>
                <w:sz w:val="17"/>
              </w:rPr>
              <w:t>Risk Register &amp; Escalation Matrix</w:t>
            </w:r>
          </w:p>
        </w:tc>
        <w:tc>
          <w:tcPr>
            <w:tcW w:type="dxa" w:w="850"/>
            <w:shd w:val="clear" w:color="auto" w:fill="EAF1F4"/>
          </w:tcPr>
          <w:p>
            <w:pPr>
              <w:spacing w:after="50" w:before="50" w:line="252" w:lineRule="auto"/>
            </w:pPr>
            <w:r>
              <w:rPr>
                <w:sz w:val="17"/>
              </w:rPr>
              <w:t>07</w:t>
            </w:r>
          </w:p>
        </w:tc>
      </w:tr>
      <w:tr>
        <w:tc>
          <w:tcPr>
            <w:tcW w:type="dxa" w:w="1817"/>
          </w:tcPr>
          <w:p>
            <w:pPr>
              <w:spacing w:after="50" w:before="50" w:line="252" w:lineRule="auto"/>
            </w:pPr>
            <w:r>
              <w:rPr>
                <w:sz w:val="17"/>
              </w:rPr>
              <w:t>EQ-UAP-081</w:t>
            </w:r>
          </w:p>
        </w:tc>
        <w:tc>
          <w:tcPr>
            <w:tcW w:type="dxa" w:w="6955"/>
          </w:tcPr>
          <w:p>
            <w:pPr>
              <w:spacing w:after="50" w:before="50" w:line="252" w:lineRule="auto"/>
            </w:pPr>
            <w:r>
              <w:rPr>
                <w:sz w:val="17"/>
              </w:rPr>
              <w:t>Code of Conduct, Ethics &amp; Conflict of Interest Policy</w:t>
            </w:r>
          </w:p>
        </w:tc>
        <w:tc>
          <w:tcPr>
            <w:tcW w:type="dxa" w:w="850"/>
          </w:tcPr>
          <w:p>
            <w:pPr>
              <w:spacing w:after="50" w:before="50" w:line="252" w:lineRule="auto"/>
            </w:pPr>
            <w:r>
              <w:rPr>
                <w:sz w:val="17"/>
              </w:rPr>
              <w:t>07</w:t>
            </w:r>
          </w:p>
        </w:tc>
      </w:tr>
      <w:tr>
        <w:tc>
          <w:tcPr>
            <w:tcW w:type="dxa" w:w="1817"/>
            <w:shd w:val="clear" w:color="auto" w:fill="EAF1F4"/>
          </w:tcPr>
          <w:p>
            <w:pPr>
              <w:spacing w:after="50" w:before="50" w:line="252" w:lineRule="auto"/>
            </w:pPr>
            <w:r>
              <w:rPr>
                <w:sz w:val="17"/>
              </w:rPr>
              <w:t>EQ-UAP-082</w:t>
            </w:r>
          </w:p>
        </w:tc>
        <w:tc>
          <w:tcPr>
            <w:tcW w:type="dxa" w:w="6955"/>
            <w:shd w:val="clear" w:color="auto" w:fill="EAF1F4"/>
          </w:tcPr>
          <w:p>
            <w:pPr>
              <w:spacing w:after="50" w:before="50" w:line="252" w:lineRule="auto"/>
            </w:pPr>
            <w:r>
              <w:rPr>
                <w:sz w:val="17"/>
              </w:rPr>
              <w:t>Safeguarding, POSH &amp; Student Grievance Policy</w:t>
            </w:r>
          </w:p>
        </w:tc>
        <w:tc>
          <w:tcPr>
            <w:tcW w:type="dxa" w:w="850"/>
            <w:shd w:val="clear" w:color="auto" w:fill="EAF1F4"/>
          </w:tcPr>
          <w:p>
            <w:pPr>
              <w:spacing w:after="50" w:before="50" w:line="252" w:lineRule="auto"/>
            </w:pPr>
            <w:r>
              <w:rPr>
                <w:sz w:val="17"/>
              </w:rPr>
              <w:t>07</w:t>
            </w:r>
          </w:p>
        </w:tc>
      </w:tr>
      <w:tr>
        <w:tc>
          <w:tcPr>
            <w:tcW w:type="dxa" w:w="1817"/>
          </w:tcPr>
          <w:p>
            <w:pPr>
              <w:spacing w:after="50" w:before="50" w:line="252" w:lineRule="auto"/>
            </w:pPr>
            <w:r>
              <w:rPr>
                <w:b/>
                <w:sz w:val="17"/>
              </w:rPr>
              <w:t>EQ-UAP-106</w:t>
            </w:r>
          </w:p>
        </w:tc>
        <w:tc>
          <w:tcPr>
            <w:tcW w:type="dxa" w:w="6955"/>
          </w:tcPr>
          <w:p>
            <w:pPr>
              <w:spacing w:after="50" w:before="50" w:line="252" w:lineRule="auto"/>
            </w:pPr>
            <w:r>
              <w:rPr>
                <w:b/>
                <w:sz w:val="17"/>
              </w:rPr>
              <w:t>Trainer Bench — Recruitment, Economics &amp; Development Plan</w:t>
            </w:r>
          </w:p>
        </w:tc>
        <w:tc>
          <w:tcPr>
            <w:tcW w:type="dxa" w:w="850"/>
          </w:tcPr>
          <w:p>
            <w:pPr>
              <w:spacing w:after="50" w:before="50" w:line="252" w:lineRule="auto"/>
            </w:pPr>
            <w:r>
              <w:rPr>
                <w:b/>
                <w:sz w:val="17"/>
              </w:rPr>
              <w:t>07</w:t>
            </w:r>
          </w:p>
        </w:tc>
      </w:tr>
      <w:tr>
        <w:tc>
          <w:tcPr>
            <w:tcW w:type="dxa" w:w="1817"/>
            <w:shd w:val="clear" w:color="auto" w:fill="EAF1F4"/>
          </w:tcPr>
          <w:p>
            <w:pPr>
              <w:spacing w:after="50" w:before="50" w:line="252" w:lineRule="auto"/>
            </w:pPr>
            <w:r>
              <w:rPr>
                <w:sz w:val="17"/>
              </w:rPr>
              <w:t>EQ-UAP-083</w:t>
            </w:r>
          </w:p>
        </w:tc>
        <w:tc>
          <w:tcPr>
            <w:tcW w:type="dxa" w:w="6955"/>
            <w:shd w:val="clear" w:color="auto" w:fill="EAF1F4"/>
          </w:tcPr>
          <w:p>
            <w:pPr>
              <w:spacing w:after="50" w:before="50" w:line="252" w:lineRule="auto"/>
            </w:pPr>
            <w:r>
              <w:rPr>
                <w:sz w:val="17"/>
              </w:rPr>
              <w:t>Research Collaboration Framework</w:t>
            </w:r>
          </w:p>
        </w:tc>
        <w:tc>
          <w:tcPr>
            <w:tcW w:type="dxa" w:w="850"/>
            <w:shd w:val="clear" w:color="auto" w:fill="EAF1F4"/>
          </w:tcPr>
          <w:p>
            <w:pPr>
              <w:spacing w:after="50" w:before="50" w:line="252" w:lineRule="auto"/>
            </w:pPr>
            <w:r>
              <w:rPr>
                <w:sz w:val="17"/>
              </w:rPr>
              <w:t>08</w:t>
            </w:r>
          </w:p>
        </w:tc>
      </w:tr>
      <w:tr>
        <w:tc>
          <w:tcPr>
            <w:tcW w:type="dxa" w:w="1817"/>
          </w:tcPr>
          <w:p>
            <w:pPr>
              <w:spacing w:after="50" w:before="50" w:line="252" w:lineRule="auto"/>
            </w:pPr>
            <w:r>
              <w:rPr>
                <w:sz w:val="17"/>
              </w:rPr>
              <w:t>EQ-UAP-084</w:t>
            </w:r>
          </w:p>
        </w:tc>
        <w:tc>
          <w:tcPr>
            <w:tcW w:type="dxa" w:w="6955"/>
          </w:tcPr>
          <w:p>
            <w:pPr>
              <w:spacing w:after="50" w:before="50" w:line="252" w:lineRule="auto"/>
            </w:pPr>
            <w:r>
              <w:rPr>
                <w:sz w:val="17"/>
              </w:rPr>
              <w:t>Authorship, IP &amp; Publication Policy</w:t>
            </w:r>
          </w:p>
        </w:tc>
        <w:tc>
          <w:tcPr>
            <w:tcW w:type="dxa" w:w="850"/>
          </w:tcPr>
          <w:p>
            <w:pPr>
              <w:spacing w:after="50" w:before="50" w:line="252" w:lineRule="auto"/>
            </w:pPr>
            <w:r>
              <w:rPr>
                <w:sz w:val="17"/>
              </w:rPr>
              <w:t>08</w:t>
            </w:r>
          </w:p>
        </w:tc>
      </w:tr>
      <w:tr>
        <w:tc>
          <w:tcPr>
            <w:tcW w:type="dxa" w:w="1817"/>
            <w:shd w:val="clear" w:color="auto" w:fill="EAF1F4"/>
          </w:tcPr>
          <w:p>
            <w:pPr>
              <w:spacing w:after="50" w:before="50" w:line="252" w:lineRule="auto"/>
            </w:pPr>
            <w:r>
              <w:rPr>
                <w:sz w:val="17"/>
              </w:rPr>
              <w:t>EQ-UAP-085</w:t>
            </w:r>
          </w:p>
        </w:tc>
        <w:tc>
          <w:tcPr>
            <w:tcW w:type="dxa" w:w="6955"/>
            <w:shd w:val="clear" w:color="auto" w:fill="EAF1F4"/>
          </w:tcPr>
          <w:p>
            <w:pPr>
              <w:spacing w:after="50" w:before="50" w:line="252" w:lineRule="auto"/>
            </w:pPr>
            <w:r>
              <w:rPr>
                <w:sz w:val="17"/>
              </w:rPr>
              <w:t>Research Ethics &amp; Data Protocol</w:t>
            </w:r>
          </w:p>
        </w:tc>
        <w:tc>
          <w:tcPr>
            <w:tcW w:type="dxa" w:w="850"/>
            <w:shd w:val="clear" w:color="auto" w:fill="EAF1F4"/>
          </w:tcPr>
          <w:p>
            <w:pPr>
              <w:spacing w:after="50" w:before="50" w:line="252" w:lineRule="auto"/>
            </w:pPr>
            <w:r>
              <w:rPr>
                <w:sz w:val="17"/>
              </w:rPr>
              <w:t>08</w:t>
            </w:r>
          </w:p>
        </w:tc>
      </w:tr>
      <w:tr>
        <w:tc>
          <w:tcPr>
            <w:tcW w:type="dxa" w:w="1817"/>
          </w:tcPr>
          <w:p>
            <w:pPr>
              <w:spacing w:after="50" w:before="50" w:line="252" w:lineRule="auto"/>
            </w:pPr>
            <w:r>
              <w:rPr>
                <w:sz w:val="17"/>
              </w:rPr>
              <w:t>EQ-UAP-086</w:t>
            </w:r>
          </w:p>
        </w:tc>
        <w:tc>
          <w:tcPr>
            <w:tcW w:type="dxa" w:w="6955"/>
          </w:tcPr>
          <w:p>
            <w:pPr>
              <w:spacing w:after="50" w:before="50" w:line="252" w:lineRule="auto"/>
            </w:pPr>
            <w:r>
              <w:rPr>
                <w:sz w:val="17"/>
              </w:rPr>
              <w:t>Co-Branding &amp; Brand Usage Guidelines</w:t>
            </w:r>
          </w:p>
        </w:tc>
        <w:tc>
          <w:tcPr>
            <w:tcW w:type="dxa" w:w="850"/>
          </w:tcPr>
          <w:p>
            <w:pPr>
              <w:spacing w:after="50" w:before="50" w:line="252" w:lineRule="auto"/>
            </w:pPr>
            <w:r>
              <w:rPr>
                <w:sz w:val="17"/>
              </w:rPr>
              <w:t>09</w:t>
            </w:r>
          </w:p>
        </w:tc>
      </w:tr>
      <w:tr>
        <w:tc>
          <w:tcPr>
            <w:tcW w:type="dxa" w:w="1817"/>
            <w:shd w:val="clear" w:color="auto" w:fill="EAF1F4"/>
          </w:tcPr>
          <w:p>
            <w:pPr>
              <w:spacing w:after="50" w:before="50" w:line="252" w:lineRule="auto"/>
            </w:pPr>
            <w:r>
              <w:rPr>
                <w:sz w:val="17"/>
              </w:rPr>
              <w:t>EQ-UAP-087</w:t>
            </w:r>
          </w:p>
        </w:tc>
        <w:tc>
          <w:tcPr>
            <w:tcW w:type="dxa" w:w="6955"/>
            <w:shd w:val="clear" w:color="auto" w:fill="EAF1F4"/>
          </w:tcPr>
          <w:p>
            <w:pPr>
              <w:spacing w:after="50" w:before="50" w:line="252" w:lineRule="auto"/>
            </w:pPr>
            <w:r>
              <w:rPr>
                <w:sz w:val="17"/>
              </w:rPr>
              <w:t>Social Media Collaboration Playbook &amp; Content Calendar</w:t>
            </w:r>
          </w:p>
        </w:tc>
        <w:tc>
          <w:tcPr>
            <w:tcW w:type="dxa" w:w="850"/>
            <w:shd w:val="clear" w:color="auto" w:fill="EAF1F4"/>
          </w:tcPr>
          <w:p>
            <w:pPr>
              <w:spacing w:after="50" w:before="50" w:line="252" w:lineRule="auto"/>
            </w:pPr>
            <w:r>
              <w:rPr>
                <w:sz w:val="17"/>
              </w:rPr>
              <w:t>09</w:t>
            </w:r>
          </w:p>
        </w:tc>
      </w:tr>
      <w:tr>
        <w:tc>
          <w:tcPr>
            <w:tcW w:type="dxa" w:w="1817"/>
          </w:tcPr>
          <w:p>
            <w:pPr>
              <w:spacing w:after="50" w:before="50" w:line="252" w:lineRule="auto"/>
            </w:pPr>
            <w:r>
              <w:rPr>
                <w:sz w:val="17"/>
              </w:rPr>
              <w:t>EQ-UAP-088</w:t>
            </w:r>
          </w:p>
        </w:tc>
        <w:tc>
          <w:tcPr>
            <w:tcW w:type="dxa" w:w="6955"/>
          </w:tcPr>
          <w:p>
            <w:pPr>
              <w:spacing w:after="50" w:before="50" w:line="252" w:lineRule="auto"/>
            </w:pPr>
            <w:r>
              <w:rPr>
                <w:sz w:val="17"/>
              </w:rPr>
              <w:t>Communications Templates &amp; Press Kit</w:t>
            </w:r>
          </w:p>
        </w:tc>
        <w:tc>
          <w:tcPr>
            <w:tcW w:type="dxa" w:w="850"/>
          </w:tcPr>
          <w:p>
            <w:pPr>
              <w:spacing w:after="50" w:before="50" w:line="252" w:lineRule="auto"/>
            </w:pPr>
            <w:r>
              <w:rPr>
                <w:sz w:val="17"/>
              </w:rPr>
              <w:t>09</w:t>
            </w:r>
          </w:p>
        </w:tc>
      </w:tr>
      <w:tr>
        <w:tc>
          <w:tcPr>
            <w:tcW w:type="dxa" w:w="1817"/>
            <w:shd w:val="clear" w:color="auto" w:fill="EAF1F4"/>
          </w:tcPr>
          <w:p>
            <w:pPr>
              <w:spacing w:after="50" w:before="50" w:line="252" w:lineRule="auto"/>
            </w:pPr>
            <w:r>
              <w:rPr>
                <w:sz w:val="17"/>
              </w:rPr>
              <w:t>EQ-UAP-089</w:t>
            </w:r>
          </w:p>
        </w:tc>
        <w:tc>
          <w:tcPr>
            <w:tcW w:type="dxa" w:w="6955"/>
            <w:shd w:val="clear" w:color="auto" w:fill="EAF1F4"/>
          </w:tcPr>
          <w:p>
            <w:pPr>
              <w:spacing w:after="50" w:before="50" w:line="252" w:lineRule="auto"/>
            </w:pPr>
            <w:r>
              <w:rPr>
                <w:sz w:val="17"/>
              </w:rPr>
              <w:t>Student Ambassador Programme Handbook</w:t>
            </w:r>
          </w:p>
        </w:tc>
        <w:tc>
          <w:tcPr>
            <w:tcW w:type="dxa" w:w="850"/>
            <w:shd w:val="clear" w:color="auto" w:fill="EAF1F4"/>
          </w:tcPr>
          <w:p>
            <w:pPr>
              <w:spacing w:after="50" w:before="50" w:line="252" w:lineRule="auto"/>
            </w:pPr>
            <w:r>
              <w:rPr>
                <w:sz w:val="17"/>
              </w:rPr>
              <w:t>09</w:t>
            </w:r>
          </w:p>
        </w:tc>
      </w:tr>
      <w:tr>
        <w:tc>
          <w:tcPr>
            <w:tcW w:type="dxa" w:w="1817"/>
          </w:tcPr>
          <w:p>
            <w:pPr>
              <w:spacing w:after="50" w:before="50" w:line="252" w:lineRule="auto"/>
            </w:pPr>
            <w:r>
              <w:rPr>
                <w:sz w:val="17"/>
              </w:rPr>
              <w:t>EQ-UAP-090</w:t>
            </w:r>
          </w:p>
        </w:tc>
        <w:tc>
          <w:tcPr>
            <w:tcW w:type="dxa" w:w="6955"/>
          </w:tcPr>
          <w:p>
            <w:pPr>
              <w:spacing w:after="50" w:before="50" w:line="252" w:lineRule="auto"/>
            </w:pPr>
            <w:r>
              <w:rPr>
                <w:sz w:val="17"/>
              </w:rPr>
              <w:t>Joint Steering Committee Charter &amp; Terms of Reference</w:t>
            </w:r>
          </w:p>
        </w:tc>
        <w:tc>
          <w:tcPr>
            <w:tcW w:type="dxa" w:w="850"/>
          </w:tcPr>
          <w:p>
            <w:pPr>
              <w:spacing w:after="50" w:before="50" w:line="252" w:lineRule="auto"/>
            </w:pPr>
            <w:r>
              <w:rPr>
                <w:sz w:val="17"/>
              </w:rPr>
              <w:t>10</w:t>
            </w:r>
          </w:p>
        </w:tc>
      </w:tr>
      <w:tr>
        <w:tc>
          <w:tcPr>
            <w:tcW w:type="dxa" w:w="1817"/>
            <w:shd w:val="clear" w:color="auto" w:fill="EAF1F4"/>
          </w:tcPr>
          <w:p>
            <w:pPr>
              <w:spacing w:after="50" w:before="50" w:line="252" w:lineRule="auto"/>
            </w:pPr>
            <w:r>
              <w:rPr>
                <w:sz w:val="17"/>
              </w:rPr>
              <w:t>EQ-UAP-091</w:t>
            </w:r>
          </w:p>
        </w:tc>
        <w:tc>
          <w:tcPr>
            <w:tcW w:type="dxa" w:w="6955"/>
            <w:shd w:val="clear" w:color="auto" w:fill="EAF1F4"/>
          </w:tcPr>
          <w:p>
            <w:pPr>
              <w:spacing w:after="50" w:before="50" w:line="252" w:lineRule="auto"/>
            </w:pPr>
            <w:r>
              <w:rPr>
                <w:sz w:val="17"/>
              </w:rPr>
              <w:t>KPI Framework &amp; Partnership Scorecard</w:t>
            </w:r>
          </w:p>
        </w:tc>
        <w:tc>
          <w:tcPr>
            <w:tcW w:type="dxa" w:w="850"/>
            <w:shd w:val="clear" w:color="auto" w:fill="EAF1F4"/>
          </w:tcPr>
          <w:p>
            <w:pPr>
              <w:spacing w:after="50" w:before="50" w:line="252" w:lineRule="auto"/>
            </w:pPr>
            <w:r>
              <w:rPr>
                <w:sz w:val="17"/>
              </w:rPr>
              <w:t>10</w:t>
            </w:r>
          </w:p>
        </w:tc>
      </w:tr>
      <w:tr>
        <w:tc>
          <w:tcPr>
            <w:tcW w:type="dxa" w:w="1817"/>
          </w:tcPr>
          <w:p>
            <w:pPr>
              <w:spacing w:after="50" w:before="50" w:line="252" w:lineRule="auto"/>
            </w:pPr>
            <w:r>
              <w:rPr>
                <w:sz w:val="17"/>
              </w:rPr>
              <w:t>EQ-UAP-092</w:t>
            </w:r>
          </w:p>
        </w:tc>
        <w:tc>
          <w:tcPr>
            <w:tcW w:type="dxa" w:w="6955"/>
          </w:tcPr>
          <w:p>
            <w:pPr>
              <w:spacing w:after="50" w:before="50" w:line="252" w:lineRule="auto"/>
            </w:pPr>
            <w:r>
              <w:rPr>
                <w:sz w:val="17"/>
              </w:rPr>
              <w:t>Annual Review Report Template</w:t>
            </w:r>
          </w:p>
        </w:tc>
        <w:tc>
          <w:tcPr>
            <w:tcW w:type="dxa" w:w="850"/>
          </w:tcPr>
          <w:p>
            <w:pPr>
              <w:spacing w:after="50" w:before="50" w:line="252" w:lineRule="auto"/>
            </w:pPr>
            <w:r>
              <w:rPr>
                <w:sz w:val="17"/>
              </w:rPr>
              <w:t>10</w:t>
            </w:r>
          </w:p>
        </w:tc>
      </w:tr>
      <w:tr>
        <w:tc>
          <w:tcPr>
            <w:tcW w:type="dxa" w:w="1817"/>
            <w:shd w:val="clear" w:color="auto" w:fill="EAF1F4"/>
          </w:tcPr>
          <w:p>
            <w:pPr>
              <w:spacing w:after="50" w:before="50" w:line="252" w:lineRule="auto"/>
            </w:pPr>
            <w:r>
              <w:rPr>
                <w:sz w:val="17"/>
              </w:rPr>
              <w:t>EQ-UAP-093</w:t>
            </w:r>
          </w:p>
        </w:tc>
        <w:tc>
          <w:tcPr>
            <w:tcW w:type="dxa" w:w="6955"/>
            <w:shd w:val="clear" w:color="auto" w:fill="EAF1F4"/>
          </w:tcPr>
          <w:p>
            <w:pPr>
              <w:spacing w:after="50" w:before="50" w:line="252" w:lineRule="auto"/>
            </w:pPr>
            <w:r>
              <w:rPr>
                <w:sz w:val="17"/>
              </w:rPr>
              <w:t>Renewal, Exit &amp; Wind-Down SOP</w:t>
            </w:r>
          </w:p>
        </w:tc>
        <w:tc>
          <w:tcPr>
            <w:tcW w:type="dxa" w:w="850"/>
            <w:shd w:val="clear" w:color="auto" w:fill="EAF1F4"/>
          </w:tcPr>
          <w:p>
            <w:pPr>
              <w:spacing w:after="50" w:before="50" w:line="252" w:lineRule="auto"/>
            </w:pPr>
            <w:r>
              <w:rPr>
                <w:sz w:val="17"/>
              </w:rPr>
              <w:t>10</w:t>
            </w:r>
          </w:p>
        </w:tc>
      </w:tr>
      <w:tr>
        <w:tc>
          <w:tcPr>
            <w:tcW w:type="dxa" w:w="1817"/>
          </w:tcPr>
          <w:p>
            <w:pPr>
              <w:spacing w:after="50" w:before="50" w:line="252" w:lineRule="auto"/>
            </w:pPr>
            <w:r>
              <w:rPr>
                <w:sz w:val="17"/>
              </w:rPr>
              <w:t>EQ-UAP-094</w:t>
            </w:r>
          </w:p>
        </w:tc>
        <w:tc>
          <w:tcPr>
            <w:tcW w:type="dxa" w:w="6955"/>
          </w:tcPr>
          <w:p>
            <w:pPr>
              <w:spacing w:after="50" w:before="50" w:line="252" w:lineRule="auto"/>
            </w:pPr>
            <w:r>
              <w:rPr>
                <w:sz w:val="17"/>
              </w:rPr>
              <w:t>Forms Compendium</w:t>
            </w:r>
          </w:p>
        </w:tc>
        <w:tc>
          <w:tcPr>
            <w:tcW w:type="dxa" w:w="850"/>
          </w:tcPr>
          <w:p>
            <w:pPr>
              <w:spacing w:after="50" w:before="50" w:line="252" w:lineRule="auto"/>
            </w:pPr>
            <w:r>
              <w:rPr>
                <w:sz w:val="17"/>
              </w:rPr>
              <w:t>11</w:t>
            </w:r>
          </w:p>
        </w:tc>
      </w:tr>
      <w:tr>
        <w:tc>
          <w:tcPr>
            <w:tcW w:type="dxa" w:w="1817"/>
            <w:shd w:val="clear" w:color="auto" w:fill="EAF1F4"/>
          </w:tcPr>
          <w:p>
            <w:pPr>
              <w:spacing w:after="50" w:before="50" w:line="252" w:lineRule="auto"/>
            </w:pPr>
            <w:r>
              <w:rPr>
                <w:sz w:val="17"/>
              </w:rPr>
              <w:t>EQ-UAP-095</w:t>
            </w:r>
          </w:p>
        </w:tc>
        <w:tc>
          <w:tcPr>
            <w:tcW w:type="dxa" w:w="6955"/>
            <w:shd w:val="clear" w:color="auto" w:fill="EAF1F4"/>
          </w:tcPr>
          <w:p>
            <w:pPr>
              <w:spacing w:after="50" w:before="50" w:line="252" w:lineRule="auto"/>
            </w:pPr>
            <w:r>
              <w:rPr>
                <w:sz w:val="17"/>
              </w:rPr>
              <w:t>Checklists Compendium</w:t>
            </w:r>
          </w:p>
        </w:tc>
        <w:tc>
          <w:tcPr>
            <w:tcW w:type="dxa" w:w="850"/>
            <w:shd w:val="clear" w:color="auto" w:fill="EAF1F4"/>
          </w:tcPr>
          <w:p>
            <w:pPr>
              <w:spacing w:after="50" w:before="50" w:line="252" w:lineRule="auto"/>
            </w:pPr>
            <w:r>
              <w:rPr>
                <w:sz w:val="17"/>
              </w:rPr>
              <w:t>11</w:t>
            </w:r>
          </w:p>
        </w:tc>
      </w:tr>
      <w:tr>
        <w:tc>
          <w:tcPr>
            <w:tcW w:type="dxa" w:w="1817"/>
          </w:tcPr>
          <w:p>
            <w:pPr>
              <w:spacing w:after="50" w:before="50" w:line="252" w:lineRule="auto"/>
            </w:pPr>
            <w:r>
              <w:rPr>
                <w:sz w:val="17"/>
              </w:rPr>
              <w:t>EQ-UAP-096</w:t>
            </w:r>
          </w:p>
        </w:tc>
        <w:tc>
          <w:tcPr>
            <w:tcW w:type="dxa" w:w="6955"/>
          </w:tcPr>
          <w:p>
            <w:pPr>
              <w:spacing w:after="50" w:before="50" w:line="252" w:lineRule="auto"/>
            </w:pPr>
            <w:r>
              <w:rPr>
                <w:sz w:val="17"/>
              </w:rPr>
              <w:t>Certificates &amp; Credentials Templates</w:t>
            </w:r>
          </w:p>
        </w:tc>
        <w:tc>
          <w:tcPr>
            <w:tcW w:type="dxa" w:w="850"/>
          </w:tcPr>
          <w:p>
            <w:pPr>
              <w:spacing w:after="50" w:before="50" w:line="252" w:lineRule="auto"/>
            </w:pPr>
            <w:r>
              <w:rPr>
                <w:sz w:val="17"/>
              </w:rPr>
              <w:t>11</w:t>
            </w:r>
          </w:p>
        </w:tc>
      </w:tr>
      <w:tr>
        <w:tc>
          <w:tcPr>
            <w:tcW w:type="dxa" w:w="1817"/>
            <w:shd w:val="clear" w:color="auto" w:fill="EAF1F4"/>
          </w:tcPr>
          <w:p>
            <w:pPr>
              <w:spacing w:after="50" w:before="50" w:line="252" w:lineRule="auto"/>
            </w:pPr>
            <w:r>
              <w:rPr>
                <w:b/>
                <w:sz w:val="17"/>
              </w:rPr>
              <w:t>EQ-UAP-097</w:t>
            </w:r>
          </w:p>
        </w:tc>
        <w:tc>
          <w:tcPr>
            <w:tcW w:type="dxa" w:w="6955"/>
            <w:shd w:val="clear" w:color="auto" w:fill="EAF1F4"/>
          </w:tcPr>
          <w:p>
            <w:pPr>
              <w:spacing w:after="50" w:before="50" w:line="252" w:lineRule="auto"/>
            </w:pPr>
            <w:r>
              <w:rPr>
                <w:b/>
                <w:sz w:val="17"/>
              </w:rPr>
              <w:t>Partnership Registers &amp; Trackers</w:t>
            </w:r>
            <w:r>
              <w:rPr>
                <w:sz w:val="17"/>
              </w:rPr>
              <w:t xml:space="preserve"> </w:t>
            </w:r>
            <w:r>
              <w:rPr>
                <w:i/>
                <w:sz w:val="17"/>
              </w:rPr>
              <w:t>(.xlsx, ten registers)</w:t>
            </w:r>
          </w:p>
        </w:tc>
        <w:tc>
          <w:tcPr>
            <w:tcW w:type="dxa" w:w="850"/>
            <w:shd w:val="clear" w:color="auto" w:fill="EAF1F4"/>
          </w:tcPr>
          <w:p>
            <w:pPr>
              <w:spacing w:after="50" w:before="50" w:line="252" w:lineRule="auto"/>
            </w:pPr>
            <w:r>
              <w:rPr>
                <w:b/>
                <w:sz w:val="17"/>
              </w:rPr>
              <w:t>11</w:t>
            </w:r>
          </w:p>
        </w:tc>
      </w:tr>
      <w:tr>
        <w:tc>
          <w:tcPr>
            <w:tcW w:type="dxa" w:w="1817"/>
          </w:tcPr>
          <w:p>
            <w:pPr>
              <w:spacing w:after="50" w:before="50" w:line="252" w:lineRule="auto"/>
            </w:pPr>
            <w:r>
              <w:rPr>
                <w:b/>
                <w:sz w:val="17"/>
              </w:rPr>
              <w:t>EQ-UAP-107</w:t>
            </w:r>
          </w:p>
        </w:tc>
        <w:tc>
          <w:tcPr>
            <w:tcW w:type="dxa" w:w="6955"/>
          </w:tcPr>
          <w:p>
            <w:pPr>
              <w:spacing w:after="50" w:before="50" w:line="252" w:lineRule="auto"/>
            </w:pPr>
            <w:r>
              <w:rPr>
                <w:b/>
                <w:sz w:val="17"/>
              </w:rPr>
              <w:t>Organisation Design &amp; Role Descriptions</w:t>
            </w:r>
          </w:p>
        </w:tc>
        <w:tc>
          <w:tcPr>
            <w:tcW w:type="dxa" w:w="850"/>
          </w:tcPr>
          <w:p>
            <w:pPr>
              <w:spacing w:after="50" w:before="50" w:line="252" w:lineRule="auto"/>
            </w:pPr>
            <w:r>
              <w:rPr>
                <w:b/>
                <w:sz w:val="17"/>
              </w:rPr>
              <w:t>12</w:t>
            </w:r>
          </w:p>
        </w:tc>
      </w:tr>
      <w:tr>
        <w:tc>
          <w:tcPr>
            <w:tcW w:type="dxa" w:w="1817"/>
            <w:shd w:val="clear" w:color="auto" w:fill="EAF1F4"/>
          </w:tcPr>
          <w:p>
            <w:pPr>
              <w:spacing w:after="50" w:before="50" w:line="252" w:lineRule="auto"/>
            </w:pPr>
            <w:r>
              <w:rPr>
                <w:b/>
                <w:sz w:val="17"/>
              </w:rPr>
              <w:t>EQ-UAP-108</w:t>
            </w:r>
          </w:p>
        </w:tc>
        <w:tc>
          <w:tcPr>
            <w:tcW w:type="dxa" w:w="6955"/>
            <w:shd w:val="clear" w:color="auto" w:fill="EAF1F4"/>
          </w:tcPr>
          <w:p>
            <w:pPr>
              <w:spacing w:after="50" w:before="50" w:line="252" w:lineRule="auto"/>
            </w:pPr>
            <w:r>
              <w:rPr>
                <w:b/>
                <w:sz w:val="17"/>
              </w:rPr>
              <w:t>Hiring Plan &amp; Year 1 Operating Budget</w:t>
            </w:r>
          </w:p>
        </w:tc>
        <w:tc>
          <w:tcPr>
            <w:tcW w:type="dxa" w:w="850"/>
            <w:shd w:val="clear" w:color="auto" w:fill="EAF1F4"/>
          </w:tcPr>
          <w:p>
            <w:pPr>
              <w:spacing w:after="50" w:before="50" w:line="252" w:lineRule="auto"/>
            </w:pPr>
            <w:r>
              <w:rPr>
                <w:b/>
                <w:sz w:val="17"/>
              </w:rPr>
              <w:t>12</w:t>
            </w:r>
          </w:p>
        </w:tc>
      </w:tr>
      <w:tr>
        <w:tc>
          <w:tcPr>
            <w:tcW w:type="dxa" w:w="1817"/>
          </w:tcPr>
          <w:p>
            <w:pPr>
              <w:spacing w:after="50" w:before="50" w:line="252" w:lineRule="auto"/>
            </w:pPr>
            <w:r>
              <w:rPr>
                <w:b/>
                <w:sz w:val="17"/>
              </w:rPr>
              <w:t>EQ-UAP-109</w:t>
            </w:r>
          </w:p>
        </w:tc>
        <w:tc>
          <w:tcPr>
            <w:tcW w:type="dxa" w:w="6955"/>
          </w:tcPr>
          <w:p>
            <w:pPr>
              <w:spacing w:after="50" w:before="50" w:line="252" w:lineRule="auto"/>
            </w:pPr>
            <w:r>
              <w:rPr>
                <w:b/>
                <w:sz w:val="17"/>
              </w:rPr>
              <w:t>Platform &amp; ODR Integration Plan</w:t>
            </w:r>
          </w:p>
        </w:tc>
        <w:tc>
          <w:tcPr>
            <w:tcW w:type="dxa" w:w="850"/>
          </w:tcPr>
          <w:p>
            <w:pPr>
              <w:spacing w:after="50" w:before="50" w:line="252" w:lineRule="auto"/>
            </w:pPr>
            <w:r>
              <w:rPr>
                <w:b/>
                <w:sz w:val="17"/>
              </w:rPr>
              <w:t>13</w:t>
            </w:r>
          </w:p>
        </w:tc>
      </w:tr>
    </w:tbl>
    <w:p>
      <w:pPr>
        <w:spacing w:after="80" w:before="0"/>
      </w:pPr>
    </w:p>
    <w:p>
      <w:pPr>
        <w:spacing w:before="80" w:after="160"/>
        <w:pBdr>
          <w:bottom w:val="single" w:sz="6" w:space="1" w:color="C9D6DE"/>
        </w:pBdr>
      </w:pPr>
    </w:p>
    <w:p>
      <w:pPr>
        <w:pStyle w:val="Heading1"/>
        <w:pBdr>
          <w:bottom w:val="single" w:sz="8" w:space="4" w:color="C9D6DE"/>
        </w:pBdr>
      </w:pPr>
      <w:r>
        <w:t>What supersedes what</w:t>
      </w:r>
    </w:p>
    <w:p>
      <w:r>
        <w:t>The set was built in two passes. Where documents conflict, the later one governs.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750"/>
            <w:shd w:val="clear" w:color="auto" w:fill="10375C"/>
          </w:tcPr>
          <w:p>
            <w:pPr>
              <w:spacing w:after="50" w:before="50"/>
            </w:pPr>
            <w:r>
              <w:rPr>
                <w:b/>
                <w:color w:val="FFFFFF"/>
                <w:sz w:val="17"/>
              </w:rPr>
              <w:t>This document</w:t>
            </w:r>
          </w:p>
        </w:tc>
        <w:tc>
          <w:tcPr>
            <w:tcW w:type="dxa" w:w="2636"/>
            <w:shd w:val="clear" w:color="auto" w:fill="10375C"/>
          </w:tcPr>
          <w:p>
            <w:pPr>
              <w:spacing w:after="50" w:before="50"/>
            </w:pPr>
            <w:r>
              <w:rPr>
                <w:b/>
                <w:color w:val="FFFFFF"/>
                <w:sz w:val="17"/>
              </w:rPr>
              <w:t>Supersedes</w:t>
            </w:r>
          </w:p>
        </w:tc>
        <w:tc>
          <w:tcPr>
            <w:tcW w:type="dxa" w:w="4082"/>
            <w:shd w:val="clear" w:color="auto" w:fill="10375C"/>
          </w:tcPr>
          <w:p>
            <w:pPr>
              <w:spacing w:after="50" w:before="50"/>
            </w:pPr>
            <w:r>
              <w:rPr>
                <w:b/>
                <w:color w:val="FFFFFF"/>
                <w:sz w:val="17"/>
              </w:rPr>
              <w:t>On</w:t>
            </w:r>
          </w:p>
        </w:tc>
      </w:tr>
      <w:tr>
        <w:tc>
          <w:tcPr>
            <w:tcW w:type="dxa" w:w="2750"/>
          </w:tcPr>
          <w:p>
            <w:pPr>
              <w:spacing w:after="50" w:before="50" w:line="252" w:lineRule="auto"/>
            </w:pPr>
            <w:r>
              <w:rPr>
                <w:b/>
                <w:sz w:val="17"/>
              </w:rPr>
              <w:t>01.6</w:t>
            </w:r>
            <w:r>
              <w:rPr>
                <w:sz w:val="17"/>
              </w:rPr>
              <w:t xml:space="preserve"> Revised Go-to-Market Sequencing</w:t>
            </w:r>
          </w:p>
        </w:tc>
        <w:tc>
          <w:tcPr>
            <w:tcW w:type="dxa" w:w="2636"/>
          </w:tcPr>
          <w:p>
            <w:pPr>
              <w:spacing w:after="50" w:before="50" w:line="252" w:lineRule="auto"/>
            </w:pPr>
            <w:r>
              <w:rPr>
                <w:sz w:val="17"/>
              </w:rPr>
              <w:t>01.1 section 6 (Sequencing)</w:t>
            </w:r>
          </w:p>
        </w:tc>
        <w:tc>
          <w:tcPr>
            <w:tcW w:type="dxa" w:w="4082"/>
          </w:tcPr>
          <w:p>
            <w:pPr>
              <w:spacing w:after="50" w:before="50" w:line="252" w:lineRule="auto"/>
            </w:pPr>
            <w:r>
              <w:rPr>
                <w:sz w:val="17"/>
              </w:rPr>
              <w:t>What to sell first, and in what order</w:t>
            </w:r>
          </w:p>
        </w:tc>
      </w:tr>
      <w:tr>
        <w:tc>
          <w:tcPr>
            <w:tcW w:type="dxa" w:w="2750"/>
            <w:shd w:val="clear" w:color="auto" w:fill="EAF1F4"/>
          </w:tcPr>
          <w:p>
            <w:pPr>
              <w:spacing w:after="50" w:before="50" w:line="252" w:lineRule="auto"/>
            </w:pPr>
            <w:r>
              <w:rPr>
                <w:b/>
                <w:sz w:val="17"/>
              </w:rPr>
              <w:t>01.6</w:t>
            </w:r>
          </w:p>
        </w:tc>
        <w:tc>
          <w:tcPr>
            <w:tcW w:type="dxa" w:w="2636"/>
            <w:shd w:val="clear" w:color="auto" w:fill="EAF1F4"/>
          </w:tcPr>
          <w:p>
            <w:pPr>
              <w:spacing w:after="50" w:before="50" w:line="252" w:lineRule="auto"/>
            </w:pPr>
            <w:r>
              <w:rPr>
                <w:sz w:val="17"/>
              </w:rPr>
              <w:t>04.2 section 8 (Portfolio view)</w:t>
            </w:r>
          </w:p>
        </w:tc>
        <w:tc>
          <w:tcPr>
            <w:tcW w:type="dxa" w:w="4082"/>
            <w:shd w:val="clear" w:color="auto" w:fill="EAF1F4"/>
          </w:tcPr>
          <w:p>
            <w:pPr>
              <w:spacing w:after="50" w:before="50" w:line="252" w:lineRule="auto"/>
            </w:pPr>
            <w:r>
              <w:rPr>
                <w:sz w:val="17"/>
              </w:rPr>
              <w:t>The three-year revenue and result profile</w:t>
            </w:r>
          </w:p>
        </w:tc>
      </w:tr>
      <w:tr>
        <w:tc>
          <w:tcPr>
            <w:tcW w:type="dxa" w:w="2750"/>
          </w:tcPr>
          <w:p>
            <w:pPr>
              <w:spacing w:after="50" w:before="50" w:line="252" w:lineRule="auto"/>
            </w:pPr>
            <w:r>
              <w:rPr>
                <w:b/>
                <w:sz w:val="17"/>
              </w:rPr>
              <w:t>12.2</w:t>
            </w:r>
            <w:r>
              <w:rPr>
                <w:sz w:val="17"/>
              </w:rPr>
              <w:t xml:space="preserve"> Hiring Plan &amp; Year 1 Budget</w:t>
            </w:r>
          </w:p>
        </w:tc>
        <w:tc>
          <w:tcPr>
            <w:tcW w:type="dxa" w:w="2636"/>
          </w:tcPr>
          <w:p>
            <w:pPr>
              <w:spacing w:after="50" w:before="50" w:line="252" w:lineRule="auto"/>
            </w:pPr>
            <w:r>
              <w:rPr>
                <w:sz w:val="17"/>
              </w:rPr>
              <w:t>01.6 section 4.1 (year 1 cost base)</w:t>
            </w:r>
          </w:p>
        </w:tc>
        <w:tc>
          <w:tcPr>
            <w:tcW w:type="dxa" w:w="4082"/>
          </w:tcPr>
          <w:p>
            <w:pPr>
              <w:spacing w:after="50" w:before="50" w:line="252" w:lineRule="auto"/>
            </w:pPr>
            <w:r>
              <w:rPr>
                <w:sz w:val="17"/>
              </w:rPr>
              <w:t>The year 1 cost base, which 01.6 stated incompletely</w:t>
            </w:r>
          </w:p>
        </w:tc>
      </w:tr>
      <w:tr>
        <w:tc>
          <w:tcPr>
            <w:tcW w:type="dxa" w:w="2750"/>
            <w:shd w:val="clear" w:color="auto" w:fill="EAF1F4"/>
          </w:tcPr>
          <w:p>
            <w:pPr>
              <w:spacing w:after="50" w:before="50" w:line="252" w:lineRule="auto"/>
            </w:pPr>
            <w:r>
              <w:rPr>
                <w:b/>
                <w:sz w:val="17"/>
              </w:rPr>
              <w:t>01.7</w:t>
            </w:r>
            <w:r>
              <w:rPr>
                <w:sz w:val="17"/>
              </w:rPr>
              <w:t xml:space="preserve"> Competitive Landscape</w:t>
            </w:r>
          </w:p>
        </w:tc>
        <w:tc>
          <w:tcPr>
            <w:tcW w:type="dxa" w:w="2636"/>
            <w:shd w:val="clear" w:color="auto" w:fill="EAF1F4"/>
          </w:tcPr>
          <w:p>
            <w:pPr>
              <w:spacing w:after="50" w:before="50" w:line="252" w:lineRule="auto"/>
            </w:pPr>
            <w:r>
              <w:rPr>
                <w:sz w:val="17"/>
              </w:rPr>
              <w:t>01.3 section 3.1 (NLU posture)</w:t>
            </w:r>
          </w:p>
        </w:tc>
        <w:tc>
          <w:tcPr>
            <w:tcW w:type="dxa" w:w="4082"/>
            <w:shd w:val="clear" w:color="auto" w:fill="EAF1F4"/>
          </w:tcPr>
          <w:p>
            <w:pPr>
              <w:spacing w:after="50" w:before="50" w:line="252" w:lineRule="auto"/>
            </w:pPr>
            <w:r>
              <w:rPr>
                <w:sz w:val="17"/>
              </w:rPr>
              <w:t>Which institutions to approach, and in what order</w:t>
            </w:r>
          </w:p>
        </w:tc>
      </w:tr>
      <w:tr>
        <w:tc>
          <w:tcPr>
            <w:tcW w:type="dxa" w:w="2750"/>
          </w:tcPr>
          <w:p>
            <w:pPr>
              <w:spacing w:after="50" w:before="50" w:line="252" w:lineRule="auto"/>
            </w:pPr>
            <w:r>
              <w:rPr>
                <w:b/>
                <w:sz w:val="17"/>
              </w:rPr>
              <w:t>04.8</w:t>
            </w:r>
            <w:r>
              <w:rPr>
                <w:sz w:val="17"/>
              </w:rPr>
              <w:t xml:space="preserve"> Membership Model</w:t>
            </w:r>
          </w:p>
        </w:tc>
        <w:tc>
          <w:tcPr>
            <w:tcW w:type="dxa" w:w="2636"/>
          </w:tcPr>
          <w:p>
            <w:pPr>
              <w:spacing w:after="50" w:before="50" w:line="252" w:lineRule="auto"/>
            </w:pPr>
            <w:r>
              <w:rPr>
                <w:sz w:val="17"/>
              </w:rPr>
              <w:t>04.1 rate card</w:t>
            </w:r>
          </w:p>
        </w:tc>
        <w:tc>
          <w:tcPr>
            <w:tcW w:type="dxa" w:w="4082"/>
          </w:tcPr>
          <w:p>
            <w:pPr>
              <w:spacing w:after="50" w:before="50" w:line="252" w:lineRule="auto"/>
            </w:pPr>
            <w:r>
              <w:rPr>
                <w:sz w:val="17"/>
              </w:rPr>
              <w:t>Adds the membership line; the rate card is otherwise unchanged</w:t>
            </w:r>
          </w:p>
        </w:tc>
      </w:tr>
      <w:tr>
        <w:tc>
          <w:tcPr>
            <w:tcW w:type="dxa" w:w="2750"/>
            <w:shd w:val="clear" w:color="auto" w:fill="EAF1F4"/>
          </w:tcPr>
          <w:p>
            <w:pPr>
              <w:spacing w:after="50" w:before="50" w:line="252" w:lineRule="auto"/>
            </w:pPr>
            <w:r>
              <w:rPr>
                <w:b/>
                <w:sz w:val="17"/>
              </w:rPr>
              <w:t>03.12</w:t>
            </w:r>
            <w:r>
              <w:rPr>
                <w:sz w:val="17"/>
              </w:rPr>
              <w:t xml:space="preserve"> Tier 3 Letter Agreement</w:t>
            </w:r>
          </w:p>
        </w:tc>
        <w:tc>
          <w:tcPr>
            <w:tcW w:type="dxa" w:w="2636"/>
            <w:shd w:val="clear" w:color="auto" w:fill="EAF1F4"/>
          </w:tcPr>
          <w:p>
            <w:pPr>
              <w:spacing w:after="50" w:before="50" w:line="252" w:lineRule="auto"/>
            </w:pPr>
            <w:r>
              <w:rPr>
                <w:sz w:val="17"/>
              </w:rPr>
              <w:t xml:space="preserve">03.1 Master MOU, </w:t>
            </w:r>
            <w:r>
              <w:rPr>
                <w:b/>
                <w:sz w:val="17"/>
              </w:rPr>
              <w:t>for Tier 3 only</w:t>
            </w:r>
          </w:p>
        </w:tc>
        <w:tc>
          <w:tcPr>
            <w:tcW w:type="dxa" w:w="4082"/>
            <w:shd w:val="clear" w:color="auto" w:fill="EAF1F4"/>
          </w:tcPr>
          <w:p>
            <w:pPr>
              <w:spacing w:after="50" w:before="50" w:line="252" w:lineRule="auto"/>
            </w:pPr>
            <w:r>
              <w:rPr>
                <w:sz w:val="17"/>
              </w:rPr>
              <w:t>Tier 3 partnerships use the one-page letter, not the MOU</w:t>
            </w:r>
          </w:p>
        </w:tc>
      </w:tr>
    </w:tbl>
    <w:p>
      <w:pPr>
        <w:spacing w:after="80" w:before="0"/>
      </w:pPr>
    </w:p>
    <w:p>
      <w:r>
        <w:rPr>
          <w:b/>
        </w:rPr>
        <w:t>The strategic conclusions in 01.1 stand.</w:t>
      </w:r>
      <w:r>
        <w:t xml:space="preserve"> What changed is the order of execution, not the destination.</w:t>
      </w:r>
    </w:p>
    <w:p>
      <w:pPr>
        <w:spacing w:before="80" w:after="160"/>
        <w:pBdr>
          <w:bottom w:val="single" w:sz="6" w:space="1" w:color="C9D6DE"/>
        </w:pBdr>
      </w:pPr>
    </w:p>
    <w:p>
      <w:pPr>
        <w:pStyle w:val="Heading1"/>
        <w:pBdr>
          <w:bottom w:val="single" w:sz="8" w:space="4" w:color="C9D6DE"/>
        </w:pBdr>
      </w:pPr>
      <w:r>
        <w:t>Open items requiring sign-off before go-live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850"/>
            <w:shd w:val="clear" w:color="auto" w:fill="10375C"/>
          </w:tcPr>
          <w:p>
            <w:pPr>
              <w:spacing w:after="50" w:before="50"/>
            </w:pPr>
            <w:r>
              <w:rPr>
                <w:b/>
                <w:color w:val="FFFFFF"/>
                <w:sz w:val="17"/>
              </w:rPr>
              <w:t>#</w:t>
            </w:r>
          </w:p>
        </w:tc>
        <w:tc>
          <w:tcPr>
            <w:tcW w:type="dxa" w:w="6390"/>
            <w:shd w:val="clear" w:color="auto" w:fill="10375C"/>
          </w:tcPr>
          <w:p>
            <w:pPr>
              <w:spacing w:after="50" w:before="50"/>
            </w:pPr>
            <w:r>
              <w:rPr>
                <w:b/>
                <w:color w:val="FFFFFF"/>
                <w:sz w:val="17"/>
              </w:rPr>
              <w:t>Item</w:t>
            </w:r>
          </w:p>
        </w:tc>
        <w:tc>
          <w:tcPr>
            <w:tcW w:type="dxa" w:w="1765"/>
            <w:shd w:val="clear" w:color="auto" w:fill="10375C"/>
          </w:tcPr>
          <w:p>
            <w:pPr>
              <w:spacing w:after="50" w:before="50"/>
            </w:pPr>
            <w:r>
              <w:rPr>
                <w:b/>
                <w:color w:val="FFFFFF"/>
                <w:sz w:val="17"/>
              </w:rPr>
              <w:t>Owner</w:t>
            </w:r>
          </w:p>
        </w:tc>
        <w:tc>
          <w:tcPr>
            <w:tcW w:type="dxa" w:w="850"/>
            <w:shd w:val="clear" w:color="auto" w:fill="10375C"/>
          </w:tcPr>
          <w:p>
            <w:pPr>
              <w:spacing w:after="50" w:before="50"/>
            </w:pPr>
            <w:r>
              <w:rPr>
                <w:b/>
                <w:color w:val="FFFFFF"/>
                <w:sz w:val="17"/>
              </w:rPr>
              <w:t>Status</w:t>
            </w:r>
          </w:p>
        </w:tc>
      </w:tr>
      <w:tr>
        <w:tc>
          <w:tcPr>
            <w:tcW w:type="dxa" w:w="850"/>
          </w:tcPr>
          <w:p>
            <w:pPr>
              <w:spacing w:after="50" w:before="50" w:line="252" w:lineRule="auto"/>
            </w:pPr>
            <w:r>
              <w:rPr>
                <w:sz w:val="17"/>
              </w:rPr>
              <w:t>U1</w:t>
            </w:r>
          </w:p>
        </w:tc>
        <w:tc>
          <w:tcPr>
            <w:tcW w:type="dxa" w:w="6390"/>
          </w:tcPr>
          <w:p>
            <w:pPr>
              <w:spacing w:after="50" w:before="50" w:line="252" w:lineRule="auto"/>
            </w:pPr>
            <w:r>
              <w:rPr>
                <w:sz w:val="17"/>
              </w:rPr>
              <w:t xml:space="preserve">Confirm GST treatment of student certificate fees where the university is a recognised educational institution and Equator is sub-contracted into a credit-bearing course </w:t>
            </w:r>
            <w:r>
              <w:rPr>
                <w:b/>
                <w:sz w:val="17"/>
              </w:rPr>
              <w:t>[verify]</w:t>
            </w:r>
          </w:p>
        </w:tc>
        <w:tc>
          <w:tcPr>
            <w:tcW w:type="dxa" w:w="1765"/>
          </w:tcPr>
          <w:p>
            <w:pPr>
              <w:spacing w:after="50" w:before="50" w:line="252" w:lineRule="auto"/>
            </w:pPr>
            <w:r>
              <w:rPr>
                <w:sz w:val="17"/>
              </w:rPr>
              <w:t>Finance + tax counsel</w:t>
            </w:r>
          </w:p>
        </w:tc>
        <w:tc>
          <w:tcPr>
            <w:tcW w:type="dxa" w:w="850"/>
          </w:tcPr>
          <w:p>
            <w:pPr>
              <w:spacing w:after="50" w:before="50" w:line="252" w:lineRule="auto"/>
            </w:pPr>
            <w:r>
              <w:rPr>
                <w:sz w:val="17"/>
              </w:rPr>
              <w:t>Open</w:t>
            </w:r>
          </w:p>
        </w:tc>
      </w:tr>
      <w:tr>
        <w:tc>
          <w:tcPr>
            <w:tcW w:type="dxa" w:w="850"/>
            <w:shd w:val="clear" w:color="auto" w:fill="EAF1F4"/>
          </w:tcPr>
          <w:p>
            <w:pPr>
              <w:spacing w:after="50" w:before="50" w:line="252" w:lineRule="auto"/>
            </w:pPr>
            <w:r>
              <w:rPr>
                <w:sz w:val="17"/>
              </w:rPr>
              <w:t>U2</w:t>
            </w:r>
          </w:p>
        </w:tc>
        <w:tc>
          <w:tcPr>
            <w:tcW w:type="dxa" w:w="6390"/>
            <w:shd w:val="clear" w:color="auto" w:fill="EAF1F4"/>
          </w:tcPr>
          <w:p>
            <w:pPr>
              <w:spacing w:after="50" w:before="50" w:line="252" w:lineRule="auto"/>
            </w:pPr>
            <w:r>
              <w:rPr>
                <w:sz w:val="17"/>
              </w:rPr>
              <w:t xml:space="preserve">Confirm that co-branded certificates do not breach UGC or BCI restrictions on representation of qualifications </w:t>
            </w:r>
            <w:r>
              <w:rPr>
                <w:b/>
                <w:sz w:val="17"/>
              </w:rPr>
              <w:t>[verify]</w:t>
            </w:r>
          </w:p>
        </w:tc>
        <w:tc>
          <w:tcPr>
            <w:tcW w:type="dxa" w:w="1765"/>
            <w:shd w:val="clear" w:color="auto" w:fill="EAF1F4"/>
          </w:tcPr>
          <w:p>
            <w:pPr>
              <w:spacing w:after="50" w:before="50" w:line="252" w:lineRule="auto"/>
            </w:pPr>
            <w:r>
              <w:rPr>
                <w:sz w:val="17"/>
              </w:rPr>
              <w:t>Legal</w:t>
            </w:r>
          </w:p>
        </w:tc>
        <w:tc>
          <w:tcPr>
            <w:tcW w:type="dxa" w:w="850"/>
            <w:shd w:val="clear" w:color="auto" w:fill="EAF1F4"/>
          </w:tcPr>
          <w:p>
            <w:pPr>
              <w:spacing w:after="50" w:before="50" w:line="252" w:lineRule="auto"/>
            </w:pPr>
            <w:r>
              <w:rPr>
                <w:sz w:val="17"/>
              </w:rPr>
              <w:t>Open</w:t>
            </w:r>
          </w:p>
        </w:tc>
      </w:tr>
      <w:tr>
        <w:tc>
          <w:tcPr>
            <w:tcW w:type="dxa" w:w="850"/>
          </w:tcPr>
          <w:p>
            <w:pPr>
              <w:spacing w:after="50" w:before="50" w:line="252" w:lineRule="auto"/>
            </w:pPr>
            <w:r>
              <w:rPr>
                <w:sz w:val="17"/>
              </w:rPr>
              <w:t>U3</w:t>
            </w:r>
          </w:p>
        </w:tc>
        <w:tc>
          <w:tcPr>
            <w:tcW w:type="dxa" w:w="6390"/>
          </w:tcPr>
          <w:p>
            <w:pPr>
              <w:spacing w:after="50" w:before="50" w:line="252" w:lineRule="auto"/>
            </w:pPr>
            <w:r>
              <w:rPr>
                <w:sz w:val="17"/>
              </w:rPr>
              <w:t xml:space="preserve">Confirm DPDP Rules 2025 obligations and applicable phase-in date for student personal data processed under internship and competition registration </w:t>
            </w:r>
            <w:r>
              <w:rPr>
                <w:b/>
                <w:sz w:val="17"/>
              </w:rPr>
              <w:t>[verify]</w:t>
            </w:r>
          </w:p>
        </w:tc>
        <w:tc>
          <w:tcPr>
            <w:tcW w:type="dxa" w:w="1765"/>
          </w:tcPr>
          <w:p>
            <w:pPr>
              <w:spacing w:after="50" w:before="50" w:line="252" w:lineRule="auto"/>
            </w:pPr>
            <w:r>
              <w:rPr>
                <w:sz w:val="17"/>
              </w:rPr>
              <w:t>DPO</w:t>
            </w:r>
          </w:p>
        </w:tc>
        <w:tc>
          <w:tcPr>
            <w:tcW w:type="dxa" w:w="850"/>
          </w:tcPr>
          <w:p>
            <w:pPr>
              <w:spacing w:after="50" w:before="50" w:line="252" w:lineRule="auto"/>
            </w:pPr>
            <w:r>
              <w:rPr>
                <w:sz w:val="17"/>
              </w:rPr>
              <w:t>Open</w:t>
            </w:r>
          </w:p>
        </w:tc>
      </w:tr>
      <w:tr>
        <w:tc>
          <w:tcPr>
            <w:tcW w:type="dxa" w:w="850"/>
            <w:shd w:val="clear" w:color="auto" w:fill="EAF1F4"/>
          </w:tcPr>
          <w:p>
            <w:pPr>
              <w:spacing w:after="50" w:before="50" w:line="252" w:lineRule="auto"/>
            </w:pPr>
            <w:r>
              <w:rPr>
                <w:sz w:val="17"/>
              </w:rPr>
              <w:t>U4</w:t>
            </w:r>
          </w:p>
        </w:tc>
        <w:tc>
          <w:tcPr>
            <w:tcW w:type="dxa" w:w="6390"/>
            <w:shd w:val="clear" w:color="auto" w:fill="EAF1F4"/>
          </w:tcPr>
          <w:p>
            <w:pPr>
              <w:spacing w:after="50" w:before="50" w:line="252" w:lineRule="auto"/>
            </w:pPr>
            <w:r>
              <w:rPr>
                <w:sz w:val="17"/>
              </w:rPr>
              <w:t xml:space="preserve">Confirm position on stipend, PF and gratuity exposure for interns performing case-support work </w:t>
            </w:r>
            <w:r>
              <w:rPr>
                <w:b/>
                <w:sz w:val="17"/>
              </w:rPr>
              <w:t>[verify]</w:t>
            </w:r>
          </w:p>
        </w:tc>
        <w:tc>
          <w:tcPr>
            <w:tcW w:type="dxa" w:w="1765"/>
            <w:shd w:val="clear" w:color="auto" w:fill="EAF1F4"/>
          </w:tcPr>
          <w:p>
            <w:pPr>
              <w:spacing w:after="50" w:before="50" w:line="252" w:lineRule="auto"/>
            </w:pPr>
            <w:r>
              <w:rPr>
                <w:sz w:val="17"/>
              </w:rPr>
              <w:t>HR + Legal</w:t>
            </w:r>
          </w:p>
        </w:tc>
        <w:tc>
          <w:tcPr>
            <w:tcW w:type="dxa" w:w="850"/>
            <w:shd w:val="clear" w:color="auto" w:fill="EAF1F4"/>
          </w:tcPr>
          <w:p>
            <w:pPr>
              <w:spacing w:after="50" w:before="50" w:line="252" w:lineRule="auto"/>
            </w:pPr>
            <w:r>
              <w:rPr>
                <w:sz w:val="17"/>
              </w:rPr>
              <w:t>Open</w:t>
            </w:r>
          </w:p>
        </w:tc>
      </w:tr>
      <w:tr>
        <w:tc>
          <w:tcPr>
            <w:tcW w:type="dxa" w:w="850"/>
          </w:tcPr>
          <w:p>
            <w:pPr>
              <w:spacing w:after="50" w:before="50" w:line="252" w:lineRule="auto"/>
            </w:pPr>
            <w:r>
              <w:rPr>
                <w:sz w:val="17"/>
              </w:rPr>
              <w:t>U5</w:t>
            </w:r>
          </w:p>
        </w:tc>
        <w:tc>
          <w:tcPr>
            <w:tcW w:type="dxa" w:w="6390"/>
          </w:tcPr>
          <w:p>
            <w:pPr>
              <w:spacing w:after="50" w:before="50" w:line="252" w:lineRule="auto"/>
            </w:pPr>
            <w:r>
              <w:rPr>
                <w:sz w:val="17"/>
              </w:rPr>
              <w:t xml:space="preserve">Confirm insurance cover extends to students attending Equator-run sessions on and off campus </w:t>
            </w:r>
            <w:r>
              <w:rPr>
                <w:b/>
                <w:sz w:val="17"/>
              </w:rPr>
              <w:t>[verify]</w:t>
            </w:r>
          </w:p>
        </w:tc>
        <w:tc>
          <w:tcPr>
            <w:tcW w:type="dxa" w:w="1765"/>
          </w:tcPr>
          <w:p>
            <w:pPr>
              <w:spacing w:after="50" w:before="50" w:line="252" w:lineRule="auto"/>
            </w:pPr>
            <w:r>
              <w:rPr>
                <w:sz w:val="17"/>
              </w:rPr>
              <w:t>Operations</w:t>
            </w:r>
          </w:p>
        </w:tc>
        <w:tc>
          <w:tcPr>
            <w:tcW w:type="dxa" w:w="850"/>
          </w:tcPr>
          <w:p>
            <w:pPr>
              <w:spacing w:after="50" w:before="50" w:line="252" w:lineRule="auto"/>
            </w:pPr>
            <w:r>
              <w:rPr>
                <w:sz w:val="17"/>
              </w:rPr>
              <w:t>Open</w:t>
            </w:r>
          </w:p>
        </w:tc>
      </w:tr>
      <w:tr>
        <w:tc>
          <w:tcPr>
            <w:tcW w:type="dxa" w:w="850"/>
            <w:shd w:val="clear" w:color="auto" w:fill="EAF1F4"/>
          </w:tcPr>
          <w:p>
            <w:pPr>
              <w:spacing w:after="50" w:before="50" w:line="252" w:lineRule="auto"/>
            </w:pPr>
            <w:r>
              <w:rPr>
                <w:sz w:val="17"/>
              </w:rPr>
              <w:t>U6</w:t>
            </w:r>
          </w:p>
        </w:tc>
        <w:tc>
          <w:tcPr>
            <w:tcW w:type="dxa" w:w="6390"/>
            <w:shd w:val="clear" w:color="auto" w:fill="EAF1F4"/>
          </w:tcPr>
          <w:p>
            <w:pPr>
              <w:spacing w:after="50" w:before="50" w:line="252" w:lineRule="auto"/>
            </w:pPr>
            <w:r>
              <w:rPr>
                <w:sz w:val="17"/>
              </w:rPr>
              <w:t xml:space="preserve">Confirm marketing claims regarding mediator certification pending constitution of the Mediation Council of India </w:t>
            </w:r>
            <w:r>
              <w:rPr>
                <w:b/>
                <w:sz w:val="17"/>
              </w:rPr>
              <w:t>[verify]</w:t>
            </w:r>
          </w:p>
        </w:tc>
        <w:tc>
          <w:tcPr>
            <w:tcW w:type="dxa" w:w="1765"/>
            <w:shd w:val="clear" w:color="auto" w:fill="EAF1F4"/>
          </w:tcPr>
          <w:p>
            <w:pPr>
              <w:spacing w:after="50" w:before="50" w:line="252" w:lineRule="auto"/>
            </w:pPr>
            <w:r>
              <w:rPr>
                <w:sz w:val="17"/>
              </w:rPr>
              <w:t>Legal + Marketing</w:t>
            </w:r>
          </w:p>
        </w:tc>
        <w:tc>
          <w:tcPr>
            <w:tcW w:type="dxa" w:w="850"/>
            <w:shd w:val="clear" w:color="auto" w:fill="EAF1F4"/>
          </w:tcPr>
          <w:p>
            <w:pPr>
              <w:spacing w:after="50" w:before="50" w:line="252" w:lineRule="auto"/>
            </w:pPr>
            <w:r>
              <w:rPr>
                <w:sz w:val="17"/>
              </w:rPr>
              <w:t>Open</w:t>
            </w:r>
          </w:p>
        </w:tc>
      </w:tr>
      <w:tr>
        <w:tc>
          <w:tcPr>
            <w:tcW w:type="dxa" w:w="850"/>
          </w:tcPr>
          <w:p>
            <w:pPr>
              <w:spacing w:after="50" w:before="50" w:line="252" w:lineRule="auto"/>
            </w:pPr>
            <w:r>
              <w:rPr>
                <w:sz w:val="17"/>
              </w:rPr>
              <w:t>U7</w:t>
            </w:r>
          </w:p>
        </w:tc>
        <w:tc>
          <w:tcPr>
            <w:tcW w:type="dxa" w:w="6390"/>
          </w:tcPr>
          <w:p>
            <w:pPr>
              <w:spacing w:after="50" w:before="50" w:line="252" w:lineRule="auto"/>
            </w:pPr>
            <w:r>
              <w:rPr>
                <w:sz w:val="17"/>
              </w:rPr>
              <w:t xml:space="preserve">Confirm treatment of sponsorship receipts and whether any receipts qualify as CSR under Schedule VII, Companies Act 2013 </w:t>
            </w:r>
            <w:r>
              <w:rPr>
                <w:b/>
                <w:sz w:val="17"/>
              </w:rPr>
              <w:t>[verify]</w:t>
            </w:r>
          </w:p>
        </w:tc>
        <w:tc>
          <w:tcPr>
            <w:tcW w:type="dxa" w:w="1765"/>
          </w:tcPr>
          <w:p>
            <w:pPr>
              <w:spacing w:after="50" w:before="50" w:line="252" w:lineRule="auto"/>
            </w:pPr>
            <w:r>
              <w:rPr>
                <w:sz w:val="17"/>
              </w:rPr>
              <w:t>Finance</w:t>
            </w:r>
          </w:p>
        </w:tc>
        <w:tc>
          <w:tcPr>
            <w:tcW w:type="dxa" w:w="850"/>
          </w:tcPr>
          <w:p>
            <w:pPr>
              <w:spacing w:after="50" w:before="50" w:line="252" w:lineRule="auto"/>
            </w:pPr>
            <w:r>
              <w:rPr>
                <w:sz w:val="17"/>
              </w:rPr>
              <w:t>Open</w:t>
            </w:r>
          </w:p>
        </w:tc>
      </w:tr>
      <w:tr>
        <w:tc>
          <w:tcPr>
            <w:tcW w:type="dxa" w:w="850"/>
            <w:shd w:val="clear" w:color="auto" w:fill="EAF1F4"/>
          </w:tcPr>
          <w:p>
            <w:pPr>
              <w:spacing w:after="50" w:before="50" w:line="252" w:lineRule="auto"/>
            </w:pPr>
            <w:r>
              <w:rPr>
                <w:sz w:val="17"/>
              </w:rPr>
              <w:t>U8</w:t>
            </w:r>
          </w:p>
        </w:tc>
        <w:tc>
          <w:tcPr>
            <w:tcW w:type="dxa" w:w="6390"/>
            <w:shd w:val="clear" w:color="auto" w:fill="EAF1F4"/>
          </w:tcPr>
          <w:p>
            <w:pPr>
              <w:spacing w:after="50" w:before="50" w:line="252" w:lineRule="auto"/>
            </w:pPr>
            <w:r>
              <w:rPr>
                <w:sz w:val="17"/>
              </w:rPr>
              <w:t xml:space="preserve">Confirm trademark registration status for the competition name and marks before first public use </w:t>
            </w:r>
            <w:r>
              <w:rPr>
                <w:b/>
                <w:sz w:val="17"/>
              </w:rPr>
              <w:t>[verify]</w:t>
            </w:r>
          </w:p>
        </w:tc>
        <w:tc>
          <w:tcPr>
            <w:tcW w:type="dxa" w:w="1765"/>
            <w:shd w:val="clear" w:color="auto" w:fill="EAF1F4"/>
          </w:tcPr>
          <w:p>
            <w:pPr>
              <w:spacing w:after="50" w:before="50" w:line="252" w:lineRule="auto"/>
            </w:pPr>
            <w:r>
              <w:rPr>
                <w:sz w:val="17"/>
              </w:rPr>
              <w:t>Legal</w:t>
            </w:r>
          </w:p>
        </w:tc>
        <w:tc>
          <w:tcPr>
            <w:tcW w:type="dxa" w:w="850"/>
            <w:shd w:val="clear" w:color="auto" w:fill="EAF1F4"/>
          </w:tcPr>
          <w:p>
            <w:pPr>
              <w:spacing w:after="50" w:before="50" w:line="252" w:lineRule="auto"/>
            </w:pPr>
            <w:r>
              <w:rPr>
                <w:sz w:val="17"/>
              </w:rPr>
              <w:t>Open</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EQ-UAP-000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University &amp; Academic Partnership Programme</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A89ABF8-8C36-4343-A96E-76FAD33425CB}"/>
</file>

<file path=customXml/itemProps3.xml><?xml version="1.0" encoding="utf-8"?>
<ds:datastoreItem xmlns:ds="http://schemas.openxmlformats.org/officeDocument/2006/customXml" ds:itemID="{630F5C64-A276-4056-B68C-6052C9233436}"/>
</file>

<file path=customXml/itemProps4.xml><?xml version="1.0" encoding="utf-8"?>
<ds:datastoreItem xmlns:ds="http://schemas.openxmlformats.org/officeDocument/2006/customXml" ds:itemID="{4EAF7B48-A99B-4940-96DA-EA3DCC4247E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