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University Partnership Strategy &amp; Playbook</w:t>
      </w:r>
    </w:p>
    <w:p>
      <w:pPr>
        <w:spacing w:after="280" w:line="276" w:lineRule="auto"/>
      </w:pPr>
      <w:r>
        <w:rPr>
          <w:rFonts w:ascii="Calibri" w:hAnsi="Calibri"/>
          <w:i/>
          <w:color w:val="3E6B8A"/>
          <w:sz w:val="25"/>
        </w:rPr>
        <w:t>Why Equator partners with universities, what it sells, what it gives away, and how each partnership is made to pay for itself</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EQ-UAP-011</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Strategy</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(Strictly)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Executive summary</w:t>
      </w:r>
    </w:p>
    <w:p>
      <w:r>
        <w:t xml:space="preserve">Equator Resolution proposes to build a national network of university partnerships as the primary engine of three things it cannot buy: </w:t>
      </w:r>
      <w:r>
        <w:rPr>
          <w:b/>
        </w:rPr>
        <w:t>trained people</w:t>
      </w:r>
      <w:r>
        <w:t xml:space="preserve">, </w:t>
      </w:r>
      <w:r>
        <w:rPr>
          <w:b/>
        </w:rPr>
        <w:t>institutional credibility</w:t>
      </w:r>
      <w:r>
        <w:t xml:space="preserve">, and </w:t>
      </w:r>
      <w:r>
        <w:rPr>
          <w:b/>
        </w:rPr>
        <w:t>low-cost recurring revenue</w:t>
      </w:r>
      <w:r>
        <w:t>.</w:t>
      </w:r>
    </w:p>
    <w:p>
      <w:r>
        <w:t>India is at an unusual moment. The Mediation Act, 2023 has created a statutory architecture for mediation, but the Mediation Council of India has not yet been constituted, so no private body yet holds an accreditation monopoly. Simultaneously, the University Grants Commission has imposed two obligations on higher education institutions that Equator is unusually well placed to discharge: internship-embedded degrees requiring formal MOUs with outside organisations, and mandatory student grievance redressal machinery requiring an Ombudsperson and committees that most institutions are staffing badly.</w:t>
      </w:r>
    </w:p>
    <w:p>
      <w:r>
        <w:t xml:space="preserve">The strategic conclusion is straightforward. </w:t>
      </w:r>
      <w:r>
        <w:rPr>
          <w:b/>
        </w:rPr>
        <w:t>The window in which a private ADR institute can define what mediation education looks like in India is open now and will not stay open.</w:t>
      </w:r>
      <w:r>
        <w:t xml:space="preserve"> Whoever holds the largest, deepest and most visible university network when the Mediation Council notifies its standards will be the reference point against which those standards are written and applied.</w:t>
      </w:r>
    </w:p>
    <w:p>
      <w:r>
        <w:t>This document sets out how to build that network so that it is commercially self-funding rather than a marketing cost.</w:t>
      </w:r>
    </w:p>
    <w:p>
      <w:pPr>
        <w:spacing w:before="140" w:after="140"/>
        <w:ind w:left="198" w:right="113"/>
        <w:shd w:val="clear" w:color="auto" w:fill="EAF1F4"/>
        <w:pBdr>
          <w:left w:val="single" w:sz="18" w:space="6" w:color="0E7C7B"/>
        </w:pBdr>
      </w:pPr>
      <w:r>
        <w:rPr>
          <w:sz w:val="19"/>
        </w:rPr>
        <w:t xml:space="preserve">The single most important discipline in this playbook: </w:t>
      </w:r>
      <w:r>
        <w:rPr>
          <w:b/>
          <w:sz w:val="19"/>
        </w:rPr>
        <w:t>a partnership is a portfolio of priced activities, not a relationship.</w:t>
      </w:r>
      <w:r>
        <w:rPr>
          <w:sz w:val="19"/>
        </w:rPr>
        <w:t xml:space="preserve"> Signing an MOU is not an achievement. Running eight paid programmes a year under it is.</w:t>
      </w:r>
    </w:p>
    <w:p>
      <w:pPr>
        <w:spacing w:before="80" w:after="160"/>
        <w:pBdr>
          <w:bottom w:val="single" w:sz="6" w:space="1" w:color="C9D6DE"/>
        </w:pBdr>
      </w:pPr>
    </w:p>
    <w:p>
      <w:pPr>
        <w:pStyle w:val="Heading1"/>
        <w:pBdr>
          <w:bottom w:val="single" w:sz="8" w:space="4" w:color="C9D6DE"/>
        </w:pBdr>
      </w:pPr>
      <w:r>
        <w:t>1. The strategic case</w:t>
      </w:r>
    </w:p>
    <w:p>
      <w:pPr>
        <w:pStyle w:val="Heading2"/>
      </w:pPr>
      <w:r>
        <w:t>1.1 What Equator needs, and why a university supplies it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716"/>
            <w:shd w:val="clear" w:color="auto" w:fill="10375C"/>
          </w:tcPr>
          <w:p>
            <w:pPr>
              <w:spacing w:after="50" w:before="50"/>
            </w:pPr>
            <w:r>
              <w:rPr>
                <w:b/>
                <w:color w:val="FFFFFF"/>
                <w:sz w:val="17"/>
              </w:rPr>
              <w:t>Equator's constraint</w:t>
            </w:r>
          </w:p>
        </w:tc>
        <w:tc>
          <w:tcPr>
            <w:tcW w:type="dxa" w:w="1970"/>
            <w:shd w:val="clear" w:color="auto" w:fill="10375C"/>
          </w:tcPr>
          <w:p>
            <w:pPr>
              <w:spacing w:after="50" w:before="50"/>
            </w:pPr>
            <w:r>
              <w:rPr>
                <w:b/>
                <w:color w:val="FFFFFF"/>
                <w:sz w:val="17"/>
              </w:rPr>
              <w:t>Conventional solution</w:t>
            </w:r>
          </w:p>
        </w:tc>
        <w:tc>
          <w:tcPr>
            <w:tcW w:type="dxa" w:w="3781"/>
            <w:shd w:val="clear" w:color="auto" w:fill="10375C"/>
          </w:tcPr>
          <w:p>
            <w:pPr>
              <w:spacing w:after="50" w:before="50"/>
            </w:pPr>
            <w:r>
              <w:rPr>
                <w:b/>
                <w:color w:val="FFFFFF"/>
                <w:sz w:val="17"/>
              </w:rPr>
              <w:t>Why the university solves it better</w:t>
            </w:r>
          </w:p>
        </w:tc>
      </w:tr>
      <w:tr>
        <w:tc>
          <w:tcPr>
            <w:tcW w:type="dxa" w:w="3716"/>
          </w:tcPr>
          <w:p>
            <w:pPr>
              <w:spacing w:after="50" w:before="50" w:line="252" w:lineRule="auto"/>
            </w:pPr>
            <w:r>
              <w:rPr>
                <w:sz w:val="17"/>
              </w:rPr>
              <w:t>Needs a supply of trained mediators and case managers</w:t>
            </w:r>
          </w:p>
        </w:tc>
        <w:tc>
          <w:tcPr>
            <w:tcW w:type="dxa" w:w="1970"/>
          </w:tcPr>
          <w:p>
            <w:pPr>
              <w:spacing w:after="50" w:before="50" w:line="252" w:lineRule="auto"/>
            </w:pPr>
            <w:r>
              <w:rPr>
                <w:sz w:val="17"/>
              </w:rPr>
              <w:t>Hire from the market and train</w:t>
            </w:r>
          </w:p>
        </w:tc>
        <w:tc>
          <w:tcPr>
            <w:tcW w:type="dxa" w:w="3781"/>
          </w:tcPr>
          <w:p>
            <w:pPr>
              <w:spacing w:after="50" w:before="50" w:line="252" w:lineRule="auto"/>
            </w:pPr>
            <w:r>
              <w:rPr>
                <w:sz w:val="17"/>
              </w:rPr>
              <w:t>Universities supply pre-filtered, motivated candidates at zero acquisition cost, already trained by us to our own method</w:t>
            </w:r>
          </w:p>
        </w:tc>
      </w:tr>
      <w:tr>
        <w:tc>
          <w:tcPr>
            <w:tcW w:type="dxa" w:w="3716"/>
            <w:shd w:val="clear" w:color="auto" w:fill="EAF1F4"/>
          </w:tcPr>
          <w:p>
            <w:pPr>
              <w:spacing w:after="50" w:before="50" w:line="252" w:lineRule="auto"/>
            </w:pPr>
            <w:r>
              <w:rPr>
                <w:sz w:val="17"/>
              </w:rPr>
              <w:t>Needs credibility before an accreditation regime exists</w:t>
            </w:r>
          </w:p>
        </w:tc>
        <w:tc>
          <w:tcPr>
            <w:tcW w:type="dxa" w:w="1970"/>
            <w:shd w:val="clear" w:color="auto" w:fill="EAF1F4"/>
          </w:tcPr>
          <w:p>
            <w:pPr>
              <w:spacing w:after="50" w:before="50" w:line="252" w:lineRule="auto"/>
            </w:pPr>
            <w:r>
              <w:rPr>
                <w:sz w:val="17"/>
              </w:rPr>
              <w:t>Advertise</w:t>
            </w:r>
          </w:p>
        </w:tc>
        <w:tc>
          <w:tcPr>
            <w:tcW w:type="dxa" w:w="3781"/>
            <w:shd w:val="clear" w:color="auto" w:fill="EAF1F4"/>
          </w:tcPr>
          <w:p>
            <w:pPr>
              <w:spacing w:after="50" w:before="50" w:line="252" w:lineRule="auto"/>
            </w:pPr>
            <w:r>
              <w:rPr>
                <w:sz w:val="17"/>
              </w:rPr>
              <w:t>Academic association, joint research and faculty empanelment produce credibility that cannot be purchased</w:t>
            </w:r>
          </w:p>
        </w:tc>
      </w:tr>
      <w:tr>
        <w:tc>
          <w:tcPr>
            <w:tcW w:type="dxa" w:w="3716"/>
          </w:tcPr>
          <w:p>
            <w:pPr>
              <w:spacing w:after="50" w:before="50" w:line="252" w:lineRule="auto"/>
            </w:pPr>
            <w:r>
              <w:rPr>
                <w:sz w:val="17"/>
              </w:rPr>
              <w:t>Needs recurring revenue that is not case-dependent</w:t>
            </w:r>
          </w:p>
        </w:tc>
        <w:tc>
          <w:tcPr>
            <w:tcW w:type="dxa" w:w="1970"/>
          </w:tcPr>
          <w:p>
            <w:pPr>
              <w:spacing w:after="50" w:before="50" w:line="252" w:lineRule="auto"/>
            </w:pPr>
            <w:r>
              <w:rPr>
                <w:sz w:val="17"/>
              </w:rPr>
              <w:t>Sell more mediation</w:t>
            </w:r>
          </w:p>
        </w:tc>
        <w:tc>
          <w:tcPr>
            <w:tcW w:type="dxa" w:w="3781"/>
          </w:tcPr>
          <w:p>
            <w:pPr>
              <w:spacing w:after="50" w:before="50" w:line="252" w:lineRule="auto"/>
            </w:pPr>
            <w:r>
              <w:rPr>
                <w:sz w:val="17"/>
              </w:rPr>
              <w:t>Training, certification and advisory revenue is annuity-like, decoupled from case volume, and margin-rich</w:t>
            </w:r>
          </w:p>
        </w:tc>
      </w:tr>
      <w:tr>
        <w:tc>
          <w:tcPr>
            <w:tcW w:type="dxa" w:w="3716"/>
            <w:shd w:val="clear" w:color="auto" w:fill="EAF1F4"/>
          </w:tcPr>
          <w:p>
            <w:pPr>
              <w:spacing w:after="50" w:before="50" w:line="252" w:lineRule="auto"/>
            </w:pPr>
            <w:r>
              <w:rPr>
                <w:sz w:val="17"/>
              </w:rPr>
              <w:t>Needs referral sources</w:t>
            </w:r>
          </w:p>
        </w:tc>
        <w:tc>
          <w:tcPr>
            <w:tcW w:type="dxa" w:w="1970"/>
            <w:shd w:val="clear" w:color="auto" w:fill="EAF1F4"/>
          </w:tcPr>
          <w:p>
            <w:pPr>
              <w:spacing w:after="50" w:before="50" w:line="252" w:lineRule="auto"/>
            </w:pPr>
            <w:r>
              <w:rPr>
                <w:sz w:val="17"/>
              </w:rPr>
              <w:t>Build a business development team</w:t>
            </w:r>
          </w:p>
        </w:tc>
        <w:tc>
          <w:tcPr>
            <w:tcW w:type="dxa" w:w="3781"/>
            <w:shd w:val="clear" w:color="auto" w:fill="EAF1F4"/>
          </w:tcPr>
          <w:p>
            <w:pPr>
              <w:spacing w:after="50" w:before="50" w:line="252" w:lineRule="auto"/>
            </w:pPr>
            <w:r>
              <w:rPr>
                <w:sz w:val="17"/>
              </w:rPr>
              <w:t>Faculty, alumni, campus clinics and judicial roundtables generate referrals at negligible marginal cost</w:t>
            </w:r>
          </w:p>
        </w:tc>
      </w:tr>
      <w:tr>
        <w:tc>
          <w:tcPr>
            <w:tcW w:type="dxa" w:w="3716"/>
          </w:tcPr>
          <w:p>
            <w:pPr>
              <w:spacing w:after="50" w:before="50" w:line="252" w:lineRule="auto"/>
            </w:pPr>
            <w:r>
              <w:rPr>
                <w:sz w:val="17"/>
              </w:rPr>
              <w:t>Needs physical presence in many cities</w:t>
            </w:r>
          </w:p>
        </w:tc>
        <w:tc>
          <w:tcPr>
            <w:tcW w:type="dxa" w:w="1970"/>
          </w:tcPr>
          <w:p>
            <w:pPr>
              <w:spacing w:after="50" w:before="50" w:line="252" w:lineRule="auto"/>
            </w:pPr>
            <w:r>
              <w:rPr>
                <w:sz w:val="17"/>
              </w:rPr>
              <w:t>Lease offices</w:t>
            </w:r>
          </w:p>
        </w:tc>
        <w:tc>
          <w:tcPr>
            <w:tcW w:type="dxa" w:w="3781"/>
          </w:tcPr>
          <w:p>
            <w:pPr>
              <w:spacing w:after="50" w:before="50" w:line="252" w:lineRule="auto"/>
            </w:pPr>
            <w:r>
              <w:rPr>
                <w:sz w:val="17"/>
              </w:rPr>
              <w:t>Campus infrastructure gives national footprint at near-zero fixed cost</w:t>
            </w:r>
          </w:p>
        </w:tc>
      </w:tr>
      <w:tr>
        <w:tc>
          <w:tcPr>
            <w:tcW w:type="dxa" w:w="3716"/>
            <w:shd w:val="clear" w:color="auto" w:fill="EAF1F4"/>
          </w:tcPr>
          <w:p>
            <w:pPr>
              <w:spacing w:after="50" w:before="50" w:line="252" w:lineRule="auto"/>
            </w:pPr>
            <w:r>
              <w:rPr>
                <w:sz w:val="17"/>
              </w:rPr>
              <w:t>Needs content for brand and social media</w:t>
            </w:r>
          </w:p>
        </w:tc>
        <w:tc>
          <w:tcPr>
            <w:tcW w:type="dxa" w:w="1970"/>
            <w:shd w:val="clear" w:color="auto" w:fill="EAF1F4"/>
          </w:tcPr>
          <w:p>
            <w:pPr>
              <w:spacing w:after="50" w:before="50" w:line="252" w:lineRule="auto"/>
            </w:pPr>
            <w:r>
              <w:rPr>
                <w:sz w:val="17"/>
              </w:rPr>
              <w:t>Buy an agency</w:t>
            </w:r>
          </w:p>
        </w:tc>
        <w:tc>
          <w:tcPr>
            <w:tcW w:type="dxa" w:w="3781"/>
            <w:shd w:val="clear" w:color="auto" w:fill="EAF1F4"/>
          </w:tcPr>
          <w:p>
            <w:pPr>
              <w:spacing w:after="50" w:before="50" w:line="252" w:lineRule="auto"/>
            </w:pPr>
            <w:r>
              <w:rPr>
                <w:sz w:val="17"/>
              </w:rPr>
              <w:t>Students produce more, faster, cheaper, and with better distribution</w:t>
            </w:r>
          </w:p>
        </w:tc>
      </w:tr>
    </w:tbl>
    <w:p>
      <w:pPr>
        <w:spacing w:after="80" w:before="0"/>
      </w:pPr>
    </w:p>
    <w:p>
      <w:pPr>
        <w:pStyle w:val="Heading2"/>
      </w:pPr>
      <w:r>
        <w:t>1.2 What the university needs, and why Equator supplies it</w:t>
      </w:r>
    </w:p>
    <w:p>
      <w:r>
        <w:t>This is the half most providers get wrong. A university does not sign an MOU to be generous. It signs because the MOU discharges an obligation, improves a ranking input, or solves an internal problem.</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University's problem</w:t>
            </w:r>
          </w:p>
        </w:tc>
        <w:tc>
          <w:tcPr>
            <w:tcW w:type="dxa" w:w="4734"/>
            <w:shd w:val="clear" w:color="auto" w:fill="10375C"/>
          </w:tcPr>
          <w:p>
            <w:pPr>
              <w:spacing w:after="50" w:before="50"/>
            </w:pPr>
            <w:r>
              <w:rPr>
                <w:b/>
                <w:color w:val="FFFFFF"/>
                <w:sz w:val="17"/>
              </w:rPr>
              <w:t>Equator's answer</w:t>
            </w:r>
          </w:p>
        </w:tc>
      </w:tr>
      <w:tr>
        <w:tc>
          <w:tcPr>
            <w:tcW w:type="dxa" w:w="4734"/>
          </w:tcPr>
          <w:p>
            <w:pPr>
              <w:spacing w:after="50" w:before="50" w:line="252" w:lineRule="auto"/>
            </w:pPr>
            <w:r>
              <w:rPr>
                <w:sz w:val="17"/>
              </w:rPr>
              <w:t>UGC requires internship-embedded degrees with at least 20% of programme credits as internship or apprenticeship, delivered under an MOU with an outside organisation</w:t>
            </w:r>
          </w:p>
        </w:tc>
        <w:tc>
          <w:tcPr>
            <w:tcW w:type="dxa" w:w="4734"/>
          </w:tcPr>
          <w:p>
            <w:pPr>
              <w:spacing w:after="50" w:before="50" w:line="252" w:lineRule="auto"/>
            </w:pPr>
            <w:r>
              <w:rPr>
                <w:sz w:val="17"/>
              </w:rPr>
              <w:t>Equator is a ready-made, discipline-appropriate internship provider with a documented, assessable programme</w:t>
            </w:r>
          </w:p>
        </w:tc>
      </w:tr>
      <w:tr>
        <w:tc>
          <w:tcPr>
            <w:tcW w:type="dxa" w:w="4734"/>
            <w:shd w:val="clear" w:color="auto" w:fill="EAF1F4"/>
          </w:tcPr>
          <w:p>
            <w:pPr>
              <w:spacing w:after="50" w:before="50" w:line="252" w:lineRule="auto"/>
            </w:pPr>
            <w:r>
              <w:rPr>
                <w:sz w:val="17"/>
              </w:rPr>
              <w:t>UGC (Redressal of Grievances of Students) Regulations, 2023 require a Students' Grievance Redressal Committee and an Ombudsperson</w:t>
            </w:r>
          </w:p>
        </w:tc>
        <w:tc>
          <w:tcPr>
            <w:tcW w:type="dxa" w:w="4734"/>
            <w:shd w:val="clear" w:color="auto" w:fill="EAF1F4"/>
          </w:tcPr>
          <w:p>
            <w:pPr>
              <w:spacing w:after="50" w:before="50" w:line="252" w:lineRule="auto"/>
            </w:pPr>
            <w:r>
              <w:rPr>
                <w:sz w:val="17"/>
              </w:rPr>
              <w:t>Equator designs the process, trains the members, and can supply external neutrals</w:t>
            </w:r>
          </w:p>
        </w:tc>
      </w:tr>
      <w:tr>
        <w:tc>
          <w:tcPr>
            <w:tcW w:type="dxa" w:w="4734"/>
          </w:tcPr>
          <w:p>
            <w:pPr>
              <w:spacing w:after="50" w:before="50" w:line="252" w:lineRule="auto"/>
            </w:pPr>
            <w:r>
              <w:rPr>
                <w:sz w:val="17"/>
              </w:rPr>
              <w:t>NAAC and NIRF inputs reward industry linkage, consultancy, extension activity, publications and student achievement</w:t>
            </w:r>
          </w:p>
        </w:tc>
        <w:tc>
          <w:tcPr>
            <w:tcW w:type="dxa" w:w="4734"/>
          </w:tcPr>
          <w:p>
            <w:pPr>
              <w:spacing w:after="50" w:before="50" w:line="252" w:lineRule="auto"/>
            </w:pPr>
            <w:r>
              <w:rPr>
                <w:sz w:val="17"/>
              </w:rPr>
              <w:t>Every activity in the catalogue generates a documentable input</w:t>
            </w:r>
          </w:p>
        </w:tc>
      </w:tr>
      <w:tr>
        <w:tc>
          <w:tcPr>
            <w:tcW w:type="dxa" w:w="4734"/>
            <w:shd w:val="clear" w:color="auto" w:fill="EAF1F4"/>
          </w:tcPr>
          <w:p>
            <w:pPr>
              <w:spacing w:after="50" w:before="50" w:line="252" w:lineRule="auto"/>
            </w:pPr>
            <w:r>
              <w:rPr>
                <w:sz w:val="17"/>
              </w:rPr>
              <w:t>BCI curriculum requires an ADR paper that most faculties teach theoretically</w:t>
            </w:r>
          </w:p>
        </w:tc>
        <w:tc>
          <w:tcPr>
            <w:tcW w:type="dxa" w:w="4734"/>
            <w:shd w:val="clear" w:color="auto" w:fill="EAF1F4"/>
          </w:tcPr>
          <w:p>
            <w:pPr>
              <w:spacing w:after="50" w:before="50" w:line="252" w:lineRule="auto"/>
            </w:pPr>
            <w:r>
              <w:rPr>
                <w:sz w:val="17"/>
              </w:rPr>
              <w:t>Equator supplies practitioner-led clinical content and simulation</w:t>
            </w:r>
          </w:p>
        </w:tc>
      </w:tr>
      <w:tr>
        <w:tc>
          <w:tcPr>
            <w:tcW w:type="dxa" w:w="4734"/>
          </w:tcPr>
          <w:p>
            <w:pPr>
              <w:spacing w:after="50" w:before="50" w:line="252" w:lineRule="auto"/>
            </w:pPr>
            <w:r>
              <w:rPr>
                <w:sz w:val="17"/>
              </w:rPr>
              <w:t>POSH Act requires an Internal Committee with a trained external member</w:t>
            </w:r>
          </w:p>
        </w:tc>
        <w:tc>
          <w:tcPr>
            <w:tcW w:type="dxa" w:w="4734"/>
          </w:tcPr>
          <w:p>
            <w:pPr>
              <w:spacing w:after="50" w:before="50" w:line="252" w:lineRule="auto"/>
            </w:pPr>
            <w:r>
              <w:rPr>
                <w:sz w:val="17"/>
              </w:rPr>
              <w:t>Equator trains the IC and can supply the external member</w:t>
            </w:r>
          </w:p>
        </w:tc>
      </w:tr>
      <w:tr>
        <w:tc>
          <w:tcPr>
            <w:tcW w:type="dxa" w:w="4734"/>
            <w:shd w:val="clear" w:color="auto" w:fill="EAF1F4"/>
          </w:tcPr>
          <w:p>
            <w:pPr>
              <w:spacing w:after="50" w:before="50" w:line="252" w:lineRule="auto"/>
            </w:pPr>
            <w:r>
              <w:rPr>
                <w:sz w:val="17"/>
              </w:rPr>
              <w:t>Faculty want consultancy income, publications and professional standing</w:t>
            </w:r>
          </w:p>
        </w:tc>
        <w:tc>
          <w:tcPr>
            <w:tcW w:type="dxa" w:w="4734"/>
            <w:shd w:val="clear" w:color="auto" w:fill="EAF1F4"/>
          </w:tcPr>
          <w:p>
            <w:pPr>
              <w:spacing w:after="50" w:before="50" w:line="252" w:lineRule="auto"/>
            </w:pPr>
            <w:r>
              <w:rPr>
                <w:sz w:val="17"/>
              </w:rPr>
              <w:t>Empanelment as neutrals, joint authorship, and adjunct roles</w:t>
            </w:r>
          </w:p>
        </w:tc>
      </w:tr>
      <w:tr>
        <w:tc>
          <w:tcPr>
            <w:tcW w:type="dxa" w:w="4734"/>
          </w:tcPr>
          <w:p>
            <w:pPr>
              <w:spacing w:after="50" w:before="50" w:line="252" w:lineRule="auto"/>
            </w:pPr>
            <w:r>
              <w:rPr>
                <w:sz w:val="17"/>
              </w:rPr>
              <w:t>Placement cells need differentiated employer relationships</w:t>
            </w:r>
          </w:p>
        </w:tc>
        <w:tc>
          <w:tcPr>
            <w:tcW w:type="dxa" w:w="4734"/>
          </w:tcPr>
          <w:p>
            <w:pPr>
              <w:spacing w:after="50" w:before="50" w:line="252" w:lineRule="auto"/>
            </w:pPr>
            <w:r>
              <w:rPr>
                <w:sz w:val="17"/>
              </w:rPr>
              <w:t>A named employer partner in a growing sector</w:t>
            </w:r>
          </w:p>
        </w:tc>
      </w:tr>
      <w:tr>
        <w:tc>
          <w:tcPr>
            <w:tcW w:type="dxa" w:w="4734"/>
            <w:shd w:val="clear" w:color="auto" w:fill="EAF1F4"/>
          </w:tcPr>
          <w:p>
            <w:pPr>
              <w:spacing w:after="50" w:before="50" w:line="252" w:lineRule="auto"/>
            </w:pPr>
            <w:r>
              <w:rPr>
                <w:sz w:val="17"/>
              </w:rPr>
              <w:t>Institutions want flagship events that attract national attention</w:t>
            </w:r>
          </w:p>
        </w:tc>
        <w:tc>
          <w:tcPr>
            <w:tcW w:type="dxa" w:w="4734"/>
            <w:shd w:val="clear" w:color="auto" w:fill="EAF1F4"/>
          </w:tcPr>
          <w:p>
            <w:pPr>
              <w:spacing w:after="50" w:before="50" w:line="252" w:lineRule="auto"/>
            </w:pPr>
            <w:r>
              <w:rPr>
                <w:sz w:val="17"/>
              </w:rPr>
              <w:t>A national competition hosted on their campus</w:t>
            </w:r>
          </w:p>
        </w:tc>
      </w:tr>
    </w:tbl>
    <w:p>
      <w:pPr>
        <w:spacing w:after="80" w:before="0"/>
      </w:pPr>
    </w:p>
    <w:p>
      <w:r>
        <w:t xml:space="preserve">The negotiating consequence: </w:t>
      </w:r>
      <w:r>
        <w:rPr>
          <w:b/>
        </w:rPr>
        <w:t>lead with the university's compliance problem, not with Equator's offering.</w:t>
      </w:r>
      <w:r>
        <w:t xml:space="preserve"> The proposal templates in folder 02 are built this way.</w:t>
      </w:r>
    </w:p>
    <w:p>
      <w:pPr>
        <w:spacing w:before="80" w:after="160"/>
        <w:pBdr>
          <w:bottom w:val="single" w:sz="6" w:space="1" w:color="C9D6DE"/>
        </w:pBdr>
      </w:pPr>
    </w:p>
    <w:p>
      <w:pPr>
        <w:pStyle w:val="Heading1"/>
        <w:pBdr>
          <w:bottom w:val="single" w:sz="8" w:space="4" w:color="C9D6DE"/>
        </w:pBdr>
      </w:pPr>
      <w:r>
        <w:t>2. Positioning</w:t>
      </w:r>
    </w:p>
    <w:p>
      <w:pPr>
        <w:pStyle w:val="Heading2"/>
      </w:pPr>
      <w:r>
        <w:t>2.1 What Equator is, in one line, to each audience</w:t>
      </w:r>
    </w:p>
    <w:p>
      <w:pPr>
        <w:pStyle w:val="ListBullet"/>
      </w:pPr>
      <w:r>
        <w:rPr>
          <w:b/>
          <w:sz w:val="21"/>
        </w:rPr>
        <w:t>To a Vice-Chancellor:</w:t>
      </w:r>
      <w:r>
        <w:rPr>
          <w:sz w:val="21"/>
        </w:rPr>
        <w:t xml:space="preserve"> an institutional partner that converts a compliance obligation into a nationally visible centre of excellence, at no capital cost to the university.</w:t>
      </w:r>
    </w:p>
    <w:p>
      <w:pPr>
        <w:pStyle w:val="ListBullet"/>
      </w:pPr>
      <w:r>
        <w:rPr>
          <w:b/>
          <w:sz w:val="21"/>
        </w:rPr>
        <w:t>To a Dean of Law:</w:t>
      </w:r>
      <w:r>
        <w:rPr>
          <w:sz w:val="21"/>
        </w:rPr>
        <w:t xml:space="preserve"> a practitioner faculty that makes the ADR paper real, and a route for your students into a profession that is about to expand under statute.</w:t>
      </w:r>
    </w:p>
    <w:p>
      <w:pPr>
        <w:pStyle w:val="ListBullet"/>
      </w:pPr>
      <w:r>
        <w:rPr>
          <w:b/>
          <w:sz w:val="21"/>
        </w:rPr>
        <w:t>To a Dean of a business school:</w:t>
      </w:r>
      <w:r>
        <w:rPr>
          <w:sz w:val="21"/>
        </w:rPr>
        <w:t xml:space="preserve"> negotiation and commercial-dispute capability that employers now ask about, delivered by people who do it for a living.</w:t>
      </w:r>
    </w:p>
    <w:p>
      <w:pPr>
        <w:pStyle w:val="ListBullet"/>
      </w:pPr>
      <w:r>
        <w:rPr>
          <w:b/>
          <w:sz w:val="21"/>
        </w:rPr>
        <w:t>To a faculty member:</w:t>
      </w:r>
      <w:r>
        <w:rPr>
          <w:sz w:val="21"/>
        </w:rPr>
        <w:t xml:space="preserve"> consultancy income, publications, and a seat on a national panel.</w:t>
      </w:r>
    </w:p>
    <w:p>
      <w:pPr>
        <w:pStyle w:val="ListBullet"/>
      </w:pPr>
      <w:r>
        <w:rPr>
          <w:b/>
          <w:sz w:val="21"/>
        </w:rPr>
        <w:t>To a student:</w:t>
      </w:r>
      <w:r>
        <w:rPr>
          <w:sz w:val="21"/>
        </w:rPr>
        <w:t xml:space="preserve"> a credential, a skill, live exposure, a competition circuit and a job.</w:t>
      </w:r>
    </w:p>
    <w:p>
      <w:pPr>
        <w:pStyle w:val="Heading2"/>
      </w:pPr>
      <w:r>
        <w:t>2.2 What Equator explicitly does not claim</w:t>
      </w:r>
    </w:p>
    <w:p>
      <w:r>
        <w:t>Discipline here protects the licence to operate.</w:t>
      </w:r>
    </w:p>
    <w:p>
      <w:pPr>
        <w:pStyle w:val="ListBullet"/>
      </w:pPr>
      <w:r>
        <w:rPr>
          <w:sz w:val="21"/>
        </w:rPr>
        <w:t xml:space="preserve">Equator does </w:t>
      </w:r>
      <w:r>
        <w:rPr>
          <w:b/>
          <w:sz w:val="21"/>
        </w:rPr>
        <w:t>not</w:t>
      </w:r>
      <w:r>
        <w:rPr>
          <w:sz w:val="21"/>
        </w:rPr>
        <w:t xml:space="preserve"> award degrees or diplomas. It issues certificates of training and competence under its own name or jointly with the partner institution.</w:t>
      </w:r>
    </w:p>
    <w:p>
      <w:pPr>
        <w:pStyle w:val="ListBullet"/>
      </w:pPr>
      <w:r>
        <w:rPr>
          <w:sz w:val="21"/>
        </w:rPr>
        <w:t xml:space="preserve">Equator does </w:t>
      </w:r>
      <w:r>
        <w:rPr>
          <w:b/>
          <w:sz w:val="21"/>
        </w:rPr>
        <w:t>not</w:t>
      </w:r>
      <w:r>
        <w:rPr>
          <w:sz w:val="21"/>
        </w:rPr>
        <w:t xml:space="preserve"> describe its certification as government-recognised, MCI-accredited or statutorily approved while the Mediation Council of India remains unconstituted. Permitted formulation: </w:t>
      </w:r>
      <w:r>
        <w:rPr>
          <w:i/>
          <w:sz w:val="21"/>
        </w:rPr>
        <w:t>designed in line with prevailing court-annexed mediation training norms of 40 hours basic and 20 hours advanced training.</w:t>
      </w:r>
      <w:r>
        <w:rPr>
          <w:sz w:val="21"/>
        </w:rPr>
        <w:t xml:space="preserve"> </w:t>
      </w:r>
      <w:r>
        <w:rPr>
          <w:b/>
          <w:sz w:val="21"/>
        </w:rPr>
        <w:t>[verify — Legal + Marketing]</w:t>
      </w:r>
    </w:p>
    <w:p>
      <w:pPr>
        <w:pStyle w:val="ListBullet"/>
      </w:pPr>
      <w:r>
        <w:rPr>
          <w:sz w:val="21"/>
        </w:rPr>
        <w:t xml:space="preserve">Equator does </w:t>
      </w:r>
      <w:r>
        <w:rPr>
          <w:b/>
          <w:sz w:val="21"/>
        </w:rPr>
        <w:t>not</w:t>
      </w:r>
      <w:r>
        <w:rPr>
          <w:sz w:val="21"/>
        </w:rPr>
        <w:t xml:space="preserve"> promise placement. It offers a documented internship-to-employment pathway with published historical conversion data once such data exists.</w:t>
      </w:r>
    </w:p>
    <w:p>
      <w:pPr>
        <w:pStyle w:val="ListBullet"/>
      </w:pPr>
      <w:r>
        <w:rPr>
          <w:sz w:val="21"/>
        </w:rPr>
        <w:t xml:space="preserve">Equator does </w:t>
      </w:r>
      <w:r>
        <w:rPr>
          <w:b/>
          <w:sz w:val="21"/>
        </w:rPr>
        <w:t>not</w:t>
      </w:r>
      <w:r>
        <w:rPr>
          <w:sz w:val="21"/>
        </w:rPr>
        <w:t xml:space="preserve"> hold itself out as neutral in a matter where the counterparty is a partner institution without disclosure and, where required, recusal. See 07.9.</w:t>
      </w:r>
    </w:p>
    <w:p>
      <w:pPr>
        <w:spacing w:before="80" w:after="160"/>
        <w:pBdr>
          <w:bottom w:val="single" w:sz="6" w:space="1" w:color="C9D6DE"/>
        </w:pBdr>
      </w:pPr>
    </w:p>
    <w:p>
      <w:pPr>
        <w:pStyle w:val="Heading1"/>
        <w:pBdr>
          <w:bottom w:val="single" w:sz="8" w:space="4" w:color="C9D6DE"/>
        </w:pBdr>
      </w:pPr>
      <w:r>
        <w:t>3. The partnership tiering model</w:t>
      </w:r>
    </w:p>
    <w:p>
      <w:r>
        <w:t>Undifferentiated MOUs are the principal failure mode. Equator offers three tiers. The tier determines which schedules attach to the Master MOU, what is free, and what is charged.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3343"/>
            <w:shd w:val="clear" w:color="auto" w:fill="10375C"/>
          </w:tcPr>
          <w:p>
            <w:pPr>
              <w:spacing w:after="50" w:before="50"/>
            </w:pPr>
          </w:p>
        </w:tc>
        <w:tc>
          <w:tcPr>
            <w:tcW w:type="dxa" w:w="2801"/>
            <w:shd w:val="clear" w:color="auto" w:fill="10375C"/>
          </w:tcPr>
          <w:p>
            <w:pPr>
              <w:spacing w:after="50" w:before="50"/>
            </w:pPr>
            <w:r>
              <w:rPr>
                <w:b/>
                <w:color w:val="FFFFFF"/>
                <w:sz w:val="17"/>
              </w:rPr>
              <w:t>Tier 1 — Anchor</w:t>
            </w:r>
          </w:p>
        </w:tc>
        <w:tc>
          <w:tcPr>
            <w:tcW w:type="dxa" w:w="1793"/>
            <w:shd w:val="clear" w:color="auto" w:fill="10375C"/>
          </w:tcPr>
          <w:p>
            <w:pPr>
              <w:spacing w:after="50" w:before="50"/>
            </w:pPr>
            <w:r>
              <w:rPr>
                <w:b/>
                <w:color w:val="FFFFFF"/>
                <w:sz w:val="17"/>
              </w:rPr>
              <w:t>Tier 2 — Programme</w:t>
            </w:r>
          </w:p>
        </w:tc>
        <w:tc>
          <w:tcPr>
            <w:tcW w:type="dxa" w:w="1530"/>
            <w:shd w:val="clear" w:color="auto" w:fill="10375C"/>
          </w:tcPr>
          <w:p>
            <w:pPr>
              <w:spacing w:after="50" w:before="50"/>
            </w:pPr>
            <w:r>
              <w:rPr>
                <w:b/>
                <w:color w:val="FFFFFF"/>
                <w:sz w:val="17"/>
              </w:rPr>
              <w:t>Tier 3 — Associate</w:t>
            </w:r>
          </w:p>
        </w:tc>
      </w:tr>
      <w:tr>
        <w:tc>
          <w:tcPr>
            <w:tcW w:type="dxa" w:w="3343"/>
          </w:tcPr>
          <w:p>
            <w:pPr>
              <w:spacing w:after="50" w:before="50" w:line="252" w:lineRule="auto"/>
            </w:pPr>
            <w:r>
              <w:rPr>
                <w:sz w:val="17"/>
              </w:rPr>
              <w:t>Target number</w:t>
            </w:r>
          </w:p>
        </w:tc>
        <w:tc>
          <w:tcPr>
            <w:tcW w:type="dxa" w:w="2801"/>
          </w:tcPr>
          <w:p>
            <w:pPr>
              <w:spacing w:after="50" w:before="50" w:line="252" w:lineRule="auto"/>
            </w:pPr>
            <w:r>
              <w:rPr>
                <w:sz w:val="17"/>
              </w:rPr>
              <w:t>3 to 5 nationally</w:t>
            </w:r>
          </w:p>
        </w:tc>
        <w:tc>
          <w:tcPr>
            <w:tcW w:type="dxa" w:w="1793"/>
          </w:tcPr>
          <w:p>
            <w:pPr>
              <w:spacing w:after="50" w:before="50" w:line="252" w:lineRule="auto"/>
            </w:pPr>
            <w:r>
              <w:rPr>
                <w:sz w:val="17"/>
              </w:rPr>
              <w:t>12 to 18</w:t>
            </w:r>
          </w:p>
        </w:tc>
        <w:tc>
          <w:tcPr>
            <w:tcW w:type="dxa" w:w="1530"/>
          </w:tcPr>
          <w:p>
            <w:pPr>
              <w:spacing w:after="50" w:before="50" w:line="252" w:lineRule="auto"/>
            </w:pPr>
            <w:r>
              <w:rPr>
                <w:sz w:val="17"/>
              </w:rPr>
              <w:t>Unlimited</w:t>
            </w:r>
          </w:p>
        </w:tc>
      </w:tr>
      <w:tr>
        <w:tc>
          <w:tcPr>
            <w:tcW w:type="dxa" w:w="3343"/>
            <w:shd w:val="clear" w:color="auto" w:fill="EAF1F4"/>
          </w:tcPr>
          <w:p>
            <w:pPr>
              <w:spacing w:after="50" w:before="50" w:line="252" w:lineRule="auto"/>
            </w:pPr>
            <w:r>
              <w:rPr>
                <w:sz w:val="17"/>
              </w:rPr>
              <w:t>Term</w:t>
            </w:r>
          </w:p>
        </w:tc>
        <w:tc>
          <w:tcPr>
            <w:tcW w:type="dxa" w:w="2801"/>
            <w:shd w:val="clear" w:color="auto" w:fill="EAF1F4"/>
          </w:tcPr>
          <w:p>
            <w:pPr>
              <w:spacing w:after="50" w:before="50" w:line="252" w:lineRule="auto"/>
            </w:pPr>
            <w:r>
              <w:rPr>
                <w:sz w:val="17"/>
              </w:rPr>
              <w:t>5 years</w:t>
            </w:r>
          </w:p>
        </w:tc>
        <w:tc>
          <w:tcPr>
            <w:tcW w:type="dxa" w:w="1793"/>
            <w:shd w:val="clear" w:color="auto" w:fill="EAF1F4"/>
          </w:tcPr>
          <w:p>
            <w:pPr>
              <w:spacing w:after="50" w:before="50" w:line="252" w:lineRule="auto"/>
            </w:pPr>
            <w:r>
              <w:rPr>
                <w:sz w:val="17"/>
              </w:rPr>
              <w:t>3 years</w:t>
            </w:r>
          </w:p>
        </w:tc>
        <w:tc>
          <w:tcPr>
            <w:tcW w:type="dxa" w:w="1530"/>
            <w:shd w:val="clear" w:color="auto" w:fill="EAF1F4"/>
          </w:tcPr>
          <w:p>
            <w:pPr>
              <w:spacing w:after="50" w:before="50" w:line="252" w:lineRule="auto"/>
            </w:pPr>
            <w:r>
              <w:rPr>
                <w:sz w:val="17"/>
              </w:rPr>
              <w:t>2 years, auto-lapse</w:t>
            </w:r>
          </w:p>
        </w:tc>
      </w:tr>
      <w:tr>
        <w:tc>
          <w:tcPr>
            <w:tcW w:type="dxa" w:w="3343"/>
          </w:tcPr>
          <w:p>
            <w:pPr>
              <w:spacing w:after="50" w:before="50" w:line="252" w:lineRule="auto"/>
            </w:pPr>
            <w:r>
              <w:rPr>
                <w:sz w:val="17"/>
              </w:rPr>
              <w:t>Campus ADR Lab / Centre</w:t>
            </w:r>
          </w:p>
        </w:tc>
        <w:tc>
          <w:tcPr>
            <w:tcW w:type="dxa" w:w="2801"/>
          </w:tcPr>
          <w:p>
            <w:pPr>
              <w:spacing w:after="50" w:before="50" w:line="252" w:lineRule="auto"/>
            </w:pPr>
            <w:r>
              <w:rPr>
                <w:sz w:val="17"/>
              </w:rPr>
              <w:t>Yes, co-branded</w:t>
            </w:r>
          </w:p>
        </w:tc>
        <w:tc>
          <w:tcPr>
            <w:tcW w:type="dxa" w:w="1793"/>
          </w:tcPr>
          <w:p>
            <w:pPr>
              <w:spacing w:after="50" w:before="50" w:line="252" w:lineRule="auto"/>
            </w:pPr>
            <w:r>
              <w:rPr>
                <w:sz w:val="17"/>
              </w:rPr>
              <w:t>Optional</w:t>
            </w:r>
          </w:p>
        </w:tc>
        <w:tc>
          <w:tcPr>
            <w:tcW w:type="dxa" w:w="1530"/>
          </w:tcPr>
          <w:p>
            <w:pPr>
              <w:spacing w:after="50" w:before="50" w:line="252" w:lineRule="auto"/>
            </w:pPr>
            <w:r>
              <w:rPr>
                <w:sz w:val="17"/>
              </w:rPr>
              <w:t>No</w:t>
            </w:r>
          </w:p>
        </w:tc>
      </w:tr>
      <w:tr>
        <w:tc>
          <w:tcPr>
            <w:tcW w:type="dxa" w:w="3343"/>
            <w:shd w:val="clear" w:color="auto" w:fill="EAF1F4"/>
          </w:tcPr>
          <w:p>
            <w:pPr>
              <w:spacing w:after="50" w:before="50" w:line="252" w:lineRule="auto"/>
            </w:pPr>
            <w:r>
              <w:rPr>
                <w:sz w:val="17"/>
              </w:rPr>
              <w:t>Credit-bearing certificate course</w:t>
            </w:r>
          </w:p>
        </w:tc>
        <w:tc>
          <w:tcPr>
            <w:tcW w:type="dxa" w:w="2801"/>
            <w:shd w:val="clear" w:color="auto" w:fill="EAF1F4"/>
          </w:tcPr>
          <w:p>
            <w:pPr>
              <w:spacing w:after="50" w:before="50" w:line="252" w:lineRule="auto"/>
            </w:pPr>
            <w:r>
              <w:rPr>
                <w:sz w:val="17"/>
              </w:rPr>
              <w:t>Yes, with revenue share</w:t>
            </w:r>
          </w:p>
        </w:tc>
        <w:tc>
          <w:tcPr>
            <w:tcW w:type="dxa" w:w="1793"/>
            <w:shd w:val="clear" w:color="auto" w:fill="EAF1F4"/>
          </w:tcPr>
          <w:p>
            <w:pPr>
              <w:spacing w:after="50" w:before="50" w:line="252" w:lineRule="auto"/>
            </w:pPr>
            <w:r>
              <w:rPr>
                <w:sz w:val="17"/>
              </w:rPr>
              <w:t>Optional, standard fee</w:t>
            </w:r>
          </w:p>
        </w:tc>
        <w:tc>
          <w:tcPr>
            <w:tcW w:type="dxa" w:w="1530"/>
            <w:shd w:val="clear" w:color="auto" w:fill="EAF1F4"/>
          </w:tcPr>
          <w:p>
            <w:pPr>
              <w:spacing w:after="50" w:before="50" w:line="252" w:lineRule="auto"/>
            </w:pPr>
            <w:r>
              <w:rPr>
                <w:sz w:val="17"/>
              </w:rPr>
              <w:t>No</w:t>
            </w:r>
          </w:p>
        </w:tc>
      </w:tr>
      <w:tr>
        <w:tc>
          <w:tcPr>
            <w:tcW w:type="dxa" w:w="3343"/>
          </w:tcPr>
          <w:p>
            <w:pPr>
              <w:spacing w:after="50" w:before="50" w:line="252" w:lineRule="auto"/>
            </w:pPr>
            <w:r>
              <w:rPr>
                <w:sz w:val="17"/>
              </w:rPr>
              <w:t>Internships</w:t>
            </w:r>
          </w:p>
        </w:tc>
        <w:tc>
          <w:tcPr>
            <w:tcW w:type="dxa" w:w="2801"/>
          </w:tcPr>
          <w:p>
            <w:pPr>
              <w:spacing w:after="50" w:before="50" w:line="252" w:lineRule="auto"/>
            </w:pPr>
            <w:r>
              <w:rPr>
                <w:sz w:val="17"/>
              </w:rPr>
              <w:t>Guaranteed cohort, structured ladder</w:t>
            </w:r>
          </w:p>
        </w:tc>
        <w:tc>
          <w:tcPr>
            <w:tcW w:type="dxa" w:w="1793"/>
          </w:tcPr>
          <w:p>
            <w:pPr>
              <w:spacing w:after="50" w:before="50" w:line="252" w:lineRule="auto"/>
            </w:pPr>
            <w:r>
              <w:rPr>
                <w:sz w:val="17"/>
              </w:rPr>
              <w:t>Merit intake</w:t>
            </w:r>
          </w:p>
        </w:tc>
        <w:tc>
          <w:tcPr>
            <w:tcW w:type="dxa" w:w="1530"/>
          </w:tcPr>
          <w:p>
            <w:pPr>
              <w:spacing w:after="50" w:before="50" w:line="252" w:lineRule="auto"/>
            </w:pPr>
            <w:r>
              <w:rPr>
                <w:sz w:val="17"/>
              </w:rPr>
              <w:t>Open application only</w:t>
            </w:r>
          </w:p>
        </w:tc>
      </w:tr>
      <w:tr>
        <w:tc>
          <w:tcPr>
            <w:tcW w:type="dxa" w:w="3343"/>
            <w:shd w:val="clear" w:color="auto" w:fill="EAF1F4"/>
          </w:tcPr>
          <w:p>
            <w:pPr>
              <w:spacing w:after="50" w:before="50" w:line="252" w:lineRule="auto"/>
            </w:pPr>
            <w:r>
              <w:rPr>
                <w:sz w:val="17"/>
              </w:rPr>
              <w:t>Faculty empanelment as neutrals</w:t>
            </w:r>
          </w:p>
        </w:tc>
        <w:tc>
          <w:tcPr>
            <w:tcW w:type="dxa" w:w="2801"/>
            <w:shd w:val="clear" w:color="auto" w:fill="EAF1F4"/>
          </w:tcPr>
          <w:p>
            <w:pPr>
              <w:spacing w:after="50" w:before="50" w:line="252" w:lineRule="auto"/>
            </w:pPr>
            <w:r>
              <w:rPr>
                <w:sz w:val="17"/>
              </w:rPr>
              <w:t>Yes</w:t>
            </w:r>
          </w:p>
        </w:tc>
        <w:tc>
          <w:tcPr>
            <w:tcW w:type="dxa" w:w="1793"/>
            <w:shd w:val="clear" w:color="auto" w:fill="EAF1F4"/>
          </w:tcPr>
          <w:p>
            <w:pPr>
              <w:spacing w:after="50" w:before="50" w:line="252" w:lineRule="auto"/>
            </w:pPr>
            <w:r>
              <w:rPr>
                <w:sz w:val="17"/>
              </w:rPr>
              <w:t>Selective</w:t>
            </w:r>
          </w:p>
        </w:tc>
        <w:tc>
          <w:tcPr>
            <w:tcW w:type="dxa" w:w="1530"/>
            <w:shd w:val="clear" w:color="auto" w:fill="EAF1F4"/>
          </w:tcPr>
          <w:p>
            <w:pPr>
              <w:spacing w:after="50" w:before="50" w:line="252" w:lineRule="auto"/>
            </w:pPr>
            <w:r>
              <w:rPr>
                <w:sz w:val="17"/>
              </w:rPr>
              <w:t>No</w:t>
            </w:r>
          </w:p>
        </w:tc>
      </w:tr>
      <w:tr>
        <w:tc>
          <w:tcPr>
            <w:tcW w:type="dxa" w:w="3343"/>
          </w:tcPr>
          <w:p>
            <w:pPr>
              <w:spacing w:after="50" w:before="50" w:line="252" w:lineRule="auto"/>
            </w:pPr>
            <w:r>
              <w:rPr>
                <w:sz w:val="17"/>
              </w:rPr>
              <w:t>Research chair / joint publication</w:t>
            </w:r>
          </w:p>
        </w:tc>
        <w:tc>
          <w:tcPr>
            <w:tcW w:type="dxa" w:w="2801"/>
          </w:tcPr>
          <w:p>
            <w:pPr>
              <w:spacing w:after="50" w:before="50" w:line="252" w:lineRule="auto"/>
            </w:pPr>
            <w:r>
              <w:rPr>
                <w:sz w:val="17"/>
              </w:rPr>
              <w:t>Yes</w:t>
            </w:r>
          </w:p>
        </w:tc>
        <w:tc>
          <w:tcPr>
            <w:tcW w:type="dxa" w:w="1793"/>
          </w:tcPr>
          <w:p>
            <w:pPr>
              <w:spacing w:after="50" w:before="50" w:line="252" w:lineRule="auto"/>
            </w:pPr>
            <w:r>
              <w:rPr>
                <w:sz w:val="17"/>
              </w:rPr>
              <w:t>Joint papers only</w:t>
            </w:r>
          </w:p>
        </w:tc>
        <w:tc>
          <w:tcPr>
            <w:tcW w:type="dxa" w:w="1530"/>
          </w:tcPr>
          <w:p>
            <w:pPr>
              <w:spacing w:after="50" w:before="50" w:line="252" w:lineRule="auto"/>
            </w:pPr>
            <w:r>
              <w:rPr>
                <w:sz w:val="17"/>
              </w:rPr>
              <w:t>No</w:t>
            </w:r>
          </w:p>
        </w:tc>
      </w:tr>
      <w:tr>
        <w:tc>
          <w:tcPr>
            <w:tcW w:type="dxa" w:w="3343"/>
            <w:shd w:val="clear" w:color="auto" w:fill="EAF1F4"/>
          </w:tcPr>
          <w:p>
            <w:pPr>
              <w:spacing w:after="50" w:before="50" w:line="252" w:lineRule="auto"/>
            </w:pPr>
            <w:r>
              <w:rPr>
                <w:sz w:val="17"/>
              </w:rPr>
              <w:t>Competition</w:t>
            </w:r>
          </w:p>
        </w:tc>
        <w:tc>
          <w:tcPr>
            <w:tcW w:type="dxa" w:w="2801"/>
            <w:shd w:val="clear" w:color="auto" w:fill="EAF1F4"/>
          </w:tcPr>
          <w:p>
            <w:pPr>
              <w:spacing w:after="50" w:before="50" w:line="252" w:lineRule="auto"/>
            </w:pPr>
            <w:r>
              <w:rPr>
                <w:sz w:val="17"/>
              </w:rPr>
              <w:t>Right to host a national round</w:t>
            </w:r>
          </w:p>
        </w:tc>
        <w:tc>
          <w:tcPr>
            <w:tcW w:type="dxa" w:w="1793"/>
            <w:shd w:val="clear" w:color="auto" w:fill="EAF1F4"/>
          </w:tcPr>
          <w:p>
            <w:pPr>
              <w:spacing w:after="50" w:before="50" w:line="252" w:lineRule="auto"/>
            </w:pPr>
            <w:r>
              <w:rPr>
                <w:sz w:val="17"/>
              </w:rPr>
              <w:t>Regional round</w:t>
            </w:r>
          </w:p>
        </w:tc>
        <w:tc>
          <w:tcPr>
            <w:tcW w:type="dxa" w:w="1530"/>
            <w:shd w:val="clear" w:color="auto" w:fill="EAF1F4"/>
          </w:tcPr>
          <w:p>
            <w:pPr>
              <w:spacing w:after="50" w:before="50" w:line="252" w:lineRule="auto"/>
            </w:pPr>
            <w:r>
              <w:rPr>
                <w:sz w:val="17"/>
              </w:rPr>
              <w:t>Team participation</w:t>
            </w:r>
          </w:p>
        </w:tc>
      </w:tr>
      <w:tr>
        <w:tc>
          <w:tcPr>
            <w:tcW w:type="dxa" w:w="3343"/>
          </w:tcPr>
          <w:p>
            <w:pPr>
              <w:spacing w:after="50" w:before="50" w:line="252" w:lineRule="auto"/>
            </w:pPr>
            <w:r>
              <w:rPr>
                <w:sz w:val="17"/>
              </w:rPr>
              <w:t>Faculty Development Programme</w:t>
            </w:r>
          </w:p>
        </w:tc>
        <w:tc>
          <w:tcPr>
            <w:tcW w:type="dxa" w:w="2801"/>
          </w:tcPr>
          <w:p>
            <w:pPr>
              <w:spacing w:after="50" w:before="50" w:line="252" w:lineRule="auto"/>
            </w:pPr>
            <w:r>
              <w:rPr>
                <w:sz w:val="17"/>
              </w:rPr>
              <w:t>Annual, funded</w:t>
            </w:r>
          </w:p>
        </w:tc>
        <w:tc>
          <w:tcPr>
            <w:tcW w:type="dxa" w:w="1793"/>
          </w:tcPr>
          <w:p>
            <w:pPr>
              <w:spacing w:after="50" w:before="50" w:line="252" w:lineRule="auto"/>
            </w:pPr>
            <w:r>
              <w:rPr>
                <w:sz w:val="17"/>
              </w:rPr>
              <w:t>Biennial, paid</w:t>
            </w:r>
          </w:p>
        </w:tc>
        <w:tc>
          <w:tcPr>
            <w:tcW w:type="dxa" w:w="1530"/>
          </w:tcPr>
          <w:p>
            <w:pPr>
              <w:spacing w:after="50" w:before="50" w:line="252" w:lineRule="auto"/>
            </w:pPr>
            <w:r>
              <w:rPr>
                <w:sz w:val="17"/>
              </w:rPr>
              <w:t>No</w:t>
            </w:r>
          </w:p>
        </w:tc>
      </w:tr>
      <w:tr>
        <w:tc>
          <w:tcPr>
            <w:tcW w:type="dxa" w:w="3343"/>
            <w:shd w:val="clear" w:color="auto" w:fill="EAF1F4"/>
          </w:tcPr>
          <w:p>
            <w:pPr>
              <w:spacing w:after="50" w:before="50" w:line="252" w:lineRule="auto"/>
            </w:pPr>
            <w:r>
              <w:rPr>
                <w:sz w:val="17"/>
              </w:rPr>
              <w:t>Exclusivity</w:t>
            </w:r>
          </w:p>
        </w:tc>
        <w:tc>
          <w:tcPr>
            <w:tcW w:type="dxa" w:w="2801"/>
            <w:shd w:val="clear" w:color="auto" w:fill="EAF1F4"/>
          </w:tcPr>
          <w:p>
            <w:pPr>
              <w:spacing w:after="50" w:before="50" w:line="252" w:lineRule="auto"/>
            </w:pPr>
            <w:r>
              <w:rPr>
                <w:sz w:val="17"/>
              </w:rPr>
              <w:t>City or state, narrow and time-limited</w:t>
            </w:r>
          </w:p>
        </w:tc>
        <w:tc>
          <w:tcPr>
            <w:tcW w:type="dxa" w:w="1793"/>
            <w:shd w:val="clear" w:color="auto" w:fill="EAF1F4"/>
          </w:tcPr>
          <w:p>
            <w:pPr>
              <w:spacing w:after="50" w:before="50" w:line="252" w:lineRule="auto"/>
            </w:pPr>
            <w:r>
              <w:rPr>
                <w:sz w:val="17"/>
              </w:rPr>
              <w:t>None</w:t>
            </w:r>
          </w:p>
        </w:tc>
        <w:tc>
          <w:tcPr>
            <w:tcW w:type="dxa" w:w="1530"/>
            <w:shd w:val="clear" w:color="auto" w:fill="EAF1F4"/>
          </w:tcPr>
          <w:p>
            <w:pPr>
              <w:spacing w:after="50" w:before="50" w:line="252" w:lineRule="auto"/>
            </w:pPr>
            <w:r>
              <w:rPr>
                <w:sz w:val="17"/>
              </w:rPr>
              <w:t>None</w:t>
            </w:r>
          </w:p>
        </w:tc>
      </w:tr>
      <w:tr>
        <w:tc>
          <w:tcPr>
            <w:tcW w:type="dxa" w:w="3343"/>
          </w:tcPr>
          <w:p>
            <w:pPr>
              <w:spacing w:after="50" w:before="50" w:line="252" w:lineRule="auto"/>
            </w:pPr>
            <w:r>
              <w:rPr>
                <w:sz w:val="17"/>
              </w:rPr>
              <w:t>Indicative annual gross revenue to Equator</w:t>
            </w:r>
          </w:p>
        </w:tc>
        <w:tc>
          <w:tcPr>
            <w:tcW w:type="dxa" w:w="2801"/>
          </w:tcPr>
          <w:p>
            <w:pPr>
              <w:spacing w:after="50" w:before="50" w:line="252" w:lineRule="auto"/>
            </w:pPr>
            <w:r>
              <w:rPr>
                <w:sz w:val="17"/>
              </w:rPr>
              <w:t>₹18–35 lakh</w:t>
            </w:r>
          </w:p>
        </w:tc>
        <w:tc>
          <w:tcPr>
            <w:tcW w:type="dxa" w:w="1793"/>
          </w:tcPr>
          <w:p>
            <w:pPr>
              <w:spacing w:after="50" w:before="50" w:line="252" w:lineRule="auto"/>
            </w:pPr>
            <w:r>
              <w:rPr>
                <w:sz w:val="17"/>
              </w:rPr>
              <w:t>₹5–12 lakh</w:t>
            </w:r>
          </w:p>
        </w:tc>
        <w:tc>
          <w:tcPr>
            <w:tcW w:type="dxa" w:w="1530"/>
          </w:tcPr>
          <w:p>
            <w:pPr>
              <w:spacing w:after="50" w:before="50" w:line="252" w:lineRule="auto"/>
            </w:pPr>
            <w:r>
              <w:rPr>
                <w:sz w:val="17"/>
              </w:rPr>
              <w:t>₹0–2 lakh</w:t>
            </w:r>
          </w:p>
        </w:tc>
      </w:tr>
      <w:tr>
        <w:tc>
          <w:tcPr>
            <w:tcW w:type="dxa" w:w="3343"/>
            <w:shd w:val="clear" w:color="auto" w:fill="EAF1F4"/>
          </w:tcPr>
          <w:p>
            <w:pPr>
              <w:spacing w:after="50" w:before="50" w:line="252" w:lineRule="auto"/>
            </w:pPr>
            <w:r>
              <w:rPr>
                <w:sz w:val="17"/>
              </w:rPr>
              <w:t>Equator effort (person-days per year)</w:t>
            </w:r>
          </w:p>
        </w:tc>
        <w:tc>
          <w:tcPr>
            <w:tcW w:type="dxa" w:w="2801"/>
            <w:shd w:val="clear" w:color="auto" w:fill="EAF1F4"/>
          </w:tcPr>
          <w:p>
            <w:pPr>
              <w:spacing w:after="50" w:before="50" w:line="252" w:lineRule="auto"/>
            </w:pPr>
            <w:r>
              <w:rPr>
                <w:sz w:val="17"/>
              </w:rPr>
              <w:t>55–80</w:t>
            </w:r>
          </w:p>
        </w:tc>
        <w:tc>
          <w:tcPr>
            <w:tcW w:type="dxa" w:w="1793"/>
            <w:shd w:val="clear" w:color="auto" w:fill="EAF1F4"/>
          </w:tcPr>
          <w:p>
            <w:pPr>
              <w:spacing w:after="50" w:before="50" w:line="252" w:lineRule="auto"/>
            </w:pPr>
            <w:r>
              <w:rPr>
                <w:sz w:val="17"/>
              </w:rPr>
              <w:t>18–30</w:t>
            </w:r>
          </w:p>
        </w:tc>
        <w:tc>
          <w:tcPr>
            <w:tcW w:type="dxa" w:w="1530"/>
            <w:shd w:val="clear" w:color="auto" w:fill="EAF1F4"/>
          </w:tcPr>
          <w:p>
            <w:pPr>
              <w:spacing w:after="50" w:before="50" w:line="252" w:lineRule="auto"/>
            </w:pPr>
            <w:r>
              <w:rPr>
                <w:sz w:val="17"/>
              </w:rPr>
              <w:t>3–6</w:t>
            </w:r>
          </w:p>
        </w:tc>
      </w:tr>
    </w:tbl>
    <w:p>
      <w:pPr>
        <w:spacing w:after="80" w:before="0"/>
      </w:pPr>
    </w:p>
    <w:p>
      <w:r>
        <w:t>Tier 3 exists precisely so that Equator can say yes cheaply. Most institutions that approach unsolicited belong in Tier 3, and moving them up must be earned on the scorecard in 10.2, not granted out of politeness.</w:t>
      </w:r>
    </w:p>
    <w:p>
      <w:pPr>
        <w:spacing w:before="80" w:after="160"/>
        <w:pBdr>
          <w:bottom w:val="single" w:sz="6" w:space="1" w:color="C9D6DE"/>
        </w:pBdr>
      </w:pPr>
    </w:p>
    <w:p>
      <w:pPr>
        <w:pStyle w:val="Heading1"/>
        <w:pBdr>
          <w:bottom w:val="single" w:sz="8" w:space="4" w:color="C9D6DE"/>
        </w:pBdr>
      </w:pPr>
      <w:r>
        <w:t>4. The revenue architecture</w:t>
      </w:r>
    </w:p>
    <w:p>
      <w:r>
        <w:t xml:space="preserve">Nine revenue lines flow from a university network. They are set out in full, with pricing, in </w:t>
      </w:r>
      <w:r>
        <w:rPr>
          <w:b/>
        </w:rPr>
        <w:t>04.1</w:t>
      </w:r>
      <w:r>
        <w:t xml:space="preserve"> and modelled in </w:t>
      </w:r>
      <w:r>
        <w:rPr>
          <w:b/>
        </w:rPr>
        <w:t>04.2</w:t>
      </w:r>
      <w:r>
        <w:t>. Summarised here because the strategy is unintelligible without them.</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w:t>
            </w:r>
          </w:p>
        </w:tc>
        <w:tc>
          <w:tcPr>
            <w:tcW w:type="dxa" w:w="3278"/>
            <w:shd w:val="clear" w:color="auto" w:fill="10375C"/>
          </w:tcPr>
          <w:p>
            <w:pPr>
              <w:spacing w:after="50" w:before="50"/>
            </w:pPr>
            <w:r>
              <w:rPr>
                <w:b/>
                <w:color w:val="FFFFFF"/>
                <w:sz w:val="17"/>
              </w:rPr>
              <w:t>Revenue line</w:t>
            </w:r>
          </w:p>
        </w:tc>
        <w:tc>
          <w:tcPr>
            <w:tcW w:type="dxa" w:w="1598"/>
            <w:shd w:val="clear" w:color="auto" w:fill="10375C"/>
          </w:tcPr>
          <w:p>
            <w:pPr>
              <w:spacing w:after="50" w:before="50"/>
            </w:pPr>
            <w:r>
              <w:rPr>
                <w:b/>
                <w:color w:val="FFFFFF"/>
                <w:sz w:val="17"/>
              </w:rPr>
              <w:t>Payer</w:t>
            </w:r>
          </w:p>
        </w:tc>
        <w:tc>
          <w:tcPr>
            <w:tcW w:type="dxa" w:w="2000"/>
            <w:shd w:val="clear" w:color="auto" w:fill="10375C"/>
          </w:tcPr>
          <w:p>
            <w:pPr>
              <w:spacing w:after="50" w:before="50"/>
            </w:pPr>
            <w:r>
              <w:rPr>
                <w:b/>
                <w:color w:val="FFFFFF"/>
                <w:sz w:val="17"/>
              </w:rPr>
              <w:t>Character</w:t>
            </w:r>
          </w:p>
        </w:tc>
        <w:tc>
          <w:tcPr>
            <w:tcW w:type="dxa" w:w="2264"/>
            <w:shd w:val="clear" w:color="auto" w:fill="10375C"/>
          </w:tcPr>
          <w:p>
            <w:pPr>
              <w:spacing w:after="50" w:before="50"/>
            </w:pPr>
            <w:r>
              <w:rPr>
                <w:b/>
                <w:color w:val="FFFFFF"/>
                <w:sz w:val="17"/>
              </w:rPr>
              <w:t>Indicative gross per event or year</w:t>
            </w:r>
          </w:p>
        </w:tc>
      </w:tr>
      <w:tr>
        <w:tc>
          <w:tcPr>
            <w:tcW w:type="dxa" w:w="850"/>
          </w:tcPr>
          <w:p>
            <w:pPr>
              <w:spacing w:after="50" w:before="50" w:line="252" w:lineRule="auto"/>
            </w:pPr>
            <w:r>
              <w:rPr>
                <w:sz w:val="17"/>
              </w:rPr>
              <w:t>1</w:t>
            </w:r>
          </w:p>
        </w:tc>
        <w:tc>
          <w:tcPr>
            <w:tcW w:type="dxa" w:w="3278"/>
          </w:tcPr>
          <w:p>
            <w:pPr>
              <w:spacing w:after="50" w:before="50" w:line="252" w:lineRule="auto"/>
            </w:pPr>
            <w:r>
              <w:rPr>
                <w:sz w:val="17"/>
              </w:rPr>
              <w:t>Student certificate courses (40-hour, 20-hour, short)</w:t>
            </w:r>
          </w:p>
        </w:tc>
        <w:tc>
          <w:tcPr>
            <w:tcW w:type="dxa" w:w="1598"/>
          </w:tcPr>
          <w:p>
            <w:pPr>
              <w:spacing w:after="50" w:before="50" w:line="252" w:lineRule="auto"/>
            </w:pPr>
            <w:r>
              <w:rPr>
                <w:sz w:val="17"/>
              </w:rPr>
              <w:t>Students, or university on their behalf</w:t>
            </w:r>
          </w:p>
        </w:tc>
        <w:tc>
          <w:tcPr>
            <w:tcW w:type="dxa" w:w="2000"/>
          </w:tcPr>
          <w:p>
            <w:pPr>
              <w:spacing w:after="50" w:before="50" w:line="252" w:lineRule="auto"/>
            </w:pPr>
            <w:r>
              <w:rPr>
                <w:sz w:val="17"/>
              </w:rPr>
              <w:t>Volume, seasonal</w:t>
            </w:r>
          </w:p>
        </w:tc>
        <w:tc>
          <w:tcPr>
            <w:tcW w:type="dxa" w:w="2264"/>
          </w:tcPr>
          <w:p>
            <w:pPr>
              <w:spacing w:after="50" w:before="50" w:line="252" w:lineRule="auto"/>
            </w:pPr>
            <w:r>
              <w:rPr>
                <w:sz w:val="17"/>
              </w:rPr>
              <w:t>₹2.8–4.2 lakh per cohort of 40</w:t>
            </w:r>
          </w:p>
        </w:tc>
      </w:tr>
      <w:tr>
        <w:tc>
          <w:tcPr>
            <w:tcW w:type="dxa" w:w="850"/>
            <w:shd w:val="clear" w:color="auto" w:fill="EAF1F4"/>
          </w:tcPr>
          <w:p>
            <w:pPr>
              <w:spacing w:after="50" w:before="50" w:line="252" w:lineRule="auto"/>
            </w:pPr>
            <w:r>
              <w:rPr>
                <w:sz w:val="17"/>
              </w:rPr>
              <w:t>2</w:t>
            </w:r>
          </w:p>
        </w:tc>
        <w:tc>
          <w:tcPr>
            <w:tcW w:type="dxa" w:w="3278"/>
            <w:shd w:val="clear" w:color="auto" w:fill="EAF1F4"/>
          </w:tcPr>
          <w:p>
            <w:pPr>
              <w:spacing w:after="50" w:before="50" w:line="252" w:lineRule="auto"/>
            </w:pPr>
            <w:r>
              <w:rPr>
                <w:sz w:val="17"/>
              </w:rPr>
              <w:t>Faculty Development Programmes</w:t>
            </w:r>
          </w:p>
        </w:tc>
        <w:tc>
          <w:tcPr>
            <w:tcW w:type="dxa" w:w="1598"/>
            <w:shd w:val="clear" w:color="auto" w:fill="EAF1F4"/>
          </w:tcPr>
          <w:p>
            <w:pPr>
              <w:spacing w:after="50" w:before="50" w:line="252" w:lineRule="auto"/>
            </w:pPr>
            <w:r>
              <w:rPr>
                <w:sz w:val="17"/>
              </w:rPr>
              <w:t>University budget</w:t>
            </w:r>
          </w:p>
        </w:tc>
        <w:tc>
          <w:tcPr>
            <w:tcW w:type="dxa" w:w="2000"/>
            <w:shd w:val="clear" w:color="auto" w:fill="EAF1F4"/>
          </w:tcPr>
          <w:p>
            <w:pPr>
              <w:spacing w:after="50" w:before="50" w:line="252" w:lineRule="auto"/>
            </w:pPr>
            <w:r>
              <w:rPr>
                <w:sz w:val="17"/>
              </w:rPr>
              <w:t>High margin, repeatable</w:t>
            </w:r>
          </w:p>
        </w:tc>
        <w:tc>
          <w:tcPr>
            <w:tcW w:type="dxa" w:w="2264"/>
            <w:shd w:val="clear" w:color="auto" w:fill="EAF1F4"/>
          </w:tcPr>
          <w:p>
            <w:pPr>
              <w:spacing w:after="50" w:before="50" w:line="252" w:lineRule="auto"/>
            </w:pPr>
            <w:r>
              <w:rPr>
                <w:sz w:val="17"/>
              </w:rPr>
              <w:t>₹1.5–3.0 lakh per FDP</w:t>
            </w:r>
          </w:p>
        </w:tc>
      </w:tr>
      <w:tr>
        <w:tc>
          <w:tcPr>
            <w:tcW w:type="dxa" w:w="850"/>
          </w:tcPr>
          <w:p>
            <w:pPr>
              <w:spacing w:after="50" w:before="50" w:line="252" w:lineRule="auto"/>
            </w:pPr>
            <w:r>
              <w:rPr>
                <w:sz w:val="17"/>
              </w:rPr>
              <w:t>3</w:t>
            </w:r>
          </w:p>
        </w:tc>
        <w:tc>
          <w:tcPr>
            <w:tcW w:type="dxa" w:w="3278"/>
          </w:tcPr>
          <w:p>
            <w:pPr>
              <w:spacing w:after="50" w:before="50" w:line="252" w:lineRule="auto"/>
            </w:pPr>
            <w:r>
              <w:rPr>
                <w:sz w:val="17"/>
              </w:rPr>
              <w:t>Competition registration and sponsorship</w:t>
            </w:r>
          </w:p>
        </w:tc>
        <w:tc>
          <w:tcPr>
            <w:tcW w:type="dxa" w:w="1598"/>
          </w:tcPr>
          <w:p>
            <w:pPr>
              <w:spacing w:after="50" w:before="50" w:line="252" w:lineRule="auto"/>
            </w:pPr>
            <w:r>
              <w:rPr>
                <w:sz w:val="17"/>
              </w:rPr>
              <w:t>Teams and sponsors</w:t>
            </w:r>
          </w:p>
        </w:tc>
        <w:tc>
          <w:tcPr>
            <w:tcW w:type="dxa" w:w="2000"/>
          </w:tcPr>
          <w:p>
            <w:pPr>
              <w:spacing w:after="50" w:before="50" w:line="252" w:lineRule="auto"/>
            </w:pPr>
            <w:r>
              <w:rPr>
                <w:sz w:val="17"/>
              </w:rPr>
              <w:t>Surplus-generating if run well</w:t>
            </w:r>
          </w:p>
        </w:tc>
        <w:tc>
          <w:tcPr>
            <w:tcW w:type="dxa" w:w="2264"/>
          </w:tcPr>
          <w:p>
            <w:pPr>
              <w:spacing w:after="50" w:before="50" w:line="252" w:lineRule="auto"/>
            </w:pPr>
            <w:r>
              <w:rPr>
                <w:sz w:val="17"/>
              </w:rPr>
              <w:t>₹6–20 lakh gross per national edition</w:t>
            </w:r>
          </w:p>
        </w:tc>
      </w:tr>
      <w:tr>
        <w:tc>
          <w:tcPr>
            <w:tcW w:type="dxa" w:w="850"/>
            <w:shd w:val="clear" w:color="auto" w:fill="EAF1F4"/>
          </w:tcPr>
          <w:p>
            <w:pPr>
              <w:spacing w:after="50" w:before="50" w:line="252" w:lineRule="auto"/>
            </w:pPr>
            <w:r>
              <w:rPr>
                <w:sz w:val="17"/>
              </w:rPr>
              <w:t>4</w:t>
            </w:r>
          </w:p>
        </w:tc>
        <w:tc>
          <w:tcPr>
            <w:tcW w:type="dxa" w:w="3278"/>
            <w:shd w:val="clear" w:color="auto" w:fill="EAF1F4"/>
          </w:tcPr>
          <w:p>
            <w:pPr>
              <w:spacing w:after="50" w:before="50" w:line="252" w:lineRule="auto"/>
            </w:pPr>
            <w:r>
              <w:rPr>
                <w:sz w:val="17"/>
              </w:rPr>
              <w:t>Competition coaching-as-a-service</w:t>
            </w:r>
          </w:p>
        </w:tc>
        <w:tc>
          <w:tcPr>
            <w:tcW w:type="dxa" w:w="1598"/>
            <w:shd w:val="clear" w:color="auto" w:fill="EAF1F4"/>
          </w:tcPr>
          <w:p>
            <w:pPr>
              <w:spacing w:after="50" w:before="50" w:line="252" w:lineRule="auto"/>
            </w:pPr>
            <w:r>
              <w:rPr>
                <w:sz w:val="17"/>
              </w:rPr>
              <w:t>University or team</w:t>
            </w:r>
          </w:p>
        </w:tc>
        <w:tc>
          <w:tcPr>
            <w:tcW w:type="dxa" w:w="2000"/>
            <w:shd w:val="clear" w:color="auto" w:fill="EAF1F4"/>
          </w:tcPr>
          <w:p>
            <w:pPr>
              <w:spacing w:after="50" w:before="50" w:line="252" w:lineRule="auto"/>
            </w:pPr>
            <w:r>
              <w:rPr>
                <w:sz w:val="17"/>
              </w:rPr>
              <w:t>Highest margin line; almost no competition</w:t>
            </w:r>
          </w:p>
        </w:tc>
        <w:tc>
          <w:tcPr>
            <w:tcW w:type="dxa" w:w="2264"/>
            <w:shd w:val="clear" w:color="auto" w:fill="EAF1F4"/>
          </w:tcPr>
          <w:p>
            <w:pPr>
              <w:spacing w:after="50" w:before="50" w:line="252" w:lineRule="auto"/>
            </w:pPr>
            <w:r>
              <w:rPr>
                <w:sz w:val="17"/>
              </w:rPr>
              <w:t>₹1.5–3.0 lakh per team per season</w:t>
            </w:r>
          </w:p>
        </w:tc>
      </w:tr>
      <w:tr>
        <w:tc>
          <w:tcPr>
            <w:tcW w:type="dxa" w:w="850"/>
          </w:tcPr>
          <w:p>
            <w:pPr>
              <w:spacing w:after="50" w:before="50" w:line="252" w:lineRule="auto"/>
            </w:pPr>
            <w:r>
              <w:rPr>
                <w:sz w:val="17"/>
              </w:rPr>
              <w:t>5</w:t>
            </w:r>
          </w:p>
        </w:tc>
        <w:tc>
          <w:tcPr>
            <w:tcW w:type="dxa" w:w="3278"/>
          </w:tcPr>
          <w:p>
            <w:pPr>
              <w:spacing w:after="50" w:before="50" w:line="252" w:lineRule="auto"/>
            </w:pPr>
            <w:r>
              <w:rPr>
                <w:sz w:val="17"/>
              </w:rPr>
              <w:t>Residential summer and winter schools</w:t>
            </w:r>
          </w:p>
        </w:tc>
        <w:tc>
          <w:tcPr>
            <w:tcW w:type="dxa" w:w="1598"/>
          </w:tcPr>
          <w:p>
            <w:pPr>
              <w:spacing w:after="50" w:before="50" w:line="252" w:lineRule="auto"/>
            </w:pPr>
            <w:r>
              <w:rPr>
                <w:sz w:val="17"/>
              </w:rPr>
              <w:t>Participants</w:t>
            </w:r>
          </w:p>
        </w:tc>
        <w:tc>
          <w:tcPr>
            <w:tcW w:type="dxa" w:w="2000"/>
          </w:tcPr>
          <w:p>
            <w:pPr>
              <w:spacing w:after="50" w:before="50" w:line="252" w:lineRule="auto"/>
            </w:pPr>
            <w:r>
              <w:rPr>
                <w:sz w:val="17"/>
              </w:rPr>
              <w:t>Seasonal, cash-generative</w:t>
            </w:r>
          </w:p>
        </w:tc>
        <w:tc>
          <w:tcPr>
            <w:tcW w:type="dxa" w:w="2264"/>
          </w:tcPr>
          <w:p>
            <w:pPr>
              <w:spacing w:after="50" w:before="50" w:line="252" w:lineRule="auto"/>
            </w:pPr>
            <w:r>
              <w:rPr>
                <w:sz w:val="17"/>
              </w:rPr>
              <w:t>₹10–15 lakh gross per school</w:t>
            </w:r>
          </w:p>
        </w:tc>
      </w:tr>
      <w:tr>
        <w:tc>
          <w:tcPr>
            <w:tcW w:type="dxa" w:w="850"/>
            <w:shd w:val="clear" w:color="auto" w:fill="EAF1F4"/>
          </w:tcPr>
          <w:p>
            <w:pPr>
              <w:spacing w:after="50" w:before="50" w:line="252" w:lineRule="auto"/>
            </w:pPr>
            <w:r>
              <w:rPr>
                <w:sz w:val="17"/>
              </w:rPr>
              <w:t>6</w:t>
            </w:r>
          </w:p>
        </w:tc>
        <w:tc>
          <w:tcPr>
            <w:tcW w:type="dxa" w:w="3278"/>
            <w:shd w:val="clear" w:color="auto" w:fill="EAF1F4"/>
          </w:tcPr>
          <w:p>
            <w:pPr>
              <w:spacing w:after="50" w:before="50" w:line="252" w:lineRule="auto"/>
            </w:pPr>
            <w:r>
              <w:rPr>
                <w:sz w:val="17"/>
              </w:rPr>
              <w:t>Institutional advisory retainers — SGRC, Ombudsperson, POSH IC</w:t>
            </w:r>
          </w:p>
        </w:tc>
        <w:tc>
          <w:tcPr>
            <w:tcW w:type="dxa" w:w="1598"/>
            <w:shd w:val="clear" w:color="auto" w:fill="EAF1F4"/>
          </w:tcPr>
          <w:p>
            <w:pPr>
              <w:spacing w:after="50" w:before="50" w:line="252" w:lineRule="auto"/>
            </w:pPr>
            <w:r>
              <w:rPr>
                <w:sz w:val="17"/>
              </w:rPr>
              <w:t>University</w:t>
            </w:r>
          </w:p>
        </w:tc>
        <w:tc>
          <w:tcPr>
            <w:tcW w:type="dxa" w:w="2000"/>
            <w:shd w:val="clear" w:color="auto" w:fill="EAF1F4"/>
          </w:tcPr>
          <w:p>
            <w:pPr>
              <w:spacing w:after="50" w:before="50" w:line="252" w:lineRule="auto"/>
            </w:pPr>
            <w:r>
              <w:rPr>
                <w:sz w:val="17"/>
              </w:rPr>
              <w:t>Annuity</w:t>
            </w:r>
          </w:p>
        </w:tc>
        <w:tc>
          <w:tcPr>
            <w:tcW w:type="dxa" w:w="2264"/>
            <w:shd w:val="clear" w:color="auto" w:fill="EAF1F4"/>
          </w:tcPr>
          <w:p>
            <w:pPr>
              <w:spacing w:after="50" w:before="50" w:line="252" w:lineRule="auto"/>
            </w:pPr>
            <w:r>
              <w:rPr>
                <w:sz w:val="17"/>
              </w:rPr>
              <w:t>₹1.5–4.0 lakh per year</w:t>
            </w:r>
          </w:p>
        </w:tc>
      </w:tr>
      <w:tr>
        <w:tc>
          <w:tcPr>
            <w:tcW w:type="dxa" w:w="850"/>
          </w:tcPr>
          <w:p>
            <w:pPr>
              <w:spacing w:after="50" w:before="50" w:line="252" w:lineRule="auto"/>
            </w:pPr>
            <w:r>
              <w:rPr>
                <w:sz w:val="17"/>
              </w:rPr>
              <w:t>7</w:t>
            </w:r>
          </w:p>
        </w:tc>
        <w:tc>
          <w:tcPr>
            <w:tcW w:type="dxa" w:w="3278"/>
          </w:tcPr>
          <w:p>
            <w:pPr>
              <w:spacing w:after="50" w:before="50" w:line="252" w:lineRule="auto"/>
            </w:pPr>
            <w:r>
              <w:rPr>
                <w:sz w:val="17"/>
              </w:rPr>
              <w:t>External IC member and neutral appointments</w:t>
            </w:r>
          </w:p>
        </w:tc>
        <w:tc>
          <w:tcPr>
            <w:tcW w:type="dxa" w:w="1598"/>
          </w:tcPr>
          <w:p>
            <w:pPr>
              <w:spacing w:after="50" w:before="50" w:line="252" w:lineRule="auto"/>
            </w:pPr>
            <w:r>
              <w:rPr>
                <w:sz w:val="17"/>
              </w:rPr>
              <w:t>University</w:t>
            </w:r>
          </w:p>
        </w:tc>
        <w:tc>
          <w:tcPr>
            <w:tcW w:type="dxa" w:w="2000"/>
          </w:tcPr>
          <w:p>
            <w:pPr>
              <w:spacing w:after="50" w:before="50" w:line="252" w:lineRule="auto"/>
            </w:pPr>
            <w:r>
              <w:rPr>
                <w:sz w:val="17"/>
              </w:rPr>
              <w:t>Per engagement</w:t>
            </w:r>
          </w:p>
        </w:tc>
        <w:tc>
          <w:tcPr>
            <w:tcW w:type="dxa" w:w="2264"/>
          </w:tcPr>
          <w:p>
            <w:pPr>
              <w:spacing w:after="50" w:before="50" w:line="252" w:lineRule="auto"/>
            </w:pPr>
            <w:r>
              <w:rPr>
                <w:sz w:val="17"/>
              </w:rPr>
              <w:t>₹15,000–25,000 per sitting</w:t>
            </w:r>
          </w:p>
        </w:tc>
      </w:tr>
      <w:tr>
        <w:tc>
          <w:tcPr>
            <w:tcW w:type="dxa" w:w="850"/>
            <w:shd w:val="clear" w:color="auto" w:fill="EAF1F4"/>
          </w:tcPr>
          <w:p>
            <w:pPr>
              <w:spacing w:after="50" w:before="50" w:line="252" w:lineRule="auto"/>
            </w:pPr>
            <w:r>
              <w:rPr>
                <w:sz w:val="17"/>
              </w:rPr>
              <w:t>8</w:t>
            </w:r>
          </w:p>
        </w:tc>
        <w:tc>
          <w:tcPr>
            <w:tcW w:type="dxa" w:w="3278"/>
            <w:shd w:val="clear" w:color="auto" w:fill="EAF1F4"/>
          </w:tcPr>
          <w:p>
            <w:pPr>
              <w:spacing w:after="50" w:before="50" w:line="252" w:lineRule="auto"/>
            </w:pPr>
            <w:r>
              <w:rPr>
                <w:sz w:val="17"/>
              </w:rPr>
              <w:t>Curriculum, casebook and problem-set licensing</w:t>
            </w:r>
          </w:p>
        </w:tc>
        <w:tc>
          <w:tcPr>
            <w:tcW w:type="dxa" w:w="1598"/>
            <w:shd w:val="clear" w:color="auto" w:fill="EAF1F4"/>
          </w:tcPr>
          <w:p>
            <w:pPr>
              <w:spacing w:after="50" w:before="50" w:line="252" w:lineRule="auto"/>
            </w:pPr>
            <w:r>
              <w:rPr>
                <w:sz w:val="17"/>
              </w:rPr>
              <w:t>University</w:t>
            </w:r>
          </w:p>
        </w:tc>
        <w:tc>
          <w:tcPr>
            <w:tcW w:type="dxa" w:w="2000"/>
            <w:shd w:val="clear" w:color="auto" w:fill="EAF1F4"/>
          </w:tcPr>
          <w:p>
            <w:pPr>
              <w:spacing w:after="50" w:before="50" w:line="252" w:lineRule="auto"/>
            </w:pPr>
            <w:r>
              <w:rPr>
                <w:sz w:val="17"/>
              </w:rPr>
              <w:t>Pure margin, zero delivery cost</w:t>
            </w:r>
          </w:p>
        </w:tc>
        <w:tc>
          <w:tcPr>
            <w:tcW w:type="dxa" w:w="2264"/>
            <w:shd w:val="clear" w:color="auto" w:fill="EAF1F4"/>
          </w:tcPr>
          <w:p>
            <w:pPr>
              <w:spacing w:after="50" w:before="50" w:line="252" w:lineRule="auto"/>
            </w:pPr>
            <w:r>
              <w:rPr>
                <w:sz w:val="17"/>
              </w:rPr>
              <w:t>₹50,000–2.0 lakh per year</w:t>
            </w:r>
          </w:p>
        </w:tc>
      </w:tr>
      <w:tr>
        <w:tc>
          <w:tcPr>
            <w:tcW w:type="dxa" w:w="850"/>
          </w:tcPr>
          <w:p>
            <w:pPr>
              <w:spacing w:after="50" w:before="50" w:line="252" w:lineRule="auto"/>
            </w:pPr>
            <w:r>
              <w:rPr>
                <w:sz w:val="17"/>
              </w:rPr>
              <w:t>9</w:t>
            </w:r>
          </w:p>
        </w:tc>
        <w:tc>
          <w:tcPr>
            <w:tcW w:type="dxa" w:w="3278"/>
          </w:tcPr>
          <w:p>
            <w:pPr>
              <w:spacing w:after="50" w:before="50" w:line="252" w:lineRule="auto"/>
            </w:pPr>
            <w:r>
              <w:rPr>
                <w:sz w:val="17"/>
              </w:rPr>
              <w:t>Referred cases into Equator Resolution</w:t>
            </w:r>
          </w:p>
        </w:tc>
        <w:tc>
          <w:tcPr>
            <w:tcW w:type="dxa" w:w="1598"/>
          </w:tcPr>
          <w:p>
            <w:pPr>
              <w:spacing w:after="50" w:before="50" w:line="252" w:lineRule="auto"/>
            </w:pPr>
            <w:r>
              <w:rPr>
                <w:sz w:val="17"/>
              </w:rPr>
              <w:t>Disputing parties</w:t>
            </w:r>
          </w:p>
        </w:tc>
        <w:tc>
          <w:tcPr>
            <w:tcW w:type="dxa" w:w="2000"/>
          </w:tcPr>
          <w:p>
            <w:pPr>
              <w:spacing w:after="50" w:before="50" w:line="252" w:lineRule="auto"/>
            </w:pPr>
            <w:r>
              <w:rPr>
                <w:sz w:val="17"/>
              </w:rPr>
              <w:t>Strategic, compounding</w:t>
            </w:r>
          </w:p>
        </w:tc>
        <w:tc>
          <w:tcPr>
            <w:tcW w:type="dxa" w:w="2264"/>
          </w:tcPr>
          <w:p>
            <w:pPr>
              <w:spacing w:after="50" w:before="50" w:line="252" w:lineRule="auto"/>
            </w:pPr>
            <w:r>
              <w:rPr>
                <w:sz w:val="17"/>
              </w:rPr>
              <w:t>Per the standard fee schedule</w:t>
            </w:r>
          </w:p>
        </w:tc>
      </w:tr>
    </w:tbl>
    <w:p>
      <w:pPr>
        <w:spacing w:after="80" w:before="0"/>
      </w:pPr>
    </w:p>
    <w:p>
      <w:r>
        <w:t>Two further lines are non-cash but real and must be tracked because they justify the programme's cost base:</w:t>
      </w:r>
    </w:p>
    <w:p>
      <w:pPr>
        <w:pStyle w:val="ListBullet"/>
      </w:pPr>
      <w:r>
        <w:rPr>
          <w:b/>
          <w:sz w:val="21"/>
        </w:rPr>
        <w:t>Cost-of-hire avoided.</w:t>
      </w:r>
      <w:r>
        <w:rPr>
          <w:sz w:val="21"/>
        </w:rPr>
        <w:t xml:space="preserve"> Each intern converted to employment avoids an estimated ₹85,000 to ₹1.4 lakh in recruitment, screening and initial training cost.</w:t>
      </w:r>
    </w:p>
    <w:p>
      <w:pPr>
        <w:pStyle w:val="ListBullet"/>
      </w:pPr>
      <w:r>
        <w:rPr>
          <w:b/>
          <w:sz w:val="21"/>
        </w:rPr>
        <w:t>Venue and production cost avoided.</w:t>
      </w:r>
      <w:r>
        <w:rPr>
          <w:sz w:val="21"/>
        </w:rPr>
        <w:t xml:space="preserve"> Campus venues, hostels and student volunteers displace commercial event costs estimated at ₹1.8 to ₹4.5 lakh per major event.</w:t>
      </w:r>
    </w:p>
    <w:p>
      <w:pPr>
        <w:pStyle w:val="Heading2"/>
      </w:pPr>
      <w:r>
        <w:t>4.1 The margin logic</w:t>
      </w:r>
    </w:p>
    <w:p>
      <w:r>
        <w:t xml:space="preserve">Training revenue is attractive because the cost base is almost entirely variable and controllable: trainer fees, travel, materials and certification. Fixed cost is limited to the programme management team. The consequence is that </w:t>
      </w:r>
      <w:r>
        <w:rPr>
          <w:b/>
        </w:rPr>
        <w:t>contribution margin rises with cohort size and with repeat delivery of an unchanged curriculum</w:t>
      </w:r>
      <w:r>
        <w:t>, and falls sharply when programmes are bespoke.</w:t>
      </w:r>
    </w:p>
    <w:p>
      <w:r>
        <w:t xml:space="preserve">The operating rule that follows: </w:t>
      </w:r>
      <w:r>
        <w:rPr>
          <w:b/>
        </w:rPr>
        <w:t>standardise ruthlessly, customise only at the margins, and charge for customisation.</w:t>
      </w:r>
      <w:r>
        <w:t xml:space="preserve"> The Master Programme Catalogue in 05.1 exists to enforce this.</w:t>
      </w:r>
    </w:p>
    <w:p>
      <w:pPr>
        <w:pStyle w:val="Heading2"/>
      </w:pPr>
      <w:r>
        <w:t>4.2 What is given away, and why</w:t>
      </w:r>
    </w:p>
    <w:p>
      <w:r>
        <w:t>Free is a pricing decision, not a courtesy. Approved loss leaders: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743"/>
            <w:shd w:val="clear" w:color="auto" w:fill="10375C"/>
          </w:tcPr>
          <w:p>
            <w:pPr>
              <w:spacing w:after="50" w:before="50"/>
            </w:pPr>
            <w:r>
              <w:rPr>
                <w:b/>
                <w:color w:val="FFFFFF"/>
                <w:sz w:val="17"/>
              </w:rPr>
              <w:t>Given free</w:t>
            </w:r>
          </w:p>
        </w:tc>
        <w:tc>
          <w:tcPr>
            <w:tcW w:type="dxa" w:w="3743"/>
            <w:shd w:val="clear" w:color="auto" w:fill="10375C"/>
          </w:tcPr>
          <w:p>
            <w:pPr>
              <w:spacing w:after="50" w:before="50"/>
            </w:pPr>
            <w:r>
              <w:rPr>
                <w:b/>
                <w:color w:val="FFFFFF"/>
                <w:sz w:val="17"/>
              </w:rPr>
              <w:t>Why</w:t>
            </w:r>
          </w:p>
        </w:tc>
        <w:tc>
          <w:tcPr>
            <w:tcW w:type="dxa" w:w="1981"/>
            <w:shd w:val="clear" w:color="auto" w:fill="10375C"/>
          </w:tcPr>
          <w:p>
            <w:pPr>
              <w:spacing w:after="50" w:before="50"/>
            </w:pPr>
            <w:r>
              <w:rPr>
                <w:b/>
                <w:color w:val="FFFFFF"/>
                <w:sz w:val="17"/>
              </w:rPr>
              <w:t>Limit</w:t>
            </w:r>
          </w:p>
        </w:tc>
      </w:tr>
      <w:tr>
        <w:tc>
          <w:tcPr>
            <w:tcW w:type="dxa" w:w="3743"/>
          </w:tcPr>
          <w:p>
            <w:pPr>
              <w:spacing w:after="50" w:before="50" w:line="252" w:lineRule="auto"/>
            </w:pPr>
            <w:r>
              <w:rPr>
                <w:sz w:val="17"/>
              </w:rPr>
              <w:t>One guest lecture or orientation session per institution per year</w:t>
            </w:r>
          </w:p>
        </w:tc>
        <w:tc>
          <w:tcPr>
            <w:tcW w:type="dxa" w:w="3743"/>
          </w:tcPr>
          <w:p>
            <w:pPr>
              <w:spacing w:after="50" w:before="50" w:line="252" w:lineRule="auto"/>
            </w:pPr>
            <w:r>
              <w:rPr>
                <w:sz w:val="17"/>
              </w:rPr>
              <w:t>Opens the relationship; generates the certificate-course pipeline</w:t>
            </w:r>
          </w:p>
        </w:tc>
        <w:tc>
          <w:tcPr>
            <w:tcW w:type="dxa" w:w="1981"/>
          </w:tcPr>
          <w:p>
            <w:pPr>
              <w:spacing w:after="50" w:before="50" w:line="252" w:lineRule="auto"/>
            </w:pPr>
            <w:r>
              <w:rPr>
                <w:sz w:val="17"/>
              </w:rPr>
              <w:t>90 minutes; one per campus per year</w:t>
            </w:r>
          </w:p>
        </w:tc>
      </w:tr>
      <w:tr>
        <w:tc>
          <w:tcPr>
            <w:tcW w:type="dxa" w:w="3743"/>
            <w:shd w:val="clear" w:color="auto" w:fill="EAF1F4"/>
          </w:tcPr>
          <w:p>
            <w:pPr>
              <w:spacing w:after="50" w:before="50" w:line="252" w:lineRule="auto"/>
            </w:pPr>
            <w:r>
              <w:rPr>
                <w:sz w:val="17"/>
              </w:rPr>
              <w:t>Monthly national webinar access for all partner students</w:t>
            </w:r>
          </w:p>
        </w:tc>
        <w:tc>
          <w:tcPr>
            <w:tcW w:type="dxa" w:w="3743"/>
            <w:shd w:val="clear" w:color="auto" w:fill="EAF1F4"/>
          </w:tcPr>
          <w:p>
            <w:pPr>
              <w:spacing w:after="50" w:before="50" w:line="252" w:lineRule="auto"/>
            </w:pPr>
            <w:r>
              <w:rPr>
                <w:sz w:val="17"/>
              </w:rPr>
              <w:t>Near-zero marginal cost; keeps Tier 3 partnerships warm</w:t>
            </w:r>
          </w:p>
        </w:tc>
        <w:tc>
          <w:tcPr>
            <w:tcW w:type="dxa" w:w="1981"/>
            <w:shd w:val="clear" w:color="auto" w:fill="EAF1F4"/>
          </w:tcPr>
          <w:p>
            <w:pPr>
              <w:spacing w:after="50" w:before="50" w:line="252" w:lineRule="auto"/>
            </w:pPr>
            <w:r>
              <w:rPr>
                <w:sz w:val="17"/>
              </w:rPr>
              <w:t>Online only</w:t>
            </w:r>
          </w:p>
        </w:tc>
      </w:tr>
      <w:tr>
        <w:tc>
          <w:tcPr>
            <w:tcW w:type="dxa" w:w="3743"/>
          </w:tcPr>
          <w:p>
            <w:pPr>
              <w:spacing w:after="50" w:before="50" w:line="252" w:lineRule="auto"/>
            </w:pPr>
            <w:r>
              <w:rPr>
                <w:sz w:val="17"/>
              </w:rPr>
              <w:t>Competition judging by Equator neutrals at third-party competitions</w:t>
            </w:r>
          </w:p>
        </w:tc>
        <w:tc>
          <w:tcPr>
            <w:tcW w:type="dxa" w:w="3743"/>
          </w:tcPr>
          <w:p>
            <w:pPr>
              <w:spacing w:after="50" w:before="50" w:line="252" w:lineRule="auto"/>
            </w:pPr>
            <w:r>
              <w:rPr>
                <w:sz w:val="17"/>
              </w:rPr>
              <w:t>Buys visibility across dozens of institutions at once</w:t>
            </w:r>
          </w:p>
        </w:tc>
        <w:tc>
          <w:tcPr>
            <w:tcW w:type="dxa" w:w="1981"/>
          </w:tcPr>
          <w:p>
            <w:pPr>
              <w:spacing w:after="50" w:before="50" w:line="252" w:lineRule="auto"/>
            </w:pPr>
            <w:r>
              <w:rPr>
                <w:sz w:val="17"/>
              </w:rPr>
              <w:t>Travel at host's cost</w:t>
            </w:r>
          </w:p>
        </w:tc>
      </w:tr>
      <w:tr>
        <w:tc>
          <w:tcPr>
            <w:tcW w:type="dxa" w:w="3743"/>
            <w:shd w:val="clear" w:color="auto" w:fill="EAF1F4"/>
          </w:tcPr>
          <w:p>
            <w:pPr>
              <w:spacing w:after="50" w:before="50" w:line="252" w:lineRule="auto"/>
            </w:pPr>
            <w:r>
              <w:rPr>
                <w:sz w:val="17"/>
              </w:rPr>
              <w:t>Campus Mediation Cell setup toolkit</w:t>
            </w:r>
          </w:p>
        </w:tc>
        <w:tc>
          <w:tcPr>
            <w:tcW w:type="dxa" w:w="3743"/>
            <w:shd w:val="clear" w:color="auto" w:fill="EAF1F4"/>
          </w:tcPr>
          <w:p>
            <w:pPr>
              <w:spacing w:after="50" w:before="50" w:line="252" w:lineRule="auto"/>
            </w:pPr>
            <w:r>
              <w:rPr>
                <w:sz w:val="17"/>
              </w:rPr>
              <w:t>Creates a permanent Equator-shaped structure on campus</w:t>
            </w:r>
          </w:p>
        </w:tc>
        <w:tc>
          <w:tcPr>
            <w:tcW w:type="dxa" w:w="1981"/>
            <w:shd w:val="clear" w:color="auto" w:fill="EAF1F4"/>
          </w:tcPr>
          <w:p>
            <w:pPr>
              <w:spacing w:after="50" w:before="50" w:line="252" w:lineRule="auto"/>
            </w:pPr>
            <w:r>
              <w:rPr>
                <w:sz w:val="17"/>
              </w:rPr>
              <w:t>Toolkit only; training is charged</w:t>
            </w:r>
          </w:p>
        </w:tc>
      </w:tr>
      <w:tr>
        <w:tc>
          <w:tcPr>
            <w:tcW w:type="dxa" w:w="3743"/>
          </w:tcPr>
          <w:p>
            <w:pPr>
              <w:spacing w:after="50" w:before="50" w:line="252" w:lineRule="auto"/>
            </w:pPr>
            <w:r>
              <w:rPr>
                <w:sz w:val="17"/>
              </w:rPr>
              <w:t>Curriculum consultation for the ADR paper</w:t>
            </w:r>
          </w:p>
        </w:tc>
        <w:tc>
          <w:tcPr>
            <w:tcW w:type="dxa" w:w="3743"/>
          </w:tcPr>
          <w:p>
            <w:pPr>
              <w:spacing w:after="50" w:before="50" w:line="252" w:lineRule="auto"/>
            </w:pPr>
            <w:r>
              <w:rPr>
                <w:sz w:val="17"/>
              </w:rPr>
              <w:t>Embeds Equator method in the syllabus</w:t>
            </w:r>
          </w:p>
        </w:tc>
        <w:tc>
          <w:tcPr>
            <w:tcW w:type="dxa" w:w="1981"/>
          </w:tcPr>
          <w:p>
            <w:pPr>
              <w:spacing w:after="50" w:before="50" w:line="252" w:lineRule="auto"/>
            </w:pPr>
            <w:r>
              <w:rPr>
                <w:sz w:val="17"/>
              </w:rPr>
              <w:t>Two meetings</w:t>
            </w:r>
          </w:p>
        </w:tc>
      </w:tr>
    </w:tbl>
    <w:p>
      <w:pPr>
        <w:spacing w:after="80" w:before="0"/>
      </w:pPr>
    </w:p>
    <w:p>
      <w:r>
        <w:t>Everything else is priced. The refusal to give away paid programmes is the single behaviour most likely to be tested in negotiation, and the Delegation of Authority in 01.5 removes the discretion to concede it.</w:t>
      </w:r>
    </w:p>
    <w:p>
      <w:pPr>
        <w:spacing w:before="80" w:after="160"/>
        <w:pBdr>
          <w:bottom w:val="single" w:sz="6" w:space="1" w:color="C9D6DE"/>
        </w:pBdr>
      </w:pPr>
    </w:p>
    <w:p>
      <w:pPr>
        <w:pStyle w:val="Heading1"/>
        <w:pBdr>
          <w:bottom w:val="single" w:sz="8" w:space="4" w:color="C9D6DE"/>
        </w:pBdr>
      </w:pPr>
      <w:r>
        <w:t>5. The engagement lifecycle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1252"/>
            <w:shd w:val="clear" w:color="auto" w:fill="10375C"/>
          </w:tcPr>
          <w:p>
            <w:pPr>
              <w:spacing w:after="50" w:before="50"/>
            </w:pPr>
            <w:r>
              <w:rPr>
                <w:b/>
                <w:color w:val="FFFFFF"/>
                <w:sz w:val="17"/>
              </w:rPr>
              <w:t>Stage</w:t>
            </w:r>
          </w:p>
        </w:tc>
        <w:tc>
          <w:tcPr>
            <w:tcW w:type="dxa" w:w="850"/>
            <w:shd w:val="clear" w:color="auto" w:fill="10375C"/>
          </w:tcPr>
          <w:p>
            <w:pPr>
              <w:spacing w:after="50" w:before="50"/>
            </w:pPr>
            <w:r>
              <w:rPr>
                <w:b/>
                <w:color w:val="FFFFFF"/>
                <w:sz w:val="17"/>
              </w:rPr>
              <w:t>Duration</w:t>
            </w:r>
          </w:p>
        </w:tc>
        <w:tc>
          <w:tcPr>
            <w:tcW w:type="dxa" w:w="4018"/>
            <w:shd w:val="clear" w:color="auto" w:fill="10375C"/>
          </w:tcPr>
          <w:p>
            <w:pPr>
              <w:spacing w:after="50" w:before="50"/>
            </w:pPr>
            <w:r>
              <w:rPr>
                <w:b/>
                <w:color w:val="FFFFFF"/>
                <w:sz w:val="17"/>
              </w:rPr>
              <w:t>What happens</w:t>
            </w:r>
          </w:p>
        </w:tc>
        <w:tc>
          <w:tcPr>
            <w:tcW w:type="dxa" w:w="850"/>
            <w:shd w:val="clear" w:color="auto" w:fill="10375C"/>
          </w:tcPr>
          <w:p>
            <w:pPr>
              <w:spacing w:after="50" w:before="50"/>
            </w:pPr>
            <w:r>
              <w:rPr>
                <w:b/>
                <w:color w:val="FFFFFF"/>
                <w:sz w:val="17"/>
              </w:rPr>
              <w:t>Owner</w:t>
            </w:r>
          </w:p>
        </w:tc>
        <w:tc>
          <w:tcPr>
            <w:tcW w:type="dxa" w:w="2696"/>
            <w:shd w:val="clear" w:color="auto" w:fill="10375C"/>
          </w:tcPr>
          <w:p>
            <w:pPr>
              <w:spacing w:after="50" w:before="50"/>
            </w:pPr>
            <w:r>
              <w:rPr>
                <w:b/>
                <w:color w:val="FFFFFF"/>
                <w:sz w:val="17"/>
              </w:rPr>
              <w:t>Exit criterion</w:t>
            </w:r>
          </w:p>
        </w:tc>
      </w:tr>
      <w:tr>
        <w:tc>
          <w:tcPr>
            <w:tcW w:type="dxa" w:w="1252"/>
          </w:tcPr>
          <w:p>
            <w:pPr>
              <w:spacing w:after="50" w:before="50" w:line="252" w:lineRule="auto"/>
            </w:pPr>
            <w:r>
              <w:rPr>
                <w:b/>
                <w:sz w:val="17"/>
              </w:rPr>
              <w:t>1. Identify</w:t>
            </w:r>
          </w:p>
        </w:tc>
        <w:tc>
          <w:tcPr>
            <w:tcW w:type="dxa" w:w="850"/>
          </w:tcPr>
          <w:p>
            <w:pPr>
              <w:spacing w:after="50" w:before="50" w:line="252" w:lineRule="auto"/>
            </w:pPr>
            <w:r>
              <w:rPr>
                <w:sz w:val="17"/>
              </w:rPr>
              <w:t>—</w:t>
            </w:r>
          </w:p>
        </w:tc>
        <w:tc>
          <w:tcPr>
            <w:tcW w:type="dxa" w:w="4018"/>
          </w:tcPr>
          <w:p>
            <w:pPr>
              <w:spacing w:after="50" w:before="50" w:line="252" w:lineRule="auto"/>
            </w:pPr>
            <w:r>
              <w:rPr>
                <w:sz w:val="17"/>
              </w:rPr>
              <w:t>Institution scored against 01.3</w:t>
            </w:r>
          </w:p>
        </w:tc>
        <w:tc>
          <w:tcPr>
            <w:tcW w:type="dxa" w:w="850"/>
          </w:tcPr>
          <w:p>
            <w:pPr>
              <w:spacing w:after="50" w:before="50" w:line="252" w:lineRule="auto"/>
            </w:pPr>
            <w:r>
              <w:rPr>
                <w:sz w:val="17"/>
              </w:rPr>
              <w:t>BD</w:t>
            </w:r>
          </w:p>
        </w:tc>
        <w:tc>
          <w:tcPr>
            <w:tcW w:type="dxa" w:w="2696"/>
          </w:tcPr>
          <w:p>
            <w:pPr>
              <w:spacing w:after="50" w:before="50" w:line="252" w:lineRule="auto"/>
            </w:pPr>
            <w:r>
              <w:rPr>
                <w:sz w:val="17"/>
              </w:rPr>
              <w:t>Score at or above tier threshold</w:t>
            </w:r>
          </w:p>
        </w:tc>
      </w:tr>
      <w:tr>
        <w:tc>
          <w:tcPr>
            <w:tcW w:type="dxa" w:w="1252"/>
            <w:shd w:val="clear" w:color="auto" w:fill="EAF1F4"/>
          </w:tcPr>
          <w:p>
            <w:pPr>
              <w:spacing w:after="50" w:before="50" w:line="252" w:lineRule="auto"/>
            </w:pPr>
            <w:r>
              <w:rPr>
                <w:b/>
                <w:sz w:val="17"/>
              </w:rPr>
              <w:t>2. Approach</w:t>
            </w:r>
          </w:p>
        </w:tc>
        <w:tc>
          <w:tcPr>
            <w:tcW w:type="dxa" w:w="850"/>
            <w:shd w:val="clear" w:color="auto" w:fill="EAF1F4"/>
          </w:tcPr>
          <w:p>
            <w:pPr>
              <w:spacing w:after="50" w:before="50" w:line="252" w:lineRule="auto"/>
            </w:pPr>
            <w:r>
              <w:rPr>
                <w:sz w:val="17"/>
              </w:rPr>
              <w:t>2–4 weeks</w:t>
            </w:r>
          </w:p>
        </w:tc>
        <w:tc>
          <w:tcPr>
            <w:tcW w:type="dxa" w:w="4018"/>
            <w:shd w:val="clear" w:color="auto" w:fill="EAF1F4"/>
          </w:tcPr>
          <w:p>
            <w:pPr>
              <w:spacing w:after="50" w:before="50" w:line="252" w:lineRule="auto"/>
            </w:pPr>
            <w:r>
              <w:rPr>
                <w:sz w:val="17"/>
              </w:rPr>
              <w:t>Letter to Registrar or VC; parallel approach to Dean or ADR Centre head</w:t>
            </w:r>
          </w:p>
        </w:tc>
        <w:tc>
          <w:tcPr>
            <w:tcW w:type="dxa" w:w="850"/>
            <w:shd w:val="clear" w:color="auto" w:fill="EAF1F4"/>
          </w:tcPr>
          <w:p>
            <w:pPr>
              <w:spacing w:after="50" w:before="50" w:line="252" w:lineRule="auto"/>
            </w:pPr>
            <w:r>
              <w:rPr>
                <w:sz w:val="17"/>
              </w:rPr>
              <w:t>BD</w:t>
            </w:r>
          </w:p>
        </w:tc>
        <w:tc>
          <w:tcPr>
            <w:tcW w:type="dxa" w:w="2696"/>
            <w:shd w:val="clear" w:color="auto" w:fill="EAF1F4"/>
          </w:tcPr>
          <w:p>
            <w:pPr>
              <w:spacing w:after="50" w:before="50" w:line="252" w:lineRule="auto"/>
            </w:pPr>
            <w:r>
              <w:rPr>
                <w:sz w:val="17"/>
              </w:rPr>
              <w:t>Meeting secured</w:t>
            </w:r>
          </w:p>
        </w:tc>
      </w:tr>
      <w:tr>
        <w:tc>
          <w:tcPr>
            <w:tcW w:type="dxa" w:w="1252"/>
          </w:tcPr>
          <w:p>
            <w:pPr>
              <w:spacing w:after="50" w:before="50" w:line="252" w:lineRule="auto"/>
            </w:pPr>
            <w:r>
              <w:rPr>
                <w:b/>
                <w:sz w:val="17"/>
              </w:rPr>
              <w:t>3. Discover</w:t>
            </w:r>
          </w:p>
        </w:tc>
        <w:tc>
          <w:tcPr>
            <w:tcW w:type="dxa" w:w="850"/>
          </w:tcPr>
          <w:p>
            <w:pPr>
              <w:spacing w:after="50" w:before="50" w:line="252" w:lineRule="auto"/>
            </w:pPr>
            <w:r>
              <w:rPr>
                <w:sz w:val="17"/>
              </w:rPr>
              <w:t>2–3 weeks</w:t>
            </w:r>
          </w:p>
        </w:tc>
        <w:tc>
          <w:tcPr>
            <w:tcW w:type="dxa" w:w="4018"/>
          </w:tcPr>
          <w:p>
            <w:pPr>
              <w:spacing w:after="50" w:before="50" w:line="252" w:lineRule="auto"/>
            </w:pPr>
            <w:r>
              <w:rPr>
                <w:sz w:val="17"/>
              </w:rPr>
              <w:t>Discovery questionnaire (02.5); identify the compliance problem we solve</w:t>
            </w:r>
          </w:p>
        </w:tc>
        <w:tc>
          <w:tcPr>
            <w:tcW w:type="dxa" w:w="850"/>
          </w:tcPr>
          <w:p>
            <w:pPr>
              <w:spacing w:after="50" w:before="50" w:line="252" w:lineRule="auto"/>
            </w:pPr>
            <w:r>
              <w:rPr>
                <w:sz w:val="17"/>
              </w:rPr>
              <w:t>BD + Programmes</w:t>
            </w:r>
          </w:p>
        </w:tc>
        <w:tc>
          <w:tcPr>
            <w:tcW w:type="dxa" w:w="2696"/>
          </w:tcPr>
          <w:p>
            <w:pPr>
              <w:spacing w:after="50" w:before="50" w:line="252" w:lineRule="auto"/>
            </w:pPr>
            <w:r>
              <w:rPr>
                <w:sz w:val="17"/>
              </w:rPr>
              <w:t>Written summary of needs agreed</w:t>
            </w:r>
          </w:p>
        </w:tc>
      </w:tr>
      <w:tr>
        <w:tc>
          <w:tcPr>
            <w:tcW w:type="dxa" w:w="1252"/>
            <w:shd w:val="clear" w:color="auto" w:fill="EAF1F4"/>
          </w:tcPr>
          <w:p>
            <w:pPr>
              <w:spacing w:after="50" w:before="50" w:line="252" w:lineRule="auto"/>
            </w:pPr>
            <w:r>
              <w:rPr>
                <w:b/>
                <w:sz w:val="17"/>
              </w:rPr>
              <w:t>4. Propose</w:t>
            </w:r>
          </w:p>
        </w:tc>
        <w:tc>
          <w:tcPr>
            <w:tcW w:type="dxa" w:w="850"/>
            <w:shd w:val="clear" w:color="auto" w:fill="EAF1F4"/>
          </w:tcPr>
          <w:p>
            <w:pPr>
              <w:spacing w:after="50" w:before="50" w:line="252" w:lineRule="auto"/>
            </w:pPr>
            <w:r>
              <w:rPr>
                <w:sz w:val="17"/>
              </w:rPr>
              <w:t>2 weeks</w:t>
            </w:r>
          </w:p>
        </w:tc>
        <w:tc>
          <w:tcPr>
            <w:tcW w:type="dxa" w:w="4018"/>
            <w:shd w:val="clear" w:color="auto" w:fill="EAF1F4"/>
          </w:tcPr>
          <w:p>
            <w:pPr>
              <w:spacing w:after="50" w:before="50" w:line="252" w:lineRule="auto"/>
            </w:pPr>
            <w:r>
              <w:rPr>
                <w:sz w:val="17"/>
              </w:rPr>
              <w:t>Tier-specific proposal (02.2); indicative commercials from the rate card</w:t>
            </w:r>
          </w:p>
        </w:tc>
        <w:tc>
          <w:tcPr>
            <w:tcW w:type="dxa" w:w="850"/>
            <w:shd w:val="clear" w:color="auto" w:fill="EAF1F4"/>
          </w:tcPr>
          <w:p>
            <w:pPr>
              <w:spacing w:after="50" w:before="50" w:line="252" w:lineRule="auto"/>
            </w:pPr>
            <w:r>
              <w:rPr>
                <w:sz w:val="17"/>
              </w:rPr>
              <w:t>BD</w:t>
            </w:r>
          </w:p>
        </w:tc>
        <w:tc>
          <w:tcPr>
            <w:tcW w:type="dxa" w:w="2696"/>
            <w:shd w:val="clear" w:color="auto" w:fill="EAF1F4"/>
          </w:tcPr>
          <w:p>
            <w:pPr>
              <w:spacing w:after="50" w:before="50" w:line="252" w:lineRule="auto"/>
            </w:pPr>
            <w:r>
              <w:rPr>
                <w:sz w:val="17"/>
              </w:rPr>
              <w:t>Proposal accepted in principle</w:t>
            </w:r>
          </w:p>
        </w:tc>
      </w:tr>
      <w:tr>
        <w:tc>
          <w:tcPr>
            <w:tcW w:type="dxa" w:w="1252"/>
          </w:tcPr>
          <w:p>
            <w:pPr>
              <w:spacing w:after="50" w:before="50" w:line="252" w:lineRule="auto"/>
            </w:pPr>
            <w:r>
              <w:rPr>
                <w:b/>
                <w:sz w:val="17"/>
              </w:rPr>
              <w:t>5. Contract</w:t>
            </w:r>
          </w:p>
        </w:tc>
        <w:tc>
          <w:tcPr>
            <w:tcW w:type="dxa" w:w="850"/>
          </w:tcPr>
          <w:p>
            <w:pPr>
              <w:spacing w:after="50" w:before="50" w:line="252" w:lineRule="auto"/>
            </w:pPr>
            <w:r>
              <w:rPr>
                <w:sz w:val="17"/>
              </w:rPr>
              <w:t>4–10 weeks</w:t>
            </w:r>
          </w:p>
        </w:tc>
        <w:tc>
          <w:tcPr>
            <w:tcW w:type="dxa" w:w="4018"/>
          </w:tcPr>
          <w:p>
            <w:pPr>
              <w:spacing w:after="50" w:before="50" w:line="252" w:lineRule="auto"/>
            </w:pPr>
            <w:r>
              <w:rPr>
                <w:sz w:val="17"/>
              </w:rPr>
              <w:t>Master MOU plus selected schedules; legal review both sides</w:t>
            </w:r>
          </w:p>
        </w:tc>
        <w:tc>
          <w:tcPr>
            <w:tcW w:type="dxa" w:w="850"/>
          </w:tcPr>
          <w:p>
            <w:pPr>
              <w:spacing w:after="50" w:before="50" w:line="252" w:lineRule="auto"/>
            </w:pPr>
            <w:r>
              <w:rPr>
                <w:sz w:val="17"/>
              </w:rPr>
              <w:t>Legal</w:t>
            </w:r>
          </w:p>
        </w:tc>
        <w:tc>
          <w:tcPr>
            <w:tcW w:type="dxa" w:w="2696"/>
          </w:tcPr>
          <w:p>
            <w:pPr>
              <w:spacing w:after="50" w:before="50" w:line="252" w:lineRule="auto"/>
            </w:pPr>
            <w:r>
              <w:rPr>
                <w:sz w:val="17"/>
              </w:rPr>
              <w:t>Signature</w:t>
            </w:r>
          </w:p>
        </w:tc>
      </w:tr>
      <w:tr>
        <w:tc>
          <w:tcPr>
            <w:tcW w:type="dxa" w:w="1252"/>
            <w:shd w:val="clear" w:color="auto" w:fill="EAF1F4"/>
          </w:tcPr>
          <w:p>
            <w:pPr>
              <w:spacing w:after="50" w:before="50" w:line="252" w:lineRule="auto"/>
            </w:pPr>
            <w:r>
              <w:rPr>
                <w:b/>
                <w:sz w:val="17"/>
              </w:rPr>
              <w:t>6. Activate</w:t>
            </w:r>
          </w:p>
        </w:tc>
        <w:tc>
          <w:tcPr>
            <w:tcW w:type="dxa" w:w="850"/>
            <w:shd w:val="clear" w:color="auto" w:fill="EAF1F4"/>
          </w:tcPr>
          <w:p>
            <w:pPr>
              <w:spacing w:after="50" w:before="50" w:line="252" w:lineRule="auto"/>
            </w:pPr>
            <w:r>
              <w:rPr>
                <w:sz w:val="17"/>
              </w:rPr>
              <w:t>30 days</w:t>
            </w:r>
          </w:p>
        </w:tc>
        <w:tc>
          <w:tcPr>
            <w:tcW w:type="dxa" w:w="4018"/>
            <w:shd w:val="clear" w:color="auto" w:fill="EAF1F4"/>
          </w:tcPr>
          <w:p>
            <w:pPr>
              <w:spacing w:after="50" w:before="50" w:line="252" w:lineRule="auto"/>
            </w:pPr>
            <w:r>
              <w:rPr>
                <w:sz w:val="17"/>
              </w:rPr>
              <w:t>Onboarding SOP (07.1); nodal officers named; first-year calendar fixed</w:t>
            </w:r>
          </w:p>
        </w:tc>
        <w:tc>
          <w:tcPr>
            <w:tcW w:type="dxa" w:w="850"/>
            <w:shd w:val="clear" w:color="auto" w:fill="EAF1F4"/>
          </w:tcPr>
          <w:p>
            <w:pPr>
              <w:spacing w:after="50" w:before="50" w:line="252" w:lineRule="auto"/>
            </w:pPr>
            <w:r>
              <w:rPr>
                <w:sz w:val="17"/>
              </w:rPr>
              <w:t>Programmes</w:t>
            </w:r>
          </w:p>
        </w:tc>
        <w:tc>
          <w:tcPr>
            <w:tcW w:type="dxa" w:w="2696"/>
            <w:shd w:val="clear" w:color="auto" w:fill="EAF1F4"/>
          </w:tcPr>
          <w:p>
            <w:pPr>
              <w:spacing w:after="50" w:before="50" w:line="252" w:lineRule="auto"/>
            </w:pPr>
            <w:r>
              <w:rPr>
                <w:sz w:val="17"/>
              </w:rPr>
              <w:t>Calendar signed off by both nodal officers</w:t>
            </w:r>
          </w:p>
        </w:tc>
      </w:tr>
      <w:tr>
        <w:tc>
          <w:tcPr>
            <w:tcW w:type="dxa" w:w="1252"/>
          </w:tcPr>
          <w:p>
            <w:pPr>
              <w:spacing w:after="50" w:before="50" w:line="252" w:lineRule="auto"/>
            </w:pPr>
            <w:r>
              <w:rPr>
                <w:b/>
                <w:sz w:val="17"/>
              </w:rPr>
              <w:t>7. Deliver</w:t>
            </w:r>
          </w:p>
        </w:tc>
        <w:tc>
          <w:tcPr>
            <w:tcW w:type="dxa" w:w="850"/>
          </w:tcPr>
          <w:p>
            <w:pPr>
              <w:spacing w:after="50" w:before="50" w:line="252" w:lineRule="auto"/>
            </w:pPr>
            <w:r>
              <w:rPr>
                <w:sz w:val="17"/>
              </w:rPr>
              <w:t>Ongoing</w:t>
            </w:r>
          </w:p>
        </w:tc>
        <w:tc>
          <w:tcPr>
            <w:tcW w:type="dxa" w:w="4018"/>
          </w:tcPr>
          <w:p>
            <w:pPr>
              <w:spacing w:after="50" w:before="50" w:line="252" w:lineRule="auto"/>
            </w:pPr>
            <w:r>
              <w:rPr>
                <w:sz w:val="17"/>
              </w:rPr>
              <w:t>Programmes, competitions, internships, research</w:t>
            </w:r>
          </w:p>
        </w:tc>
        <w:tc>
          <w:tcPr>
            <w:tcW w:type="dxa" w:w="850"/>
          </w:tcPr>
          <w:p>
            <w:pPr>
              <w:spacing w:after="50" w:before="50" w:line="252" w:lineRule="auto"/>
            </w:pPr>
            <w:r>
              <w:rPr>
                <w:sz w:val="17"/>
              </w:rPr>
              <w:t>Programmes</w:t>
            </w:r>
          </w:p>
        </w:tc>
        <w:tc>
          <w:tcPr>
            <w:tcW w:type="dxa" w:w="2696"/>
          </w:tcPr>
          <w:p>
            <w:pPr>
              <w:spacing w:after="50" w:before="50" w:line="252" w:lineRule="auto"/>
            </w:pPr>
            <w:r>
              <w:rPr>
                <w:sz w:val="17"/>
              </w:rPr>
              <w:t>Minimum activity threshold met</w:t>
            </w:r>
          </w:p>
        </w:tc>
      </w:tr>
      <w:tr>
        <w:tc>
          <w:tcPr>
            <w:tcW w:type="dxa" w:w="1252"/>
            <w:shd w:val="clear" w:color="auto" w:fill="EAF1F4"/>
          </w:tcPr>
          <w:p>
            <w:pPr>
              <w:spacing w:after="50" w:before="50" w:line="252" w:lineRule="auto"/>
            </w:pPr>
            <w:r>
              <w:rPr>
                <w:b/>
                <w:sz w:val="17"/>
              </w:rPr>
              <w:t>8. Review</w:t>
            </w:r>
          </w:p>
        </w:tc>
        <w:tc>
          <w:tcPr>
            <w:tcW w:type="dxa" w:w="850"/>
            <w:shd w:val="clear" w:color="auto" w:fill="EAF1F4"/>
          </w:tcPr>
          <w:p>
            <w:pPr>
              <w:spacing w:after="50" w:before="50" w:line="252" w:lineRule="auto"/>
            </w:pPr>
            <w:r>
              <w:rPr>
                <w:sz w:val="17"/>
              </w:rPr>
              <w:t>Annual</w:t>
            </w:r>
          </w:p>
        </w:tc>
        <w:tc>
          <w:tcPr>
            <w:tcW w:type="dxa" w:w="4018"/>
            <w:shd w:val="clear" w:color="auto" w:fill="EAF1F4"/>
          </w:tcPr>
          <w:p>
            <w:pPr>
              <w:spacing w:after="50" w:before="50" w:line="252" w:lineRule="auto"/>
            </w:pPr>
            <w:r>
              <w:rPr>
                <w:sz w:val="17"/>
              </w:rPr>
              <w:t>Scorecard (10.2); steering committee; renewal decision</w:t>
            </w:r>
          </w:p>
        </w:tc>
        <w:tc>
          <w:tcPr>
            <w:tcW w:type="dxa" w:w="850"/>
            <w:shd w:val="clear" w:color="auto" w:fill="EAF1F4"/>
          </w:tcPr>
          <w:p>
            <w:pPr>
              <w:spacing w:after="50" w:before="50" w:line="252" w:lineRule="auto"/>
            </w:pPr>
            <w:r>
              <w:rPr>
                <w:sz w:val="17"/>
              </w:rPr>
              <w:t>Director</w:t>
            </w:r>
          </w:p>
        </w:tc>
        <w:tc>
          <w:tcPr>
            <w:tcW w:type="dxa" w:w="2696"/>
            <w:shd w:val="clear" w:color="auto" w:fill="EAF1F4"/>
          </w:tcPr>
          <w:p>
            <w:pPr>
              <w:spacing w:after="50" w:before="50" w:line="252" w:lineRule="auto"/>
            </w:pPr>
            <w:r>
              <w:rPr>
                <w:sz w:val="17"/>
              </w:rPr>
              <w:t>Renew, restructure or lapse</w:t>
            </w:r>
          </w:p>
        </w:tc>
      </w:tr>
    </w:tbl>
    <w:p>
      <w:pPr>
        <w:spacing w:after="80" w:before="0"/>
      </w:pPr>
    </w:p>
    <w:p>
      <w:r>
        <w:rPr>
          <w:b/>
        </w:rPr>
        <w:t>The champion rule.</w:t>
      </w:r>
      <w:r>
        <w:t xml:space="preserve"> The Registrar or Vice-Chancellor signs, but the partnership is kept alive by a single named faculty member who benefits personally from it. Identify that person in stage 3, give them something they want in stage 5 — empanelment, co-authorship, an adjunct title, a competition to convene — and the partnership survives. Partnerships without an identified champion fail at a materially higher rate and should be signed only at Tier 3.</w:t>
      </w:r>
    </w:p>
    <w:p>
      <w:pPr>
        <w:spacing w:before="80" w:after="160"/>
        <w:pBdr>
          <w:bottom w:val="single" w:sz="6" w:space="1" w:color="C9D6DE"/>
        </w:pBdr>
      </w:pPr>
    </w:p>
    <w:p>
      <w:pPr>
        <w:pStyle w:val="Heading1"/>
        <w:pBdr>
          <w:bottom w:val="single" w:sz="8" w:space="4" w:color="C9D6DE"/>
        </w:pBdr>
      </w:pPr>
      <w:r>
        <w:t>6. Sequencing: the first thirty-six months</w:t>
      </w:r>
    </w:p>
    <w:p>
      <w:pPr>
        <w:pStyle w:val="Heading2"/>
      </w:pPr>
      <w:r>
        <w:t>Phase 1 — Build the product (months 1 to 4)</w:t>
      </w:r>
    </w:p>
    <w:p>
      <w:r>
        <w:t xml:space="preserve">Do not approach institutions before the product exists. Complete the curriculum (05), the competition problem set (06), the Master MOU and schedules (03), and the rate card (04.1). Register the competition and certification marks </w:t>
      </w:r>
      <w:r>
        <w:rPr>
          <w:b/>
        </w:rPr>
        <w:t>[verify — Legal]</w:t>
      </w:r>
      <w:r>
        <w:t>. Recruit or contract the initial trainer bench.</w:t>
      </w:r>
    </w:p>
    <w:p>
      <w:pPr>
        <w:pStyle w:val="Heading2"/>
      </w:pPr>
      <w:r>
        <w:t>Phase 2 — Prove it (months 5 to 12)</w:t>
      </w:r>
    </w:p>
    <w:p>
      <w:r>
        <w:t xml:space="preserve">Sign two Tier 1 anchors and four Tier 2 partners. Run at each anchor: one 40-hour certificate cohort, one FDP, one workshop series and one competition round. Instrument everything — attendance, assessment outcomes, feedback scores, photographs, testimonials, conversion to internship. </w:t>
      </w:r>
      <w:r>
        <w:rPr>
          <w:b/>
        </w:rPr>
        <w:t>The purpose of year one is evidence, not revenue.</w:t>
      </w:r>
    </w:p>
    <w:p>
      <w:pPr>
        <w:pStyle w:val="Heading2"/>
      </w:pPr>
      <w:r>
        <w:t>Phase 3 — Scale on proof (months 13 to 24)</w:t>
      </w:r>
    </w:p>
    <w:p>
      <w:r>
        <w:t>With a case study and outcome data in hand, move to volume: target 12 to 18 Tier 2 partnerships and an open Tier 3 register. Launch the first national edition of the competition. Publish the first annual research report. Begin the advisory retainer line, which is the most under-exploited and highest-annuity revenue in the model.</w:t>
      </w:r>
    </w:p>
    <w:p>
      <w:pPr>
        <w:pStyle w:val="Heading2"/>
      </w:pPr>
      <w:r>
        <w:t>Phase 4 — Consolidate and defend (months 25 to 36)</w:t>
      </w:r>
    </w:p>
    <w:p>
      <w:r>
        <w:t xml:space="preserve">Convert the network into a formal alumni and neutral community. Seek institutional recognition from the Mediation Council of India once constituted </w:t>
      </w:r>
      <w:r>
        <w:rPr>
          <w:b/>
        </w:rPr>
        <w:t>[verify]</w:t>
      </w:r>
      <w:r>
        <w:t>. Move from being a provider of programmes to being the body whose curriculum other providers licence.</w:t>
      </w:r>
    </w:p>
    <w:p>
      <w:pPr>
        <w:spacing w:before="80" w:after="160"/>
        <w:pBdr>
          <w:bottom w:val="single" w:sz="6" w:space="1" w:color="C9D6DE"/>
        </w:pBdr>
      </w:pPr>
    </w:p>
    <w:p>
      <w:pPr>
        <w:pStyle w:val="Heading1"/>
        <w:pBdr>
          <w:bottom w:val="single" w:sz="8" w:space="4" w:color="C9D6DE"/>
        </w:pBdr>
      </w:pPr>
      <w:r>
        <w:t>7. Competitive position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680"/>
            <w:shd w:val="clear" w:color="auto" w:fill="10375C"/>
          </w:tcPr>
          <w:p>
            <w:pPr>
              <w:spacing w:after="50" w:before="50"/>
            </w:pPr>
            <w:r>
              <w:rPr>
                <w:b/>
                <w:color w:val="FFFFFF"/>
                <w:sz w:val="17"/>
              </w:rPr>
              <w:t>Competitor category</w:t>
            </w:r>
          </w:p>
        </w:tc>
        <w:tc>
          <w:tcPr>
            <w:tcW w:type="dxa" w:w="2686"/>
            <w:shd w:val="clear" w:color="auto" w:fill="10375C"/>
          </w:tcPr>
          <w:p>
            <w:pPr>
              <w:spacing w:after="50" w:before="50"/>
            </w:pPr>
            <w:r>
              <w:rPr>
                <w:b/>
                <w:color w:val="FFFFFF"/>
                <w:sz w:val="17"/>
              </w:rPr>
              <w:t>Examples of model</w:t>
            </w:r>
          </w:p>
        </w:tc>
        <w:tc>
          <w:tcPr>
            <w:tcW w:type="dxa" w:w="1416"/>
            <w:shd w:val="clear" w:color="auto" w:fill="10375C"/>
          </w:tcPr>
          <w:p>
            <w:pPr>
              <w:spacing w:after="50" w:before="50"/>
            </w:pPr>
            <w:r>
              <w:rPr>
                <w:b/>
                <w:color w:val="FFFFFF"/>
                <w:sz w:val="17"/>
              </w:rPr>
              <w:t>Their advantage</w:t>
            </w:r>
          </w:p>
        </w:tc>
        <w:tc>
          <w:tcPr>
            <w:tcW w:type="dxa" w:w="2686"/>
            <w:shd w:val="clear" w:color="auto" w:fill="10375C"/>
          </w:tcPr>
          <w:p>
            <w:pPr>
              <w:spacing w:after="50" w:before="50"/>
            </w:pPr>
            <w:r>
              <w:rPr>
                <w:b/>
                <w:color w:val="FFFFFF"/>
                <w:sz w:val="17"/>
              </w:rPr>
              <w:t>Equator's counter</w:t>
            </w:r>
          </w:p>
        </w:tc>
      </w:tr>
      <w:tr>
        <w:tc>
          <w:tcPr>
            <w:tcW w:type="dxa" w:w="2680"/>
          </w:tcPr>
          <w:p>
            <w:pPr>
              <w:spacing w:after="50" w:before="50" w:line="252" w:lineRule="auto"/>
            </w:pPr>
            <w:r>
              <w:rPr>
                <w:sz w:val="17"/>
              </w:rPr>
              <w:t>Court-annexed mediation centres and legal services authorities</w:t>
            </w:r>
          </w:p>
        </w:tc>
        <w:tc>
          <w:tcPr>
            <w:tcW w:type="dxa" w:w="2686"/>
          </w:tcPr>
          <w:p>
            <w:pPr>
              <w:spacing w:after="50" w:before="50" w:line="252" w:lineRule="auto"/>
            </w:pPr>
            <w:r>
              <w:rPr>
                <w:sz w:val="17"/>
              </w:rPr>
              <w:t>State-funded training, statutory legitimacy</w:t>
            </w:r>
          </w:p>
        </w:tc>
        <w:tc>
          <w:tcPr>
            <w:tcW w:type="dxa" w:w="1416"/>
          </w:tcPr>
          <w:p>
            <w:pPr>
              <w:spacing w:after="50" w:before="50" w:line="252" w:lineRule="auto"/>
            </w:pPr>
            <w:r>
              <w:rPr>
                <w:sz w:val="17"/>
              </w:rPr>
              <w:t>Free or nearly free; official standing</w:t>
            </w:r>
          </w:p>
        </w:tc>
        <w:tc>
          <w:tcPr>
            <w:tcW w:type="dxa" w:w="2686"/>
          </w:tcPr>
          <w:p>
            <w:pPr>
              <w:spacing w:after="50" w:before="50" w:line="252" w:lineRule="auto"/>
            </w:pPr>
            <w:r>
              <w:rPr>
                <w:sz w:val="17"/>
              </w:rPr>
              <w:t>Equator offers commercial and sectoral depth, employability, competitions and research that state bodies do not resource</w:t>
            </w:r>
          </w:p>
        </w:tc>
      </w:tr>
      <w:tr>
        <w:tc>
          <w:tcPr>
            <w:tcW w:type="dxa" w:w="2680"/>
            <w:shd w:val="clear" w:color="auto" w:fill="EAF1F4"/>
          </w:tcPr>
          <w:p>
            <w:pPr>
              <w:spacing w:after="50" w:before="50" w:line="252" w:lineRule="auto"/>
            </w:pPr>
            <w:r>
              <w:rPr>
                <w:sz w:val="17"/>
              </w:rPr>
              <w:t>Established private ADR institutes</w:t>
            </w:r>
          </w:p>
        </w:tc>
        <w:tc>
          <w:tcPr>
            <w:tcW w:type="dxa" w:w="2686"/>
            <w:shd w:val="clear" w:color="auto" w:fill="EAF1F4"/>
          </w:tcPr>
          <w:p>
            <w:pPr>
              <w:spacing w:after="50" w:before="50" w:line="252" w:lineRule="auto"/>
            </w:pPr>
            <w:r>
              <w:rPr>
                <w:sz w:val="17"/>
              </w:rPr>
              <w:t>Long-standing training programmes at ₹25,000 to ₹50,000 per participant</w:t>
            </w:r>
          </w:p>
        </w:tc>
        <w:tc>
          <w:tcPr>
            <w:tcW w:type="dxa" w:w="1416"/>
            <w:shd w:val="clear" w:color="auto" w:fill="EAF1F4"/>
          </w:tcPr>
          <w:p>
            <w:pPr>
              <w:spacing w:after="50" w:before="50" w:line="252" w:lineRule="auto"/>
            </w:pPr>
            <w:r>
              <w:rPr>
                <w:sz w:val="17"/>
              </w:rPr>
              <w:t>Incumbency, alumni</w:t>
            </w:r>
          </w:p>
        </w:tc>
        <w:tc>
          <w:tcPr>
            <w:tcW w:type="dxa" w:w="2686"/>
            <w:shd w:val="clear" w:color="auto" w:fill="EAF1F4"/>
          </w:tcPr>
          <w:p>
            <w:pPr>
              <w:spacing w:after="50" w:before="50" w:line="252" w:lineRule="auto"/>
            </w:pPr>
            <w:r>
              <w:rPr>
                <w:sz w:val="17"/>
              </w:rPr>
              <w:t>Equator competes on university embedding, a competition circuit, and an internship-to-employment pathway rather than on price</w:t>
            </w:r>
          </w:p>
        </w:tc>
      </w:tr>
      <w:tr>
        <w:tc>
          <w:tcPr>
            <w:tcW w:type="dxa" w:w="2680"/>
          </w:tcPr>
          <w:p>
            <w:pPr>
              <w:spacing w:after="50" w:before="50" w:line="252" w:lineRule="auto"/>
            </w:pPr>
            <w:r>
              <w:rPr>
                <w:sz w:val="17"/>
              </w:rPr>
              <w:t>Law firms running academic outreach</w:t>
            </w:r>
          </w:p>
        </w:tc>
        <w:tc>
          <w:tcPr>
            <w:tcW w:type="dxa" w:w="2686"/>
          </w:tcPr>
          <w:p>
            <w:pPr>
              <w:spacing w:after="50" w:before="50" w:line="252" w:lineRule="auto"/>
            </w:pPr>
            <w:r>
              <w:rPr>
                <w:sz w:val="17"/>
              </w:rPr>
              <w:t>Sponsored competitions and lecture series</w:t>
            </w:r>
          </w:p>
        </w:tc>
        <w:tc>
          <w:tcPr>
            <w:tcW w:type="dxa" w:w="1416"/>
          </w:tcPr>
          <w:p>
            <w:pPr>
              <w:spacing w:after="50" w:before="50" w:line="252" w:lineRule="auto"/>
            </w:pPr>
            <w:r>
              <w:rPr>
                <w:sz w:val="17"/>
              </w:rPr>
              <w:t>Brand and budget</w:t>
            </w:r>
          </w:p>
        </w:tc>
        <w:tc>
          <w:tcPr>
            <w:tcW w:type="dxa" w:w="2686"/>
          </w:tcPr>
          <w:p>
            <w:pPr>
              <w:spacing w:after="50" w:before="50" w:line="252" w:lineRule="auto"/>
            </w:pPr>
            <w:r>
              <w:rPr>
                <w:sz w:val="17"/>
              </w:rPr>
              <w:t>Firms cannot offer live case exposure or a neutral panel; Equator can</w:t>
            </w:r>
          </w:p>
        </w:tc>
      </w:tr>
      <w:tr>
        <w:tc>
          <w:tcPr>
            <w:tcW w:type="dxa" w:w="2680"/>
            <w:shd w:val="clear" w:color="auto" w:fill="EAF1F4"/>
          </w:tcPr>
          <w:p>
            <w:pPr>
              <w:spacing w:after="50" w:before="50" w:line="252" w:lineRule="auto"/>
            </w:pPr>
            <w:r>
              <w:rPr>
                <w:sz w:val="17"/>
              </w:rPr>
              <w:t>International bodies and their Indian chapters</w:t>
            </w:r>
          </w:p>
        </w:tc>
        <w:tc>
          <w:tcPr>
            <w:tcW w:type="dxa" w:w="2686"/>
            <w:shd w:val="clear" w:color="auto" w:fill="EAF1F4"/>
          </w:tcPr>
          <w:p>
            <w:pPr>
              <w:spacing w:after="50" w:before="50" w:line="252" w:lineRule="auto"/>
            </w:pPr>
            <w:r>
              <w:rPr>
                <w:sz w:val="17"/>
              </w:rPr>
              <w:t>Global competitions, international certification</w:t>
            </w:r>
          </w:p>
        </w:tc>
        <w:tc>
          <w:tcPr>
            <w:tcW w:type="dxa" w:w="1416"/>
            <w:shd w:val="clear" w:color="auto" w:fill="EAF1F4"/>
          </w:tcPr>
          <w:p>
            <w:pPr>
              <w:spacing w:after="50" w:before="50" w:line="252" w:lineRule="auto"/>
            </w:pPr>
            <w:r>
              <w:rPr>
                <w:sz w:val="17"/>
              </w:rPr>
              <w:t>Prestige</w:t>
            </w:r>
          </w:p>
        </w:tc>
        <w:tc>
          <w:tcPr>
            <w:tcW w:type="dxa" w:w="2686"/>
            <w:shd w:val="clear" w:color="auto" w:fill="EAF1F4"/>
          </w:tcPr>
          <w:p>
            <w:pPr>
              <w:spacing w:after="50" w:before="50" w:line="252" w:lineRule="auto"/>
            </w:pPr>
            <w:r>
              <w:rPr>
                <w:sz w:val="17"/>
              </w:rPr>
              <w:t>Equator supplies the domestic circuit that feeds those competitions, and offers coaching to reach them</w:t>
            </w:r>
          </w:p>
        </w:tc>
      </w:tr>
      <w:tr>
        <w:tc>
          <w:tcPr>
            <w:tcW w:type="dxa" w:w="2680"/>
          </w:tcPr>
          <w:p>
            <w:pPr>
              <w:spacing w:after="50" w:before="50" w:line="252" w:lineRule="auto"/>
            </w:pPr>
            <w:r>
              <w:rPr>
                <w:sz w:val="17"/>
              </w:rPr>
              <w:t>Individual academics and trainers</w:t>
            </w:r>
          </w:p>
        </w:tc>
        <w:tc>
          <w:tcPr>
            <w:tcW w:type="dxa" w:w="2686"/>
          </w:tcPr>
          <w:p>
            <w:pPr>
              <w:spacing w:after="50" w:before="50" w:line="252" w:lineRule="auto"/>
            </w:pPr>
            <w:r>
              <w:rPr>
                <w:sz w:val="17"/>
              </w:rPr>
              <w:t>Personal reputation</w:t>
            </w:r>
          </w:p>
        </w:tc>
        <w:tc>
          <w:tcPr>
            <w:tcW w:type="dxa" w:w="1416"/>
          </w:tcPr>
          <w:p>
            <w:pPr>
              <w:spacing w:after="50" w:before="50" w:line="252" w:lineRule="auto"/>
            </w:pPr>
            <w:r>
              <w:rPr>
                <w:sz w:val="17"/>
              </w:rPr>
              <w:t>Cheap, flexible</w:t>
            </w:r>
          </w:p>
        </w:tc>
        <w:tc>
          <w:tcPr>
            <w:tcW w:type="dxa" w:w="2686"/>
          </w:tcPr>
          <w:p>
            <w:pPr>
              <w:spacing w:after="50" w:before="50" w:line="252" w:lineRule="auto"/>
            </w:pPr>
            <w:r>
              <w:rPr>
                <w:sz w:val="17"/>
              </w:rPr>
              <w:t>Individuals cannot deliver institutional documentation, quality assurance, insurance or continuity</w:t>
            </w:r>
          </w:p>
        </w:tc>
      </w:tr>
    </w:tbl>
    <w:p>
      <w:pPr>
        <w:spacing w:after="80" w:before="0"/>
      </w:pPr>
    </w:p>
    <w:p>
      <w:r>
        <w:rPr>
          <w:b/>
        </w:rPr>
        <w:t>Where Equator wins:</w:t>
      </w:r>
      <w:r>
        <w:t xml:space="preserve"> the combination is the moat. No single competitor offers curriculum, competitions, internships, live case exposure, research capability, advisory services and an employment pathway under one institutional roof.</w:t>
      </w:r>
    </w:p>
    <w:p>
      <w:r>
        <w:rPr>
          <w:b/>
        </w:rPr>
        <w:t>Where Equator is vulnerable:</w:t>
      </w:r>
      <w:r>
        <w:t xml:space="preserve"> price undercutting by state-funded providers, and reputational damage from a single badly run programme. The response to the first is never to compete on price but to compete on outcome documentation; the response to the second is the quality assurance regime in 07.7.</w:t>
      </w:r>
    </w:p>
    <w:p>
      <w:pPr>
        <w:spacing w:before="80" w:after="160"/>
        <w:pBdr>
          <w:bottom w:val="single" w:sz="6" w:space="1" w:color="C9D6DE"/>
        </w:pBdr>
      </w:pPr>
    </w:p>
    <w:p>
      <w:pPr>
        <w:pStyle w:val="Heading1"/>
        <w:pBdr>
          <w:bottom w:val="single" w:sz="8" w:space="4" w:color="C9D6DE"/>
        </w:pBdr>
      </w:pPr>
      <w:r>
        <w:t>8. Risks to the strategy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850"/>
            <w:shd w:val="clear" w:color="auto" w:fill="10375C"/>
          </w:tcPr>
          <w:p>
            <w:pPr>
              <w:spacing w:after="50" w:before="50"/>
            </w:pPr>
            <w:r>
              <w:rPr>
                <w:b/>
                <w:color w:val="FFFFFF"/>
                <w:sz w:val="17"/>
              </w:rPr>
              <w:t>#</w:t>
            </w:r>
          </w:p>
        </w:tc>
        <w:tc>
          <w:tcPr>
            <w:tcW w:type="dxa" w:w="3532"/>
            <w:shd w:val="clear" w:color="auto" w:fill="10375C"/>
          </w:tcPr>
          <w:p>
            <w:pPr>
              <w:spacing w:after="50" w:before="50"/>
            </w:pPr>
            <w:r>
              <w:rPr>
                <w:b/>
                <w:color w:val="FFFFFF"/>
                <w:sz w:val="17"/>
              </w:rPr>
              <w:t>Risk</w:t>
            </w:r>
          </w:p>
        </w:tc>
        <w:tc>
          <w:tcPr>
            <w:tcW w:type="dxa" w:w="850"/>
            <w:shd w:val="clear" w:color="auto" w:fill="10375C"/>
          </w:tcPr>
          <w:p>
            <w:pPr>
              <w:spacing w:after="50" w:before="50"/>
            </w:pPr>
            <w:r>
              <w:rPr>
                <w:b/>
                <w:color w:val="FFFFFF"/>
                <w:sz w:val="17"/>
              </w:rPr>
              <w:t>Likelihood</w:t>
            </w:r>
          </w:p>
        </w:tc>
        <w:tc>
          <w:tcPr>
            <w:tcW w:type="dxa" w:w="850"/>
            <w:shd w:val="clear" w:color="auto" w:fill="10375C"/>
          </w:tcPr>
          <w:p>
            <w:pPr>
              <w:spacing w:after="50" w:before="50"/>
            </w:pPr>
            <w:r>
              <w:rPr>
                <w:b/>
                <w:color w:val="FFFFFF"/>
                <w:sz w:val="17"/>
              </w:rPr>
              <w:t>Impact</w:t>
            </w:r>
          </w:p>
        </w:tc>
        <w:tc>
          <w:tcPr>
            <w:tcW w:type="dxa" w:w="3532"/>
            <w:shd w:val="clear" w:color="auto" w:fill="10375C"/>
          </w:tcPr>
          <w:p>
            <w:pPr>
              <w:spacing w:after="50" w:before="50"/>
            </w:pPr>
            <w:r>
              <w:rPr>
                <w:b/>
                <w:color w:val="FFFFFF"/>
                <w:sz w:val="17"/>
              </w:rPr>
              <w:t>Mitigation</w:t>
            </w:r>
          </w:p>
        </w:tc>
        <w:tc>
          <w:tcPr>
            <w:tcW w:type="dxa" w:w="1017"/>
            <w:shd w:val="clear" w:color="auto" w:fill="10375C"/>
          </w:tcPr>
          <w:p>
            <w:pPr>
              <w:spacing w:after="50" w:before="50"/>
            </w:pPr>
            <w:r>
              <w:rPr>
                <w:b/>
                <w:color w:val="FFFFFF"/>
                <w:sz w:val="17"/>
              </w:rPr>
              <w:t>Owner</w:t>
            </w:r>
          </w:p>
        </w:tc>
      </w:tr>
      <w:tr>
        <w:tc>
          <w:tcPr>
            <w:tcW w:type="dxa" w:w="850"/>
          </w:tcPr>
          <w:p>
            <w:pPr>
              <w:spacing w:after="50" w:before="50" w:line="252" w:lineRule="auto"/>
            </w:pPr>
            <w:r>
              <w:rPr>
                <w:sz w:val="17"/>
              </w:rPr>
              <w:t>S1</w:t>
            </w:r>
          </w:p>
        </w:tc>
        <w:tc>
          <w:tcPr>
            <w:tcW w:type="dxa" w:w="3532"/>
          </w:tcPr>
          <w:p>
            <w:pPr>
              <w:spacing w:after="50" w:before="50" w:line="252" w:lineRule="auto"/>
            </w:pPr>
            <w:r>
              <w:rPr>
                <w:sz w:val="17"/>
              </w:rPr>
              <w:t>MOUs signed but dormant; effort sunk with no return</w:t>
            </w:r>
          </w:p>
        </w:tc>
        <w:tc>
          <w:tcPr>
            <w:tcW w:type="dxa" w:w="850"/>
          </w:tcPr>
          <w:p>
            <w:pPr>
              <w:spacing w:after="50" w:before="50" w:line="252" w:lineRule="auto"/>
            </w:pPr>
            <w:r>
              <w:rPr>
                <w:sz w:val="17"/>
              </w:rPr>
              <w:t>High</w:t>
            </w:r>
          </w:p>
        </w:tc>
        <w:tc>
          <w:tcPr>
            <w:tcW w:type="dxa" w:w="850"/>
          </w:tcPr>
          <w:p>
            <w:pPr>
              <w:spacing w:after="50" w:before="50" w:line="252" w:lineRule="auto"/>
            </w:pPr>
            <w:r>
              <w:rPr>
                <w:sz w:val="17"/>
              </w:rPr>
              <w:t>Medium</w:t>
            </w:r>
          </w:p>
        </w:tc>
        <w:tc>
          <w:tcPr>
            <w:tcW w:type="dxa" w:w="3532"/>
          </w:tcPr>
          <w:p>
            <w:pPr>
              <w:spacing w:after="50" w:before="50" w:line="252" w:lineRule="auto"/>
            </w:pPr>
            <w:r>
              <w:rPr>
                <w:sz w:val="17"/>
              </w:rPr>
              <w:t>Minimum activity clause with automatic lapse (MOU clause 6.4); annual scorecard</w:t>
            </w:r>
          </w:p>
        </w:tc>
        <w:tc>
          <w:tcPr>
            <w:tcW w:type="dxa" w:w="1017"/>
          </w:tcPr>
          <w:p>
            <w:pPr>
              <w:spacing w:after="50" w:before="50" w:line="252" w:lineRule="auto"/>
            </w:pPr>
            <w:r>
              <w:rPr>
                <w:sz w:val="17"/>
              </w:rPr>
              <w:t>Director</w:t>
            </w:r>
          </w:p>
        </w:tc>
      </w:tr>
      <w:tr>
        <w:tc>
          <w:tcPr>
            <w:tcW w:type="dxa" w:w="850"/>
            <w:shd w:val="clear" w:color="auto" w:fill="EAF1F4"/>
          </w:tcPr>
          <w:p>
            <w:pPr>
              <w:spacing w:after="50" w:before="50" w:line="252" w:lineRule="auto"/>
            </w:pPr>
            <w:r>
              <w:rPr>
                <w:sz w:val="17"/>
              </w:rPr>
              <w:t>S2</w:t>
            </w:r>
          </w:p>
        </w:tc>
        <w:tc>
          <w:tcPr>
            <w:tcW w:type="dxa" w:w="3532"/>
            <w:shd w:val="clear" w:color="auto" w:fill="EAF1F4"/>
          </w:tcPr>
          <w:p>
            <w:pPr>
              <w:spacing w:after="50" w:before="50" w:line="252" w:lineRule="auto"/>
            </w:pPr>
            <w:r>
              <w:rPr>
                <w:sz w:val="17"/>
              </w:rPr>
              <w:t>Mediation Council of India notifies standards Equator's curriculum does not meet</w:t>
            </w:r>
          </w:p>
        </w:tc>
        <w:tc>
          <w:tcPr>
            <w:tcW w:type="dxa" w:w="850"/>
            <w:shd w:val="clear" w:color="auto" w:fill="EAF1F4"/>
          </w:tcPr>
          <w:p>
            <w:pPr>
              <w:spacing w:after="50" w:before="50" w:line="252" w:lineRule="auto"/>
            </w:pPr>
            <w:r>
              <w:rPr>
                <w:sz w:val="17"/>
              </w:rPr>
              <w:t>Medium</w:t>
            </w:r>
          </w:p>
        </w:tc>
        <w:tc>
          <w:tcPr>
            <w:tcW w:type="dxa" w:w="850"/>
            <w:shd w:val="clear" w:color="auto" w:fill="EAF1F4"/>
          </w:tcPr>
          <w:p>
            <w:pPr>
              <w:spacing w:after="50" w:before="50" w:line="252" w:lineRule="auto"/>
            </w:pPr>
            <w:r>
              <w:rPr>
                <w:sz w:val="17"/>
              </w:rPr>
              <w:t>High</w:t>
            </w:r>
          </w:p>
        </w:tc>
        <w:tc>
          <w:tcPr>
            <w:tcW w:type="dxa" w:w="3532"/>
            <w:shd w:val="clear" w:color="auto" w:fill="EAF1F4"/>
          </w:tcPr>
          <w:p>
            <w:pPr>
              <w:spacing w:after="50" w:before="50" w:line="252" w:lineRule="auto"/>
            </w:pPr>
            <w:r>
              <w:rPr>
                <w:sz w:val="17"/>
              </w:rPr>
              <w:t>Curriculum mapped to court-annexed 40+20 norms; annual regulatory watch; modular design permitting rapid amendment</w:t>
            </w:r>
          </w:p>
        </w:tc>
        <w:tc>
          <w:tcPr>
            <w:tcW w:type="dxa" w:w="1017"/>
            <w:shd w:val="clear" w:color="auto" w:fill="EAF1F4"/>
          </w:tcPr>
          <w:p>
            <w:pPr>
              <w:spacing w:after="50" w:before="50" w:line="252" w:lineRule="auto"/>
            </w:pPr>
            <w:r>
              <w:rPr>
                <w:sz w:val="17"/>
              </w:rPr>
              <w:t>Head of Curriculum</w:t>
            </w:r>
          </w:p>
        </w:tc>
      </w:tr>
      <w:tr>
        <w:tc>
          <w:tcPr>
            <w:tcW w:type="dxa" w:w="850"/>
          </w:tcPr>
          <w:p>
            <w:pPr>
              <w:spacing w:after="50" w:before="50" w:line="252" w:lineRule="auto"/>
            </w:pPr>
            <w:r>
              <w:rPr>
                <w:sz w:val="17"/>
              </w:rPr>
              <w:t>S3</w:t>
            </w:r>
          </w:p>
        </w:tc>
        <w:tc>
          <w:tcPr>
            <w:tcW w:type="dxa" w:w="3532"/>
          </w:tcPr>
          <w:p>
            <w:pPr>
              <w:spacing w:after="50" w:before="50" w:line="252" w:lineRule="auto"/>
            </w:pPr>
            <w:r>
              <w:rPr>
                <w:sz w:val="17"/>
              </w:rPr>
              <w:t>Marketing claim about certification challenged as misleading</w:t>
            </w:r>
          </w:p>
        </w:tc>
        <w:tc>
          <w:tcPr>
            <w:tcW w:type="dxa" w:w="850"/>
          </w:tcPr>
          <w:p>
            <w:pPr>
              <w:spacing w:after="50" w:before="50" w:line="252" w:lineRule="auto"/>
            </w:pPr>
            <w:r>
              <w:rPr>
                <w:sz w:val="17"/>
              </w:rPr>
              <w:t>Medium</w:t>
            </w:r>
          </w:p>
        </w:tc>
        <w:tc>
          <w:tcPr>
            <w:tcW w:type="dxa" w:w="850"/>
          </w:tcPr>
          <w:p>
            <w:pPr>
              <w:spacing w:after="50" w:before="50" w:line="252" w:lineRule="auto"/>
            </w:pPr>
            <w:r>
              <w:rPr>
                <w:sz w:val="17"/>
              </w:rPr>
              <w:t>High</w:t>
            </w:r>
          </w:p>
        </w:tc>
        <w:tc>
          <w:tcPr>
            <w:tcW w:type="dxa" w:w="3532"/>
          </w:tcPr>
          <w:p>
            <w:pPr>
              <w:spacing w:after="50" w:before="50" w:line="252" w:lineRule="auto"/>
            </w:pPr>
            <w:r>
              <w:rPr>
                <w:sz w:val="17"/>
              </w:rPr>
              <w:t>Approved formulations only (section 2.2); all public collateral cleared by Legal</w:t>
            </w:r>
          </w:p>
        </w:tc>
        <w:tc>
          <w:tcPr>
            <w:tcW w:type="dxa" w:w="1017"/>
          </w:tcPr>
          <w:p>
            <w:pPr>
              <w:spacing w:after="50" w:before="50" w:line="252" w:lineRule="auto"/>
            </w:pPr>
            <w:r>
              <w:rPr>
                <w:sz w:val="17"/>
              </w:rPr>
              <w:t>Marketing</w:t>
            </w:r>
          </w:p>
        </w:tc>
      </w:tr>
      <w:tr>
        <w:tc>
          <w:tcPr>
            <w:tcW w:type="dxa" w:w="850"/>
            <w:shd w:val="clear" w:color="auto" w:fill="EAF1F4"/>
          </w:tcPr>
          <w:p>
            <w:pPr>
              <w:spacing w:after="50" w:before="50" w:line="252" w:lineRule="auto"/>
            </w:pPr>
            <w:r>
              <w:rPr>
                <w:sz w:val="17"/>
              </w:rPr>
              <w:t>S4</w:t>
            </w:r>
          </w:p>
        </w:tc>
        <w:tc>
          <w:tcPr>
            <w:tcW w:type="dxa" w:w="3532"/>
            <w:shd w:val="clear" w:color="auto" w:fill="EAF1F4"/>
          </w:tcPr>
          <w:p>
            <w:pPr>
              <w:spacing w:after="50" w:before="50" w:line="252" w:lineRule="auto"/>
            </w:pPr>
            <w:r>
              <w:rPr>
                <w:sz w:val="17"/>
              </w:rPr>
              <w:t>Student personal data mishandled under DPDP</w:t>
            </w:r>
          </w:p>
        </w:tc>
        <w:tc>
          <w:tcPr>
            <w:tcW w:type="dxa" w:w="850"/>
            <w:shd w:val="clear" w:color="auto" w:fill="EAF1F4"/>
          </w:tcPr>
          <w:p>
            <w:pPr>
              <w:spacing w:after="50" w:before="50" w:line="252" w:lineRule="auto"/>
            </w:pPr>
            <w:r>
              <w:rPr>
                <w:sz w:val="17"/>
              </w:rPr>
              <w:t>Medium</w:t>
            </w:r>
          </w:p>
        </w:tc>
        <w:tc>
          <w:tcPr>
            <w:tcW w:type="dxa" w:w="850"/>
            <w:shd w:val="clear" w:color="auto" w:fill="EAF1F4"/>
          </w:tcPr>
          <w:p>
            <w:pPr>
              <w:spacing w:after="50" w:before="50" w:line="252" w:lineRule="auto"/>
            </w:pPr>
            <w:r>
              <w:rPr>
                <w:sz w:val="17"/>
              </w:rPr>
              <w:t>High</w:t>
            </w:r>
          </w:p>
        </w:tc>
        <w:tc>
          <w:tcPr>
            <w:tcW w:type="dxa" w:w="3532"/>
            <w:shd w:val="clear" w:color="auto" w:fill="EAF1F4"/>
          </w:tcPr>
          <w:p>
            <w:pPr>
              <w:spacing w:after="50" w:before="50" w:line="252" w:lineRule="auto"/>
            </w:pPr>
            <w:r>
              <w:rPr>
                <w:sz w:val="17"/>
              </w:rPr>
              <w:t>DPDP addendum (03.5); data protocol (08.3); DPO sign-off before any registration portal goes live</w:t>
            </w:r>
          </w:p>
        </w:tc>
        <w:tc>
          <w:tcPr>
            <w:tcW w:type="dxa" w:w="1017"/>
            <w:shd w:val="clear" w:color="auto" w:fill="EAF1F4"/>
          </w:tcPr>
          <w:p>
            <w:pPr>
              <w:spacing w:after="50" w:before="50" w:line="252" w:lineRule="auto"/>
            </w:pPr>
            <w:r>
              <w:rPr>
                <w:sz w:val="17"/>
              </w:rPr>
              <w:t>DPO</w:t>
            </w:r>
          </w:p>
        </w:tc>
      </w:tr>
      <w:tr>
        <w:tc>
          <w:tcPr>
            <w:tcW w:type="dxa" w:w="850"/>
          </w:tcPr>
          <w:p>
            <w:pPr>
              <w:spacing w:after="50" w:before="50" w:line="252" w:lineRule="auto"/>
            </w:pPr>
            <w:r>
              <w:rPr>
                <w:sz w:val="17"/>
              </w:rPr>
              <w:t>S5</w:t>
            </w:r>
          </w:p>
        </w:tc>
        <w:tc>
          <w:tcPr>
            <w:tcW w:type="dxa" w:w="3532"/>
          </w:tcPr>
          <w:p>
            <w:pPr>
              <w:spacing w:after="50" w:before="50" w:line="252" w:lineRule="auto"/>
            </w:pPr>
            <w:r>
              <w:rPr>
                <w:sz w:val="17"/>
              </w:rPr>
              <w:t>Safeguarding incident involving a student at an Equator programme</w:t>
            </w:r>
          </w:p>
        </w:tc>
        <w:tc>
          <w:tcPr>
            <w:tcW w:type="dxa" w:w="850"/>
          </w:tcPr>
          <w:p>
            <w:pPr>
              <w:spacing w:after="50" w:before="50" w:line="252" w:lineRule="auto"/>
            </w:pPr>
            <w:r>
              <w:rPr>
                <w:sz w:val="17"/>
              </w:rPr>
              <w:t>Low</w:t>
            </w:r>
          </w:p>
        </w:tc>
        <w:tc>
          <w:tcPr>
            <w:tcW w:type="dxa" w:w="850"/>
          </w:tcPr>
          <w:p>
            <w:pPr>
              <w:spacing w:after="50" w:before="50" w:line="252" w:lineRule="auto"/>
            </w:pPr>
            <w:r>
              <w:rPr>
                <w:sz w:val="17"/>
              </w:rPr>
              <w:t>Very high</w:t>
            </w:r>
          </w:p>
        </w:tc>
        <w:tc>
          <w:tcPr>
            <w:tcW w:type="dxa" w:w="3532"/>
          </w:tcPr>
          <w:p>
            <w:pPr>
              <w:spacing w:after="50" w:before="50" w:line="252" w:lineRule="auto"/>
            </w:pPr>
            <w:r>
              <w:rPr>
                <w:sz w:val="17"/>
              </w:rPr>
              <w:t>Safeguarding policy (07.10); trained staff; two-adult rule; incident escalation within 24 hours</w:t>
            </w:r>
          </w:p>
        </w:tc>
        <w:tc>
          <w:tcPr>
            <w:tcW w:type="dxa" w:w="1017"/>
          </w:tcPr>
          <w:p>
            <w:pPr>
              <w:spacing w:after="50" w:before="50" w:line="252" w:lineRule="auto"/>
            </w:pPr>
            <w:r>
              <w:rPr>
                <w:sz w:val="17"/>
              </w:rPr>
              <w:t>Head of Operations</w:t>
            </w:r>
          </w:p>
        </w:tc>
      </w:tr>
      <w:tr>
        <w:tc>
          <w:tcPr>
            <w:tcW w:type="dxa" w:w="850"/>
            <w:shd w:val="clear" w:color="auto" w:fill="EAF1F4"/>
          </w:tcPr>
          <w:p>
            <w:pPr>
              <w:spacing w:after="50" w:before="50" w:line="252" w:lineRule="auto"/>
            </w:pPr>
            <w:r>
              <w:rPr>
                <w:sz w:val="17"/>
              </w:rPr>
              <w:t>S6</w:t>
            </w:r>
          </w:p>
        </w:tc>
        <w:tc>
          <w:tcPr>
            <w:tcW w:type="dxa" w:w="3532"/>
            <w:shd w:val="clear" w:color="auto" w:fill="EAF1F4"/>
          </w:tcPr>
          <w:p>
            <w:pPr>
              <w:spacing w:after="50" w:before="50" w:line="252" w:lineRule="auto"/>
            </w:pPr>
            <w:r>
              <w:rPr>
                <w:sz w:val="17"/>
              </w:rPr>
              <w:t>Conflict of interest — partner university becomes a party to a dispute Equator administers</w:t>
            </w:r>
          </w:p>
        </w:tc>
        <w:tc>
          <w:tcPr>
            <w:tcW w:type="dxa" w:w="850"/>
            <w:shd w:val="clear" w:color="auto" w:fill="EAF1F4"/>
          </w:tcPr>
          <w:p>
            <w:pPr>
              <w:spacing w:after="50" w:before="50" w:line="252" w:lineRule="auto"/>
            </w:pPr>
            <w:r>
              <w:rPr>
                <w:sz w:val="17"/>
              </w:rPr>
              <w:t>Medium</w:t>
            </w:r>
          </w:p>
        </w:tc>
        <w:tc>
          <w:tcPr>
            <w:tcW w:type="dxa" w:w="850"/>
            <w:shd w:val="clear" w:color="auto" w:fill="EAF1F4"/>
          </w:tcPr>
          <w:p>
            <w:pPr>
              <w:spacing w:after="50" w:before="50" w:line="252" w:lineRule="auto"/>
            </w:pPr>
            <w:r>
              <w:rPr>
                <w:sz w:val="17"/>
              </w:rPr>
              <w:t>Medium</w:t>
            </w:r>
          </w:p>
        </w:tc>
        <w:tc>
          <w:tcPr>
            <w:tcW w:type="dxa" w:w="3532"/>
            <w:shd w:val="clear" w:color="auto" w:fill="EAF1F4"/>
          </w:tcPr>
          <w:p>
            <w:pPr>
              <w:spacing w:after="50" w:before="50" w:line="252" w:lineRule="auto"/>
            </w:pPr>
            <w:r>
              <w:rPr>
                <w:sz w:val="17"/>
              </w:rPr>
              <w:t>Conflict policy (07.9); disclosure and recusal protocol; separation of Institute and Resolution entities</w:t>
            </w:r>
          </w:p>
        </w:tc>
        <w:tc>
          <w:tcPr>
            <w:tcW w:type="dxa" w:w="1017"/>
            <w:shd w:val="clear" w:color="auto" w:fill="EAF1F4"/>
          </w:tcPr>
          <w:p>
            <w:pPr>
              <w:spacing w:after="50" w:before="50" w:line="252" w:lineRule="auto"/>
            </w:pPr>
            <w:r>
              <w:rPr>
                <w:sz w:val="17"/>
              </w:rPr>
              <w:t>Legal</w:t>
            </w:r>
          </w:p>
        </w:tc>
      </w:tr>
      <w:tr>
        <w:tc>
          <w:tcPr>
            <w:tcW w:type="dxa" w:w="850"/>
          </w:tcPr>
          <w:p>
            <w:pPr>
              <w:spacing w:after="50" w:before="50" w:line="252" w:lineRule="auto"/>
            </w:pPr>
            <w:r>
              <w:rPr>
                <w:sz w:val="17"/>
              </w:rPr>
              <w:t>S7</w:t>
            </w:r>
          </w:p>
        </w:tc>
        <w:tc>
          <w:tcPr>
            <w:tcW w:type="dxa" w:w="3532"/>
          </w:tcPr>
          <w:p>
            <w:pPr>
              <w:spacing w:after="50" w:before="50" w:line="252" w:lineRule="auto"/>
            </w:pPr>
            <w:r>
              <w:rPr>
                <w:sz w:val="17"/>
              </w:rPr>
              <w:t>Free-of-cost creep — paid programmes progressively given away</w:t>
            </w:r>
          </w:p>
        </w:tc>
        <w:tc>
          <w:tcPr>
            <w:tcW w:type="dxa" w:w="850"/>
          </w:tcPr>
          <w:p>
            <w:pPr>
              <w:spacing w:after="50" w:before="50" w:line="252" w:lineRule="auto"/>
            </w:pPr>
            <w:r>
              <w:rPr>
                <w:sz w:val="17"/>
              </w:rPr>
              <w:t>High</w:t>
            </w:r>
          </w:p>
        </w:tc>
        <w:tc>
          <w:tcPr>
            <w:tcW w:type="dxa" w:w="850"/>
          </w:tcPr>
          <w:p>
            <w:pPr>
              <w:spacing w:after="50" w:before="50" w:line="252" w:lineRule="auto"/>
            </w:pPr>
            <w:r>
              <w:rPr>
                <w:sz w:val="17"/>
              </w:rPr>
              <w:t>Medium</w:t>
            </w:r>
          </w:p>
        </w:tc>
        <w:tc>
          <w:tcPr>
            <w:tcW w:type="dxa" w:w="3532"/>
          </w:tcPr>
          <w:p>
            <w:pPr>
              <w:spacing w:after="50" w:before="50" w:line="252" w:lineRule="auto"/>
            </w:pPr>
            <w:r>
              <w:rPr>
                <w:sz w:val="17"/>
              </w:rPr>
              <w:t>Delegation of Authority (01.5); no discounts without written approval</w:t>
            </w:r>
          </w:p>
        </w:tc>
        <w:tc>
          <w:tcPr>
            <w:tcW w:type="dxa" w:w="1017"/>
          </w:tcPr>
          <w:p>
            <w:pPr>
              <w:spacing w:after="50" w:before="50" w:line="252" w:lineRule="auto"/>
            </w:pPr>
            <w:r>
              <w:rPr>
                <w:sz w:val="17"/>
              </w:rPr>
              <w:t>Finance</w:t>
            </w:r>
          </w:p>
        </w:tc>
      </w:tr>
      <w:tr>
        <w:tc>
          <w:tcPr>
            <w:tcW w:type="dxa" w:w="850"/>
            <w:shd w:val="clear" w:color="auto" w:fill="EAF1F4"/>
          </w:tcPr>
          <w:p>
            <w:pPr>
              <w:spacing w:after="50" w:before="50" w:line="252" w:lineRule="auto"/>
            </w:pPr>
            <w:r>
              <w:rPr>
                <w:sz w:val="17"/>
              </w:rPr>
              <w:t>S8</w:t>
            </w:r>
          </w:p>
        </w:tc>
        <w:tc>
          <w:tcPr>
            <w:tcW w:type="dxa" w:w="3532"/>
            <w:shd w:val="clear" w:color="auto" w:fill="EAF1F4"/>
          </w:tcPr>
          <w:p>
            <w:pPr>
              <w:spacing w:after="50" w:before="50" w:line="252" w:lineRule="auto"/>
            </w:pPr>
            <w:r>
              <w:rPr>
                <w:sz w:val="17"/>
              </w:rPr>
              <w:t>Key-person dependency on a small trainer bench</w:t>
            </w:r>
          </w:p>
        </w:tc>
        <w:tc>
          <w:tcPr>
            <w:tcW w:type="dxa" w:w="850"/>
            <w:shd w:val="clear" w:color="auto" w:fill="EAF1F4"/>
          </w:tcPr>
          <w:p>
            <w:pPr>
              <w:spacing w:after="50" w:before="50" w:line="252" w:lineRule="auto"/>
            </w:pPr>
            <w:r>
              <w:rPr>
                <w:sz w:val="17"/>
              </w:rPr>
              <w:t>High</w:t>
            </w:r>
          </w:p>
        </w:tc>
        <w:tc>
          <w:tcPr>
            <w:tcW w:type="dxa" w:w="850"/>
            <w:shd w:val="clear" w:color="auto" w:fill="EAF1F4"/>
          </w:tcPr>
          <w:p>
            <w:pPr>
              <w:spacing w:after="50" w:before="50" w:line="252" w:lineRule="auto"/>
            </w:pPr>
            <w:r>
              <w:rPr>
                <w:sz w:val="17"/>
              </w:rPr>
              <w:t>Medium</w:t>
            </w:r>
          </w:p>
        </w:tc>
        <w:tc>
          <w:tcPr>
            <w:tcW w:type="dxa" w:w="3532"/>
            <w:shd w:val="clear" w:color="auto" w:fill="EAF1F4"/>
          </w:tcPr>
          <w:p>
            <w:pPr>
              <w:spacing w:after="50" w:before="50" w:line="252" w:lineRule="auto"/>
            </w:pPr>
            <w:r>
              <w:rPr>
                <w:sz w:val="17"/>
              </w:rPr>
              <w:t>Train-the-trainer programme; minimum bench of twelve certified trainers before scaling</w:t>
            </w:r>
          </w:p>
        </w:tc>
        <w:tc>
          <w:tcPr>
            <w:tcW w:type="dxa" w:w="1017"/>
            <w:shd w:val="clear" w:color="auto" w:fill="EAF1F4"/>
          </w:tcPr>
          <w:p>
            <w:pPr>
              <w:spacing w:after="50" w:before="50" w:line="252" w:lineRule="auto"/>
            </w:pPr>
            <w:r>
              <w:rPr>
                <w:sz w:val="17"/>
              </w:rPr>
              <w:t>Head of Curriculum</w:t>
            </w:r>
          </w:p>
        </w:tc>
      </w:tr>
      <w:tr>
        <w:tc>
          <w:tcPr>
            <w:tcW w:type="dxa" w:w="850"/>
          </w:tcPr>
          <w:p>
            <w:pPr>
              <w:spacing w:after="50" w:before="50" w:line="252" w:lineRule="auto"/>
            </w:pPr>
            <w:r>
              <w:rPr>
                <w:sz w:val="17"/>
              </w:rPr>
              <w:t>S9</w:t>
            </w:r>
          </w:p>
        </w:tc>
        <w:tc>
          <w:tcPr>
            <w:tcW w:type="dxa" w:w="3532"/>
          </w:tcPr>
          <w:p>
            <w:pPr>
              <w:spacing w:after="50" w:before="50" w:line="252" w:lineRule="auto"/>
            </w:pPr>
            <w:r>
              <w:rPr>
                <w:sz w:val="17"/>
              </w:rPr>
              <w:t>Competition reputational failure — poor judging, disputed result</w:t>
            </w:r>
          </w:p>
        </w:tc>
        <w:tc>
          <w:tcPr>
            <w:tcW w:type="dxa" w:w="850"/>
          </w:tcPr>
          <w:p>
            <w:pPr>
              <w:spacing w:after="50" w:before="50" w:line="252" w:lineRule="auto"/>
            </w:pPr>
            <w:r>
              <w:rPr>
                <w:sz w:val="17"/>
              </w:rPr>
              <w:t>Medium</w:t>
            </w:r>
          </w:p>
        </w:tc>
        <w:tc>
          <w:tcPr>
            <w:tcW w:type="dxa" w:w="850"/>
          </w:tcPr>
          <w:p>
            <w:pPr>
              <w:spacing w:after="50" w:before="50" w:line="252" w:lineRule="auto"/>
            </w:pPr>
            <w:r>
              <w:rPr>
                <w:sz w:val="17"/>
              </w:rPr>
              <w:t>High</w:t>
            </w:r>
          </w:p>
        </w:tc>
        <w:tc>
          <w:tcPr>
            <w:tcW w:type="dxa" w:w="3532"/>
          </w:tcPr>
          <w:p>
            <w:pPr>
              <w:spacing w:after="50" w:before="50" w:line="252" w:lineRule="auto"/>
            </w:pPr>
            <w:r>
              <w:rPr>
                <w:sz w:val="17"/>
              </w:rPr>
              <w:t>Calibration pack (06.8); appeals process in the rules; supervisor at every session</w:t>
            </w:r>
          </w:p>
        </w:tc>
        <w:tc>
          <w:tcPr>
            <w:tcW w:type="dxa" w:w="1017"/>
          </w:tcPr>
          <w:p>
            <w:pPr>
              <w:spacing w:after="50" w:before="50" w:line="252" w:lineRule="auto"/>
            </w:pPr>
            <w:r>
              <w:rPr>
                <w:sz w:val="17"/>
              </w:rPr>
              <w:t>Competition Convenor</w:t>
            </w:r>
          </w:p>
        </w:tc>
      </w:tr>
      <w:tr>
        <w:tc>
          <w:tcPr>
            <w:tcW w:type="dxa" w:w="850"/>
            <w:shd w:val="clear" w:color="auto" w:fill="EAF1F4"/>
          </w:tcPr>
          <w:p>
            <w:pPr>
              <w:spacing w:after="50" w:before="50" w:line="252" w:lineRule="auto"/>
            </w:pPr>
            <w:r>
              <w:rPr>
                <w:sz w:val="17"/>
              </w:rPr>
              <w:t>S10</w:t>
            </w:r>
          </w:p>
        </w:tc>
        <w:tc>
          <w:tcPr>
            <w:tcW w:type="dxa" w:w="3532"/>
            <w:shd w:val="clear" w:color="auto" w:fill="EAF1F4"/>
          </w:tcPr>
          <w:p>
            <w:pPr>
              <w:spacing w:after="50" w:before="50" w:line="252" w:lineRule="auto"/>
            </w:pPr>
            <w:r>
              <w:rPr>
                <w:sz w:val="17"/>
              </w:rPr>
              <w:t>Unpaid or underpaid interns performing commercial work</w:t>
            </w:r>
          </w:p>
        </w:tc>
        <w:tc>
          <w:tcPr>
            <w:tcW w:type="dxa" w:w="850"/>
            <w:shd w:val="clear" w:color="auto" w:fill="EAF1F4"/>
          </w:tcPr>
          <w:p>
            <w:pPr>
              <w:spacing w:after="50" w:before="50" w:line="252" w:lineRule="auto"/>
            </w:pPr>
            <w:r>
              <w:rPr>
                <w:sz w:val="17"/>
              </w:rPr>
              <w:t>Medium</w:t>
            </w:r>
          </w:p>
        </w:tc>
        <w:tc>
          <w:tcPr>
            <w:tcW w:type="dxa" w:w="850"/>
            <w:shd w:val="clear" w:color="auto" w:fill="EAF1F4"/>
          </w:tcPr>
          <w:p>
            <w:pPr>
              <w:spacing w:after="50" w:before="50" w:line="252" w:lineRule="auto"/>
            </w:pPr>
            <w:r>
              <w:rPr>
                <w:sz w:val="17"/>
              </w:rPr>
              <w:t>High</w:t>
            </w:r>
          </w:p>
        </w:tc>
        <w:tc>
          <w:tcPr>
            <w:tcW w:type="dxa" w:w="3532"/>
            <w:shd w:val="clear" w:color="auto" w:fill="EAF1F4"/>
          </w:tcPr>
          <w:p>
            <w:pPr>
              <w:spacing w:after="50" w:before="50" w:line="252" w:lineRule="auto"/>
            </w:pPr>
            <w:r>
              <w:rPr>
                <w:sz w:val="17"/>
              </w:rPr>
              <w:t xml:space="preserve">Internship agreement (03.8); stipend policy; genuine educational content </w:t>
            </w:r>
            <w:r>
              <w:rPr>
                <w:b/>
                <w:sz w:val="17"/>
              </w:rPr>
              <w:t>[verify — HR + Legal]</w:t>
            </w:r>
          </w:p>
        </w:tc>
        <w:tc>
          <w:tcPr>
            <w:tcW w:type="dxa" w:w="1017"/>
            <w:shd w:val="clear" w:color="auto" w:fill="EAF1F4"/>
          </w:tcPr>
          <w:p>
            <w:pPr>
              <w:spacing w:after="50" w:before="50" w:line="252" w:lineRule="auto"/>
            </w:pPr>
            <w:r>
              <w:rPr>
                <w:sz w:val="17"/>
              </w:rPr>
              <w:t>HR</w:t>
            </w:r>
          </w:p>
        </w:tc>
      </w:tr>
    </w:tbl>
    <w:p>
      <w:pPr>
        <w:spacing w:after="80" w:before="0"/>
      </w:pPr>
    </w:p>
    <w:p>
      <w:pPr>
        <w:spacing w:before="80" w:after="160"/>
        <w:pBdr>
          <w:bottom w:val="single" w:sz="6" w:space="1" w:color="C9D6DE"/>
        </w:pBdr>
      </w:pPr>
    </w:p>
    <w:p>
      <w:pPr>
        <w:pStyle w:val="Heading1"/>
        <w:pBdr>
          <w:bottom w:val="single" w:sz="8" w:space="4" w:color="C9D6DE"/>
        </w:pBdr>
      </w:pPr>
      <w:r>
        <w:t>9. What success looks like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Horizon</w:t>
            </w:r>
          </w:p>
        </w:tc>
        <w:tc>
          <w:tcPr>
            <w:tcW w:type="dxa" w:w="2082"/>
            <w:shd w:val="clear" w:color="auto" w:fill="10375C"/>
          </w:tcPr>
          <w:p>
            <w:pPr>
              <w:spacing w:after="50" w:before="50"/>
            </w:pPr>
            <w:r>
              <w:rPr>
                <w:b/>
                <w:color w:val="FFFFFF"/>
                <w:sz w:val="17"/>
              </w:rPr>
              <w:t>Partnerships</w:t>
            </w:r>
          </w:p>
        </w:tc>
        <w:tc>
          <w:tcPr>
            <w:tcW w:type="dxa" w:w="2016"/>
            <w:shd w:val="clear" w:color="auto" w:fill="10375C"/>
          </w:tcPr>
          <w:p>
            <w:pPr>
              <w:spacing w:after="50" w:before="50"/>
            </w:pPr>
            <w:r>
              <w:rPr>
                <w:b/>
                <w:color w:val="FFFFFF"/>
                <w:sz w:val="17"/>
              </w:rPr>
              <w:t>People trained</w:t>
            </w:r>
          </w:p>
        </w:tc>
        <w:tc>
          <w:tcPr>
            <w:tcW w:type="dxa" w:w="1035"/>
            <w:shd w:val="clear" w:color="auto" w:fill="10375C"/>
          </w:tcPr>
          <w:p>
            <w:pPr>
              <w:spacing w:after="50" w:before="50"/>
            </w:pPr>
            <w:r>
              <w:rPr>
                <w:b/>
                <w:color w:val="FFFFFF"/>
                <w:sz w:val="17"/>
              </w:rPr>
              <w:t>Revenue</w:t>
            </w:r>
          </w:p>
        </w:tc>
        <w:tc>
          <w:tcPr>
            <w:tcW w:type="dxa" w:w="3786"/>
            <w:shd w:val="clear" w:color="auto" w:fill="10375C"/>
          </w:tcPr>
          <w:p>
            <w:pPr>
              <w:spacing w:after="50" w:before="50"/>
            </w:pPr>
            <w:r>
              <w:rPr>
                <w:b/>
                <w:color w:val="FFFFFF"/>
                <w:sz w:val="17"/>
              </w:rPr>
              <w:t>Credibility marker</w:t>
            </w:r>
          </w:p>
        </w:tc>
      </w:tr>
      <w:tr>
        <w:tc>
          <w:tcPr>
            <w:tcW w:type="dxa" w:w="850"/>
          </w:tcPr>
          <w:p>
            <w:pPr>
              <w:spacing w:after="50" w:before="50" w:line="252" w:lineRule="auto"/>
            </w:pPr>
            <w:r>
              <w:rPr>
                <w:sz w:val="17"/>
              </w:rPr>
              <w:t>Year 1</w:t>
            </w:r>
          </w:p>
        </w:tc>
        <w:tc>
          <w:tcPr>
            <w:tcW w:type="dxa" w:w="2082"/>
          </w:tcPr>
          <w:p>
            <w:pPr>
              <w:spacing w:after="50" w:before="50" w:line="252" w:lineRule="auto"/>
            </w:pPr>
            <w:r>
              <w:rPr>
                <w:sz w:val="17"/>
              </w:rPr>
              <w:t>2 Tier 1, 4 Tier 2</w:t>
            </w:r>
          </w:p>
        </w:tc>
        <w:tc>
          <w:tcPr>
            <w:tcW w:type="dxa" w:w="2016"/>
          </w:tcPr>
          <w:p>
            <w:pPr>
              <w:spacing w:after="50" w:before="50" w:line="252" w:lineRule="auto"/>
            </w:pPr>
            <w:r>
              <w:rPr>
                <w:sz w:val="17"/>
              </w:rPr>
              <w:t>250 students, 40 faculty</w:t>
            </w:r>
          </w:p>
        </w:tc>
        <w:tc>
          <w:tcPr>
            <w:tcW w:type="dxa" w:w="1035"/>
          </w:tcPr>
          <w:p>
            <w:pPr>
              <w:spacing w:after="50" w:before="50" w:line="252" w:lineRule="auto"/>
            </w:pPr>
            <w:r>
              <w:rPr>
                <w:sz w:val="17"/>
              </w:rPr>
              <w:t>₹35–55 lakh</w:t>
            </w:r>
          </w:p>
        </w:tc>
        <w:tc>
          <w:tcPr>
            <w:tcW w:type="dxa" w:w="3786"/>
          </w:tcPr>
          <w:p>
            <w:pPr>
              <w:spacing w:after="50" w:before="50" w:line="252" w:lineRule="auto"/>
            </w:pPr>
            <w:r>
              <w:rPr>
                <w:sz w:val="17"/>
              </w:rPr>
              <w:t>First competition edition delivered; first case study published</w:t>
            </w:r>
          </w:p>
        </w:tc>
      </w:tr>
      <w:tr>
        <w:tc>
          <w:tcPr>
            <w:tcW w:type="dxa" w:w="850"/>
            <w:shd w:val="clear" w:color="auto" w:fill="EAF1F4"/>
          </w:tcPr>
          <w:p>
            <w:pPr>
              <w:spacing w:after="50" w:before="50" w:line="252" w:lineRule="auto"/>
            </w:pPr>
            <w:r>
              <w:rPr>
                <w:sz w:val="17"/>
              </w:rPr>
              <w:t>Year 2</w:t>
            </w:r>
          </w:p>
        </w:tc>
        <w:tc>
          <w:tcPr>
            <w:tcW w:type="dxa" w:w="2082"/>
            <w:shd w:val="clear" w:color="auto" w:fill="EAF1F4"/>
          </w:tcPr>
          <w:p>
            <w:pPr>
              <w:spacing w:after="50" w:before="50" w:line="252" w:lineRule="auto"/>
            </w:pPr>
            <w:r>
              <w:rPr>
                <w:sz w:val="17"/>
              </w:rPr>
              <w:t>3 Tier 1, 12 Tier 2, 20 Tier 3</w:t>
            </w:r>
          </w:p>
        </w:tc>
        <w:tc>
          <w:tcPr>
            <w:tcW w:type="dxa" w:w="2016"/>
            <w:shd w:val="clear" w:color="auto" w:fill="EAF1F4"/>
          </w:tcPr>
          <w:p>
            <w:pPr>
              <w:spacing w:after="50" w:before="50" w:line="252" w:lineRule="auto"/>
            </w:pPr>
            <w:r>
              <w:rPr>
                <w:sz w:val="17"/>
              </w:rPr>
              <w:t>900 students, 120 faculty</w:t>
            </w:r>
          </w:p>
        </w:tc>
        <w:tc>
          <w:tcPr>
            <w:tcW w:type="dxa" w:w="1035"/>
            <w:shd w:val="clear" w:color="auto" w:fill="EAF1F4"/>
          </w:tcPr>
          <w:p>
            <w:pPr>
              <w:spacing w:after="50" w:before="50" w:line="252" w:lineRule="auto"/>
            </w:pPr>
            <w:r>
              <w:rPr>
                <w:sz w:val="17"/>
              </w:rPr>
              <w:t>₹1.4–2.1 crore</w:t>
            </w:r>
          </w:p>
        </w:tc>
        <w:tc>
          <w:tcPr>
            <w:tcW w:type="dxa" w:w="3786"/>
            <w:shd w:val="clear" w:color="auto" w:fill="EAF1F4"/>
          </w:tcPr>
          <w:p>
            <w:pPr>
              <w:spacing w:after="50" w:before="50" w:line="252" w:lineRule="auto"/>
            </w:pPr>
            <w:r>
              <w:rPr>
                <w:sz w:val="17"/>
              </w:rPr>
              <w:t>National competition with 40+ teams; first annual research report</w:t>
            </w:r>
          </w:p>
        </w:tc>
      </w:tr>
      <w:tr>
        <w:tc>
          <w:tcPr>
            <w:tcW w:type="dxa" w:w="850"/>
          </w:tcPr>
          <w:p>
            <w:pPr>
              <w:spacing w:after="50" w:before="50" w:line="252" w:lineRule="auto"/>
            </w:pPr>
            <w:r>
              <w:rPr>
                <w:sz w:val="17"/>
              </w:rPr>
              <w:t>Year 3</w:t>
            </w:r>
          </w:p>
        </w:tc>
        <w:tc>
          <w:tcPr>
            <w:tcW w:type="dxa" w:w="2082"/>
          </w:tcPr>
          <w:p>
            <w:pPr>
              <w:spacing w:after="50" w:before="50" w:line="252" w:lineRule="auto"/>
            </w:pPr>
            <w:r>
              <w:rPr>
                <w:sz w:val="17"/>
              </w:rPr>
              <w:t>5 Tier 1, 18 Tier 2, 45 Tier 3</w:t>
            </w:r>
          </w:p>
        </w:tc>
        <w:tc>
          <w:tcPr>
            <w:tcW w:type="dxa" w:w="2016"/>
          </w:tcPr>
          <w:p>
            <w:pPr>
              <w:spacing w:after="50" w:before="50" w:line="252" w:lineRule="auto"/>
            </w:pPr>
            <w:r>
              <w:rPr>
                <w:sz w:val="17"/>
              </w:rPr>
              <w:t>2,000 students, 250 faculty</w:t>
            </w:r>
          </w:p>
        </w:tc>
        <w:tc>
          <w:tcPr>
            <w:tcW w:type="dxa" w:w="1035"/>
          </w:tcPr>
          <w:p>
            <w:pPr>
              <w:spacing w:after="50" w:before="50" w:line="252" w:lineRule="auto"/>
            </w:pPr>
            <w:r>
              <w:rPr>
                <w:sz w:val="17"/>
              </w:rPr>
              <w:t>₹3.2–4.5 crore</w:t>
            </w:r>
          </w:p>
        </w:tc>
        <w:tc>
          <w:tcPr>
            <w:tcW w:type="dxa" w:w="3786"/>
          </w:tcPr>
          <w:p>
            <w:pPr>
              <w:spacing w:after="50" w:before="50" w:line="252" w:lineRule="auto"/>
            </w:pPr>
            <w:r>
              <w:rPr>
                <w:sz w:val="17"/>
              </w:rPr>
              <w:t>Curriculum licensed to third parties; judicial and Council engagement</w:t>
            </w:r>
          </w:p>
        </w:tc>
      </w:tr>
    </w:tbl>
    <w:p>
      <w:pPr>
        <w:spacing w:after="80" w:before="0"/>
      </w:pPr>
    </w:p>
    <w:p>
      <w:r>
        <w:t xml:space="preserve">These are planning figures for internal target-setting, not forecasts. They are derived in </w:t>
      </w:r>
      <w:r>
        <w:rPr>
          <w:b/>
        </w:rPr>
        <w:t>04.2</w:t>
      </w:r>
      <w:r>
        <w:t xml:space="preserve"> and must be re-based after the first full delivery cycle.</w:t>
      </w:r>
    </w:p>
    <w:p>
      <w:pPr>
        <w:spacing w:before="80" w:after="160"/>
        <w:pBdr>
          <w:bottom w:val="single" w:sz="6" w:space="1" w:color="C9D6DE"/>
        </w:pBdr>
      </w:pPr>
    </w:p>
    <w:p>
      <w:pPr>
        <w:pStyle w:val="Heading1"/>
        <w:pBdr>
          <w:bottom w:val="single" w:sz="8" w:space="4" w:color="C9D6DE"/>
        </w:pBdr>
      </w:pPr>
      <w:r>
        <w:t>10. The ten operating rules</w:t>
      </w:r>
    </w:p>
    <w:p>
      <w:pPr>
        <w:pStyle w:val="ListNumber"/>
      </w:pPr>
      <w:r>
        <w:rPr>
          <w:sz w:val="21"/>
        </w:rPr>
        <w:t>Score before you approach. No unscored institution receives Equator time.</w:t>
      </w:r>
    </w:p>
    <w:p>
      <w:pPr>
        <w:pStyle w:val="ListNumber"/>
      </w:pPr>
      <w:r>
        <w:rPr>
          <w:sz w:val="21"/>
        </w:rPr>
        <w:t>Lead with their compliance problem, not our catalogue.</w:t>
      </w:r>
    </w:p>
    <w:p>
      <w:pPr>
        <w:pStyle w:val="ListNumber"/>
      </w:pPr>
      <w:r>
        <w:rPr>
          <w:sz w:val="21"/>
        </w:rPr>
        <w:t>Find the champion in the first meeting, and give them something they personally want.</w:t>
      </w:r>
    </w:p>
    <w:p>
      <w:pPr>
        <w:pStyle w:val="ListNumber"/>
      </w:pPr>
      <w:r>
        <w:rPr>
          <w:sz w:val="21"/>
        </w:rPr>
        <w:t>One Master MOU. Vary the schedules, never the body.</w:t>
      </w:r>
    </w:p>
    <w:p>
      <w:pPr>
        <w:pStyle w:val="ListNumber"/>
      </w:pPr>
      <w:r>
        <w:rPr>
          <w:sz w:val="21"/>
        </w:rPr>
        <w:t>Never quote off the rate card without written authority.</w:t>
      </w:r>
    </w:p>
    <w:p>
      <w:pPr>
        <w:pStyle w:val="ListNumber"/>
      </w:pPr>
      <w:r>
        <w:rPr>
          <w:sz w:val="21"/>
        </w:rPr>
        <w:t>Every MOU carries a minimum activity commitment and an automatic lapse.</w:t>
      </w:r>
    </w:p>
    <w:p>
      <w:pPr>
        <w:pStyle w:val="ListNumber"/>
      </w:pPr>
      <w:r>
        <w:rPr>
          <w:sz w:val="21"/>
        </w:rPr>
        <w:t>Instrument everything. A programme that generated no data did not happen.</w:t>
      </w:r>
    </w:p>
    <w:p>
      <w:pPr>
        <w:pStyle w:val="ListNumber"/>
      </w:pPr>
      <w:r>
        <w:rPr>
          <w:sz w:val="21"/>
        </w:rPr>
        <w:t>Standardise the curriculum; charge for customisation.</w:t>
      </w:r>
    </w:p>
    <w:p>
      <w:pPr>
        <w:pStyle w:val="ListNumber"/>
      </w:pPr>
      <w:r>
        <w:rPr>
          <w:sz w:val="21"/>
        </w:rPr>
        <w:t>Refuse the flattering invitation that fails the three-outcome test.</w:t>
      </w:r>
    </w:p>
    <w:p>
      <w:pPr>
        <w:pStyle w:val="ListNumber"/>
      </w:pPr>
      <w:r>
        <w:rPr>
          <w:sz w:val="21"/>
        </w:rPr>
        <w:t>Let dead partnerships die quietly at renewal, and reallocate the effort.</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EQ-UAP-011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University Partnership Strategy &amp; Playbook</w:t>
    </w:r>
    <w:r>
      <w:rPr>
        <w:rFonts w:ascii="Calibri" w:hAnsi="Calibri"/>
        <w:color w:val="595959"/>
        <w:sz w:val="16"/>
      </w:rPr>
      <w:tab/>
      <w:t>Confidential — Internal (Strictly)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79AED48-58DB-4998-9492-DAC61187E32A}"/>
</file>

<file path=customXml/itemProps3.xml><?xml version="1.0" encoding="utf-8"?>
<ds:datastoreItem xmlns:ds="http://schemas.openxmlformats.org/officeDocument/2006/customXml" ds:itemID="{E9B17699-A535-4004-A186-B85D630BEC0D}"/>
</file>

<file path=customXml/itemProps4.xml><?xml version="1.0" encoding="utf-8"?>
<ds:datastoreItem xmlns:ds="http://schemas.openxmlformats.org/officeDocument/2006/customXml" ds:itemID="{48C36250-B6A8-42E8-A1AF-5704DC796C3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