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Regulatory &amp; Market Landscape Report</w:t>
      </w:r>
    </w:p>
    <w:p>
      <w:pPr>
        <w:spacing w:after="280" w:line="276" w:lineRule="auto"/>
      </w:pPr>
      <w:r>
        <w:rPr>
          <w:rFonts w:ascii="Calibri" w:hAnsi="Calibri"/>
          <w:i/>
          <w:color w:val="3E6B8A"/>
          <w:sz w:val="25"/>
        </w:rPr>
        <w:t>The statutory, regulatory and market conditions that make a university partnership programme viable — and the constraints that shape it</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EQ-UAP-012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Strategy</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Purpose and scope</w:t>
      </w:r>
    </w:p>
    <w:p>
      <w:r>
        <w:t>This report states the legal and market conditions on which the University Partnership Programme is built. It is the evidential base for the strategy in 01.1, the compliance base for the contracting suite in folder 03, and the marketing-claims base for folder 09.</w:t>
      </w:r>
    </w:p>
    <w:p>
      <w:r>
        <w:t xml:space="preserve">Law is stated as at </w:t>
      </w:r>
      <w:r>
        <w:rPr>
          <w:b/>
        </w:rPr>
        <w:t>22 July 2026</w:t>
      </w:r>
      <w:r>
        <w:t xml:space="preserve">. Every proposition marked </w:t>
      </w:r>
      <w:r>
        <w:rPr>
          <w:b/>
        </w:rPr>
        <w:t>[verify]</w:t>
      </w:r>
      <w:r>
        <w:t xml:space="preserve"> requires confirmation against a primary source and counsel's opinion before external use.</w:t>
      </w:r>
    </w:p>
    <w:p>
      <w:pPr>
        <w:spacing w:before="80" w:after="160"/>
        <w:pBdr>
          <w:bottom w:val="single" w:sz="6" w:space="1" w:color="C9D6DE"/>
        </w:pBdr>
      </w:pPr>
    </w:p>
    <w:p>
      <w:pPr>
        <w:pStyle w:val="Heading1"/>
        <w:pBdr>
          <w:bottom w:val="single" w:sz="8" w:space="4" w:color="C9D6DE"/>
        </w:pBdr>
      </w:pPr>
      <w:r>
        <w:t>1. The mediation statute</w:t>
      </w:r>
    </w:p>
    <w:p>
      <w:pPr>
        <w:pStyle w:val="Heading2"/>
      </w:pPr>
      <w:r>
        <w:t>1.1 The Mediation Act, 2023</w:t>
      </w:r>
    </w:p>
    <w:p>
      <w:r>
        <w:t>The Mediation Act, 2023 provides India's first consolidated statutory framework for mediation. The provisions material to this programme are: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226"/>
            <w:shd w:val="clear" w:color="auto" w:fill="10375C"/>
          </w:tcPr>
          <w:p>
            <w:pPr>
              <w:spacing w:after="50" w:before="50"/>
            </w:pPr>
            <w:r>
              <w:rPr>
                <w:b/>
                <w:color w:val="FFFFFF"/>
                <w:sz w:val="17"/>
              </w:rPr>
              <w:t>Provision</w:t>
            </w:r>
          </w:p>
        </w:tc>
        <w:tc>
          <w:tcPr>
            <w:tcW w:type="dxa" w:w="3621"/>
            <w:shd w:val="clear" w:color="auto" w:fill="10375C"/>
          </w:tcPr>
          <w:p>
            <w:pPr>
              <w:spacing w:after="50" w:before="50"/>
            </w:pPr>
            <w:r>
              <w:rPr>
                <w:b/>
                <w:color w:val="FFFFFF"/>
                <w:sz w:val="17"/>
              </w:rPr>
              <w:t>Effect</w:t>
            </w:r>
          </w:p>
        </w:tc>
        <w:tc>
          <w:tcPr>
            <w:tcW w:type="dxa" w:w="3621"/>
            <w:shd w:val="clear" w:color="auto" w:fill="10375C"/>
          </w:tcPr>
          <w:p>
            <w:pPr>
              <w:spacing w:after="50" w:before="50"/>
            </w:pPr>
            <w:r>
              <w:rPr>
                <w:b/>
                <w:color w:val="FFFFFF"/>
                <w:sz w:val="17"/>
              </w:rPr>
              <w:t>Relevance to the programme</w:t>
            </w:r>
          </w:p>
        </w:tc>
      </w:tr>
      <w:tr>
        <w:tc>
          <w:tcPr>
            <w:tcW w:type="dxa" w:w="2226"/>
          </w:tcPr>
          <w:p>
            <w:pPr>
              <w:spacing w:after="50" w:before="50" w:line="252" w:lineRule="auto"/>
            </w:pPr>
            <w:r>
              <w:rPr>
                <w:sz w:val="17"/>
              </w:rPr>
              <w:t>Pre-litigation mediation</w:t>
            </w:r>
          </w:p>
        </w:tc>
        <w:tc>
          <w:tcPr>
            <w:tcW w:type="dxa" w:w="3621"/>
          </w:tcPr>
          <w:p>
            <w:pPr>
              <w:spacing w:after="50" w:before="50" w:line="252" w:lineRule="auto"/>
            </w:pPr>
            <w:r>
              <w:rPr>
                <w:sz w:val="17"/>
              </w:rPr>
              <w:t>Parties to a civil or commercial dispute may, irrespective of the existence of a mediation agreement, voluntarily and by mutual consent seek to settle before instituting a suit</w:t>
            </w:r>
          </w:p>
        </w:tc>
        <w:tc>
          <w:tcPr>
            <w:tcW w:type="dxa" w:w="3621"/>
          </w:tcPr>
          <w:p>
            <w:pPr>
              <w:spacing w:after="50" w:before="50" w:line="252" w:lineRule="auto"/>
            </w:pPr>
            <w:r>
              <w:rPr>
                <w:sz w:val="17"/>
              </w:rPr>
              <w:t>Creates the demand base for trained mediators and for institutional mediation service providers</w:t>
            </w:r>
          </w:p>
        </w:tc>
      </w:tr>
      <w:tr>
        <w:tc>
          <w:tcPr>
            <w:tcW w:type="dxa" w:w="2226"/>
            <w:shd w:val="clear" w:color="auto" w:fill="EAF1F4"/>
          </w:tcPr>
          <w:p>
            <w:pPr>
              <w:spacing w:after="50" w:before="50" w:line="252" w:lineRule="auto"/>
            </w:pPr>
            <w:r>
              <w:rPr>
                <w:sz w:val="17"/>
              </w:rPr>
              <w:t>Confidentiality</w:t>
            </w:r>
          </w:p>
        </w:tc>
        <w:tc>
          <w:tcPr>
            <w:tcW w:type="dxa" w:w="3621"/>
            <w:shd w:val="clear" w:color="auto" w:fill="EAF1F4"/>
          </w:tcPr>
          <w:p>
            <w:pPr>
              <w:spacing w:after="50" w:before="50" w:line="252" w:lineRule="auto"/>
            </w:pPr>
            <w:r>
              <w:rPr>
                <w:sz w:val="17"/>
              </w:rPr>
              <w:t>The mediator, the mediation service provider and the parties are obliged to keep confidential statements, proposals, documents and communications exchanged in mediation; audio and video recording of proceedings is prohibited; information is not admissible in subsequent court or arbitral proceedings</w:t>
            </w:r>
          </w:p>
        </w:tc>
        <w:tc>
          <w:tcPr>
            <w:tcW w:type="dxa" w:w="3621"/>
            <w:shd w:val="clear" w:color="auto" w:fill="EAF1F4"/>
          </w:tcPr>
          <w:p>
            <w:pPr>
              <w:spacing w:after="50" w:before="50" w:line="252" w:lineRule="auto"/>
            </w:pPr>
            <w:r>
              <w:rPr>
                <w:sz w:val="17"/>
              </w:rPr>
              <w:t>Governs every live-clinic and observation activity. Students may not record, and must be bound by written confidentiality undertakings before any exposure to a live matter</w:t>
            </w:r>
          </w:p>
        </w:tc>
      </w:tr>
      <w:tr>
        <w:tc>
          <w:tcPr>
            <w:tcW w:type="dxa" w:w="2226"/>
          </w:tcPr>
          <w:p>
            <w:pPr>
              <w:spacing w:after="50" w:before="50" w:line="252" w:lineRule="auto"/>
            </w:pPr>
            <w:r>
              <w:rPr>
                <w:sz w:val="17"/>
              </w:rPr>
              <w:t>Enforcement of mediated settlement agreements</w:t>
            </w:r>
          </w:p>
        </w:tc>
        <w:tc>
          <w:tcPr>
            <w:tcW w:type="dxa" w:w="3621"/>
          </w:tcPr>
          <w:p>
            <w:pPr>
              <w:spacing w:after="50" w:before="50" w:line="252" w:lineRule="auto"/>
            </w:pPr>
            <w:r>
              <w:rPr>
                <w:sz w:val="17"/>
              </w:rPr>
              <w:t>A mediated settlement agreement is enforceable in the manner of a judgment or decree, with the Act aligning enforcement to the regime under section 36 of the Arbitration and Conciliation Act, 1996</w:t>
            </w:r>
          </w:p>
        </w:tc>
        <w:tc>
          <w:tcPr>
            <w:tcW w:type="dxa" w:w="3621"/>
          </w:tcPr>
          <w:p>
            <w:pPr>
              <w:spacing w:after="50" w:before="50" w:line="252" w:lineRule="auto"/>
            </w:pPr>
            <w:r>
              <w:rPr>
                <w:sz w:val="17"/>
              </w:rPr>
              <w:t>Underpins the professional seriousness of the qualification Equator teaches</w:t>
            </w:r>
          </w:p>
        </w:tc>
      </w:tr>
      <w:tr>
        <w:tc>
          <w:tcPr>
            <w:tcW w:type="dxa" w:w="2226"/>
            <w:shd w:val="clear" w:color="auto" w:fill="EAF1F4"/>
          </w:tcPr>
          <w:p>
            <w:pPr>
              <w:spacing w:after="50" w:before="50" w:line="252" w:lineRule="auto"/>
            </w:pPr>
            <w:r>
              <w:rPr>
                <w:sz w:val="17"/>
              </w:rPr>
              <w:t>Time limit</w:t>
            </w:r>
          </w:p>
        </w:tc>
        <w:tc>
          <w:tcPr>
            <w:tcW w:type="dxa" w:w="3621"/>
            <w:shd w:val="clear" w:color="auto" w:fill="EAF1F4"/>
          </w:tcPr>
          <w:p>
            <w:pPr>
              <w:spacing w:after="50" w:before="50" w:line="252" w:lineRule="auto"/>
            </w:pPr>
            <w:r>
              <w:rPr>
                <w:sz w:val="17"/>
              </w:rPr>
              <w:t>Mediation is to be completed within 120 days of the mediator's first appearance, extendable by up to 60 days with the consent of the parties</w:t>
            </w:r>
          </w:p>
        </w:tc>
        <w:tc>
          <w:tcPr>
            <w:tcW w:type="dxa" w:w="3621"/>
            <w:shd w:val="clear" w:color="auto" w:fill="EAF1F4"/>
          </w:tcPr>
          <w:p>
            <w:pPr>
              <w:spacing w:after="50" w:before="50" w:line="252" w:lineRule="auto"/>
            </w:pPr>
            <w:r>
              <w:rPr>
                <w:sz w:val="17"/>
              </w:rPr>
              <w:t>Drives curriculum content on process management and pace</w:t>
            </w:r>
          </w:p>
        </w:tc>
      </w:tr>
      <w:tr>
        <w:tc>
          <w:tcPr>
            <w:tcW w:type="dxa" w:w="2226"/>
          </w:tcPr>
          <w:p>
            <w:pPr>
              <w:spacing w:after="50" w:before="50" w:line="252" w:lineRule="auto"/>
            </w:pPr>
            <w:r>
              <w:rPr>
                <w:sz w:val="17"/>
              </w:rPr>
              <w:t>Mediation Council of India</w:t>
            </w:r>
          </w:p>
        </w:tc>
        <w:tc>
          <w:tcPr>
            <w:tcW w:type="dxa" w:w="3621"/>
          </w:tcPr>
          <w:p>
            <w:pPr>
              <w:spacing w:after="50" w:before="50" w:line="252" w:lineRule="auto"/>
            </w:pPr>
            <w:r>
              <w:rPr>
                <w:sz w:val="17"/>
              </w:rPr>
              <w:t>The Act contemplates a Council empowered to promote mediation, lay down guidelines for the education, certification and conduct of mediators, register and grade mediators and mediation service providers, and maintain a depository of settlement agreements</w:t>
            </w:r>
          </w:p>
        </w:tc>
        <w:tc>
          <w:tcPr>
            <w:tcW w:type="dxa" w:w="3621"/>
          </w:tcPr>
          <w:p>
            <w:pPr>
              <w:spacing w:after="50" w:before="50" w:line="252" w:lineRule="auto"/>
            </w:pPr>
            <w:r>
              <w:rPr>
                <w:sz w:val="17"/>
              </w:rPr>
              <w:t>The central strategic fact — see 1.2</w:t>
            </w:r>
          </w:p>
        </w:tc>
      </w:tr>
      <w:tr>
        <w:tc>
          <w:tcPr>
            <w:tcW w:type="dxa" w:w="2226"/>
            <w:shd w:val="clear" w:color="auto" w:fill="EAF1F4"/>
          </w:tcPr>
          <w:p>
            <w:pPr>
              <w:spacing w:after="50" w:before="50" w:line="252" w:lineRule="auto"/>
            </w:pPr>
            <w:r>
              <w:rPr>
                <w:sz w:val="17"/>
              </w:rPr>
              <w:t>Community mediation</w:t>
            </w:r>
          </w:p>
        </w:tc>
        <w:tc>
          <w:tcPr>
            <w:tcW w:type="dxa" w:w="3621"/>
            <w:shd w:val="clear" w:color="auto" w:fill="EAF1F4"/>
          </w:tcPr>
          <w:p>
            <w:pPr>
              <w:spacing w:after="50" w:before="50" w:line="252" w:lineRule="auto"/>
            </w:pPr>
            <w:r>
              <w:rPr>
                <w:sz w:val="17"/>
              </w:rPr>
              <w:t>Provision for community mediation of disputes likely to affect peace and harmony among residents</w:t>
            </w:r>
          </w:p>
        </w:tc>
        <w:tc>
          <w:tcPr>
            <w:tcW w:type="dxa" w:w="3621"/>
            <w:shd w:val="clear" w:color="auto" w:fill="EAF1F4"/>
          </w:tcPr>
          <w:p>
            <w:pPr>
              <w:spacing w:after="50" w:before="50" w:line="252" w:lineRule="auto"/>
            </w:pPr>
            <w:r>
              <w:rPr>
                <w:sz w:val="17"/>
              </w:rPr>
              <w:t>Supports the campus and community clinic offering</w:t>
            </w:r>
          </w:p>
        </w:tc>
      </w:tr>
    </w:tbl>
    <w:p>
      <w:pPr>
        <w:spacing w:after="80" w:before="0"/>
      </w:pPr>
    </w:p>
    <w:p>
      <w:pPr>
        <w:pStyle w:val="Heading2"/>
      </w:pPr>
      <w:r>
        <w:t>1.2 The accreditation vacuum — the strategic window</w:t>
      </w:r>
    </w:p>
    <w:p>
      <w:r>
        <w:t xml:space="preserve">The Mediation Council of India </w:t>
      </w:r>
      <w:r>
        <w:rPr>
          <w:b/>
        </w:rPr>
        <w:t>has not been constituted or operationalised as at the date of this report [verify]</w:t>
      </w:r>
      <w:r>
        <w:t>. The practical consequences are decisive:</w:t>
      </w:r>
    </w:p>
    <w:p>
      <w:pPr>
        <w:pStyle w:val="ListNumber"/>
      </w:pPr>
      <w:r>
        <w:rPr>
          <w:b/>
          <w:sz w:val="21"/>
        </w:rPr>
        <w:t>No private or public body currently holds a statutory monopoly on mediator certification in India.</w:t>
      </w:r>
      <w:r>
        <w:rPr>
          <w:sz w:val="21"/>
        </w:rPr>
        <w:t xml:space="preserve"> Certification is presently governed by market reputation and by the training norms adopted by court-annexed centres.</w:t>
      </w:r>
    </w:p>
    <w:p>
      <w:pPr>
        <w:pStyle w:val="ListNumber"/>
      </w:pPr>
      <w:r>
        <w:rPr>
          <w:b/>
          <w:sz w:val="21"/>
        </w:rPr>
        <w:t>The prevailing benchmark is the court-annexed model</w:t>
      </w:r>
      <w:r>
        <w:rPr>
          <w:sz w:val="21"/>
        </w:rPr>
        <w:t>: a 40-hour basic training course, followed by supervised practice and a 20-hour advanced course, with accreditation following completion of basic training, a specified quantum of mediation including co-mediation, and the advanced course.</w:t>
      </w:r>
    </w:p>
    <w:p>
      <w:pPr>
        <w:pStyle w:val="ListNumber"/>
      </w:pPr>
      <w:r>
        <w:rPr>
          <w:b/>
          <w:sz w:val="21"/>
        </w:rPr>
        <w:t>Whoever builds the largest credible training footprint before the Council notifies standards is best placed to influence and to comply with those standards.</w:t>
      </w:r>
    </w:p>
    <w:p>
      <w:r>
        <w:rPr>
          <w:b/>
        </w:rPr>
        <w:t>Operating consequence.</w:t>
      </w:r>
      <w:r>
        <w:t xml:space="preserve"> Equator's curriculum is built to meet or exceed the 40+20 court-annexed benchmark, is modular so that it can be re-mapped quickly to Council standards when notified, and is marketed using only the approved formulations in 01.1 section 2.2. Claims of government recognition are prohibited until the position changes.</w:t>
      </w:r>
    </w:p>
    <w:p>
      <w:pPr>
        <w:pStyle w:val="Heading2"/>
      </w:pPr>
      <w:r>
        <w:t>1.3 Pre-institution mediation under the Commercial Courts Act, 2015</w:t>
      </w:r>
    </w:p>
    <w:p>
      <w:r>
        <w:t xml:space="preserve">Section 12A of the Commercial Courts Act, 2015 requires that a suit which does not contemplate any urgent interim relief shall not be instituted unless the plaintiff has exhausted the remedy of pre-institution mediation. The Supreme Court in </w:t>
      </w:r>
      <w:r>
        <w:rPr>
          <w:i/>
        </w:rPr>
        <w:t>Patil Automation Pvt. Ltd. v. Rakheja Engineers Pvt. Ltd.</w:t>
      </w:r>
      <w:r>
        <w:t xml:space="preserve"> held the requirement to be mandatory, applying prospectively to suits instituted on or after 20 August 2022, with non-compliance rendering a suit liable to rejection under Order VII Rule 11 CPC, subject to the urgent-relief exception.</w:t>
      </w:r>
    </w:p>
    <w:p>
      <w:r>
        <w:rPr>
          <w:b/>
        </w:rPr>
        <w:t>Relevance.</w:t>
      </w:r>
      <w:r>
        <w:t xml:space="preserve"> This is the clearest teachable demonstration that mediation is not optional practice but a gateway condition to commercial litigation. It anchors the commercial mediation module in the 40-hour curriculum and the fact pattern of the competition problem, and it is the most persuasive single point in a pitch to a business school.</w:t>
      </w:r>
    </w:p>
    <w:p>
      <w:pPr>
        <w:pStyle w:val="Heading2"/>
      </w:pPr>
      <w:r>
        <w:t>1.4 Arbitration</w:t>
      </w:r>
    </w:p>
    <w:p>
      <w:r>
        <w:t xml:space="preserve">The Arbitration and Conciliation Act, 1996 as amended continues to govern arbitration. Institutional arbitration development remains a policy priority. </w:t>
      </w:r>
      <w:r>
        <w:rPr>
          <w:b/>
        </w:rPr>
        <w:t>[verify — confirm current amendment status and any 2025–26 legislative developments before external publication.]</w:t>
      </w:r>
    </w:p>
    <w:p>
      <w:r>
        <w:rPr>
          <w:b/>
        </w:rPr>
        <w:t>Relevance.</w:t>
      </w:r>
      <w:r>
        <w:t xml:space="preserve"> The arbitration workshop series and the arbitration moot are built on this base. Arbitration attracts law-firm sponsorship more readily than mediation and is therefore commercially important to the competition portfolio even though mediation is Equator's core.</w:t>
      </w:r>
    </w:p>
    <w:p>
      <w:pPr>
        <w:spacing w:before="80" w:after="160"/>
        <w:pBdr>
          <w:bottom w:val="single" w:sz="6" w:space="1" w:color="C9D6DE"/>
        </w:pBdr>
      </w:pPr>
    </w:p>
    <w:p>
      <w:pPr>
        <w:pStyle w:val="Heading1"/>
        <w:pBdr>
          <w:bottom w:val="single" w:sz="8" w:space="4" w:color="C9D6DE"/>
        </w:pBdr>
      </w:pPr>
      <w:r>
        <w:t>2. Higher education regulation</w:t>
      </w:r>
    </w:p>
    <w:p>
      <w:pPr>
        <w:pStyle w:val="Heading2"/>
      </w:pPr>
      <w:r>
        <w:t>2.1 Internship and apprenticeship embedded degrees</w:t>
      </w:r>
    </w:p>
    <w:p>
      <w:r>
        <w:t>Under the National Education Policy 2020 and consequent UGC guidance, higher education institutions are to offer apprenticeship or internship embedded degree programmes. The material features are:</w:t>
      </w:r>
    </w:p>
    <w:p>
      <w:pPr>
        <w:pStyle w:val="ListBullet"/>
      </w:pPr>
      <w:r>
        <w:rPr>
          <w:sz w:val="21"/>
        </w:rPr>
        <w:t xml:space="preserve">For an undergraduate degree, a student is required to earn </w:t>
      </w:r>
      <w:r>
        <w:rPr>
          <w:b/>
          <w:sz w:val="21"/>
        </w:rPr>
        <w:t>132 credits</w:t>
      </w:r>
      <w:r>
        <w:rPr>
          <w:sz w:val="21"/>
        </w:rPr>
        <w:t xml:space="preserve">, with </w:t>
      </w:r>
      <w:r>
        <w:rPr>
          <w:b/>
          <w:sz w:val="21"/>
        </w:rPr>
        <w:t>at least 20% of total programme credits</w:t>
      </w:r>
      <w:r>
        <w:rPr>
          <w:sz w:val="21"/>
        </w:rPr>
        <w:t xml:space="preserve"> assigned to apprenticeship or internship training.</w:t>
      </w:r>
    </w:p>
    <w:p>
      <w:pPr>
        <w:pStyle w:val="ListBullet"/>
      </w:pPr>
      <w:r>
        <w:rPr>
          <w:sz w:val="21"/>
        </w:rPr>
        <w:t>Credits for the apprenticeship or internship are included in the total credits of the programme.</w:t>
      </w:r>
    </w:p>
    <w:p>
      <w:pPr>
        <w:pStyle w:val="ListBullet"/>
      </w:pPr>
      <w:r>
        <w:rPr>
          <w:b/>
          <w:sz w:val="21"/>
        </w:rPr>
        <w:t>Before an institution offers such a programme it must sign a Memorandum of Understanding with discipline-specific commercial and non-commercial organisations to provide the internship or apprenticeship.</w:t>
      </w:r>
    </w:p>
    <w:p>
      <w:pPr>
        <w:pStyle w:val="ListBullet"/>
      </w:pPr>
      <w:r>
        <w:rPr>
          <w:sz w:val="21"/>
        </w:rPr>
        <w:t>Institutions may develop their own mechanism for awarding academic credit, and the final mark sheet reflects performance in the internship, evaluated with the assistance of the host organisation.</w:t>
      </w:r>
    </w:p>
    <w:p>
      <w:r>
        <w:rPr>
          <w:b/>
        </w:rPr>
        <w:t>This is the single strongest commercial hook in the programme.</w:t>
      </w:r>
      <w:r>
        <w:t xml:space="preserve"> It converts Equator from a supplicant into the solution to a mandated requirement, and it makes the MOU a document the university needs rather than one it grants. Separate UGC guidance on research internships with faculty and researchers supports the research-assistantship offering.</w:t>
      </w:r>
    </w:p>
    <w:p>
      <w:r>
        <w:rPr>
          <w:b/>
        </w:rPr>
        <w:t>Contracting consequence.</w:t>
      </w:r>
      <w:r>
        <w:t xml:space="preserve"> Schedule A of the Master MOU is drafted to satisfy the elements a university needs for its own compliance file: defined learning outcomes, credit mapping, supervision, attendance, assessment methodology and a host-organisation evaluation instrument.</w:t>
      </w:r>
    </w:p>
    <w:p>
      <w:pPr>
        <w:pStyle w:val="Heading2"/>
      </w:pPr>
      <w:r>
        <w:t>2.2 Student grievance redressal — the Ombudsperson mandate</w:t>
      </w:r>
    </w:p>
    <w:p>
      <w:r>
        <w:t>The University Grants Commission (Redressal of Grievances of Students) Regulations, 2023 were notified on 11 April 2023 in supersession of the 2019 regulations. The material features are:</w:t>
      </w:r>
    </w:p>
    <w:p>
      <w:pPr>
        <w:pStyle w:val="ListBullet"/>
      </w:pPr>
      <w:r>
        <w:rPr>
          <w:sz w:val="21"/>
        </w:rPr>
        <w:t xml:space="preserve">Every institution must constitute one or more </w:t>
      </w:r>
      <w:r>
        <w:rPr>
          <w:b/>
          <w:sz w:val="21"/>
        </w:rPr>
        <w:t>Students' Grievance Redressal Committees</w:t>
      </w:r>
      <w:r>
        <w:rPr>
          <w:sz w:val="21"/>
        </w:rPr>
        <w:t>.</w:t>
      </w:r>
    </w:p>
    <w:p>
      <w:pPr>
        <w:pStyle w:val="ListBullet"/>
      </w:pPr>
      <w:r>
        <w:rPr>
          <w:sz w:val="21"/>
        </w:rPr>
        <w:t xml:space="preserve">Every university must </w:t>
      </w:r>
      <w:r>
        <w:rPr>
          <w:b/>
          <w:sz w:val="21"/>
        </w:rPr>
        <w:t>appoint an Ombudsperson</w:t>
      </w:r>
      <w:r>
        <w:rPr>
          <w:sz w:val="21"/>
        </w:rPr>
        <w:t xml:space="preserve"> — a retired Vice-Chancellor, or a retired professor with at least ten years' experience, or a former District Judge.</w:t>
      </w:r>
    </w:p>
    <w:p>
      <w:pPr>
        <w:pStyle w:val="ListBullet"/>
      </w:pPr>
      <w:r>
        <w:rPr>
          <w:sz w:val="21"/>
        </w:rPr>
        <w:t>Institutions were required to constitute the committee and appoint the Ombudsperson within thirty days of notification.</w:t>
      </w:r>
    </w:p>
    <w:p>
      <w:pPr>
        <w:pStyle w:val="ListBullet"/>
      </w:pPr>
      <w:r>
        <w:rPr>
          <w:sz w:val="21"/>
        </w:rPr>
        <w:t>Committees must include representation from Scheduled Castes, Scheduled Tribes, Other Backward Classes and women, either as chairperson or as members.</w:t>
      </w:r>
    </w:p>
    <w:p>
      <w:pPr>
        <w:pStyle w:val="ListBullet"/>
      </w:pPr>
      <w:r>
        <w:rPr>
          <w:sz w:val="21"/>
        </w:rPr>
        <w:t>The machinery hears grievances concerning admissions, fees, examinations, scholarships, harassment and allied matters.</w:t>
      </w:r>
    </w:p>
    <w:p>
      <w:r>
        <w:rPr>
          <w:b/>
        </w:rPr>
        <w:t>Commercial consequence.</w:t>
      </w:r>
      <w:r>
        <w:t xml:space="preserve"> This is a dispute-resolution mandate imposed on every higher education institution in India, and it is widely under-resourced. It converts the university from a partner into a </w:t>
      </w:r>
      <w:r>
        <w:rPr>
          <w:b/>
        </w:rPr>
        <w:t>client</w:t>
      </w:r>
      <w:r>
        <w:t>, and supports the highest-annuity revenue line in the model: institutional advisory retainers for process design, member training, documentation and the supply of external neutrals. See 04.1 line 6.</w:t>
      </w:r>
    </w:p>
    <w:p>
      <w:pPr>
        <w:pStyle w:val="Heading2"/>
      </w:pPr>
      <w:r>
        <w:t>2.3 Sexual harassment — Internal Committees</w:t>
      </w:r>
    </w:p>
    <w:p>
      <w:r>
        <w:t>The Sexual Harassment of Women at Workplace (Prevention, Prohibition and Redressal) Act, 2013 requires an Internal Committee including an external member from an NGO or association committed to the cause of women or a person familiar with issues relating to sexual harassment. UGC regulations impose parallel obligations on higher education institutions.</w:t>
      </w:r>
    </w:p>
    <w:p>
      <w:r>
        <w:rPr>
          <w:b/>
        </w:rPr>
        <w:t>Commercial consequence.</w:t>
      </w:r>
      <w:r>
        <w:t xml:space="preserve"> Two revenue lines: IC training for the institution, and supply of the external member. Equator's Workplace and HR Dispute Resolution Framework already carries the substantive content; this programme supplies the distribution.</w:t>
      </w:r>
    </w:p>
    <w:p>
      <w:pPr>
        <w:pStyle w:val="Heading2"/>
      </w:pPr>
      <w:r>
        <w:t>2.4 Legal education</w:t>
      </w:r>
    </w:p>
    <w:p>
      <w:r>
        <w:t>The Bar Council of India curriculum requires study of arbitration, conciliation and alternative dispute resolution in the LL.B. programme. In most faculties this is taught doctrinally, without simulation, clinical exposure or practitioner input.</w:t>
      </w:r>
    </w:p>
    <w:p>
      <w:r>
        <w:rPr>
          <w:b/>
        </w:rPr>
        <w:t>Consequence.</w:t>
      </w:r>
      <w:r>
        <w:t xml:space="preserve"> The curriculum-consultation offer in 01.1 section 4.2 and the credit-bearing certificate design in 05.6 address a real pedagogical deficit, which is why they open doors that a commercial training pitch does not.</w:t>
      </w:r>
    </w:p>
    <w:p>
      <w:pPr>
        <w:pStyle w:val="Heading2"/>
      </w:pPr>
      <w:r>
        <w:t>2.5 Rankings and accreditation inputs</w:t>
      </w:r>
    </w:p>
    <w:p>
      <w:r>
        <w:t xml:space="preserve">NAAC assessment and NIRF ranking frameworks reward, among other things, industry and institutional linkage, consultancy and extension activity, publications, and student achievement in competitions. </w:t>
      </w:r>
      <w:r>
        <w:rPr>
          <w:b/>
        </w:rPr>
        <w:t>[verify — confirm current NAAC and NIRF parameter weightings before citing specific metrics in any proposal.]</w:t>
      </w:r>
    </w:p>
    <w:p>
      <w:r>
        <w:rPr>
          <w:b/>
        </w:rPr>
        <w:t>Consequence.</w:t>
      </w:r>
      <w:r>
        <w:t xml:space="preserve"> Every activity in the catalogue should be described to the university in terms of the documentary output it generates for the institution's own accreditation file. The proposal template in 02.2 includes an accreditation-evidence annexure for this purpose.</w:t>
      </w:r>
    </w:p>
    <w:p>
      <w:pPr>
        <w:spacing w:before="80" w:after="160"/>
        <w:pBdr>
          <w:bottom w:val="single" w:sz="6" w:space="1" w:color="C9D6DE"/>
        </w:pBdr>
      </w:pPr>
    </w:p>
    <w:p>
      <w:pPr>
        <w:pStyle w:val="Heading1"/>
        <w:pBdr>
          <w:bottom w:val="single" w:sz="8" w:space="4" w:color="C9D6DE"/>
        </w:pBdr>
      </w:pPr>
      <w:r>
        <w:t>3. Data protection</w:t>
      </w:r>
    </w:p>
    <w:p>
      <w:pPr>
        <w:pStyle w:val="Heading2"/>
      </w:pPr>
      <w:r>
        <w:t>3.1 The DPDP framework</w:t>
      </w:r>
    </w:p>
    <w:p>
      <w:r>
        <w:t xml:space="preserve">The Digital Personal Data Protection Act, 2023 is operationalised by the Digital Personal Data Protection Rules, 2025, notified on 13 November 2025, with obligations phased in — core compliance obligations applying at a later phase to allow governance and infrastructure to be built. </w:t>
      </w:r>
      <w:r>
        <w:rPr>
          <w:b/>
        </w:rPr>
        <w:t>[verify — confirm the precise applicable phase-in dates for each obligation class before the registration portal goes live.]</w:t>
      </w:r>
    </w:p>
    <w:p>
      <w:r>
        <w:t>Core obligations relevant to this programme: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613"/>
            <w:shd w:val="clear" w:color="auto" w:fill="10375C"/>
          </w:tcPr>
          <w:p>
            <w:pPr>
              <w:spacing w:after="50" w:before="50"/>
            </w:pPr>
            <w:r>
              <w:rPr>
                <w:b/>
                <w:color w:val="FFFFFF"/>
                <w:sz w:val="17"/>
              </w:rPr>
              <w:t>Obligation</w:t>
            </w:r>
          </w:p>
        </w:tc>
        <w:tc>
          <w:tcPr>
            <w:tcW w:type="dxa" w:w="5854"/>
            <w:shd w:val="clear" w:color="auto" w:fill="10375C"/>
          </w:tcPr>
          <w:p>
            <w:pPr>
              <w:spacing w:after="50" w:before="50"/>
            </w:pPr>
            <w:r>
              <w:rPr>
                <w:b/>
                <w:color w:val="FFFFFF"/>
                <w:sz w:val="17"/>
              </w:rPr>
              <w:t>Application to the programme</w:t>
            </w:r>
          </w:p>
        </w:tc>
      </w:tr>
      <w:tr>
        <w:tc>
          <w:tcPr>
            <w:tcW w:type="dxa" w:w="3613"/>
          </w:tcPr>
          <w:p>
            <w:pPr>
              <w:spacing w:after="50" w:before="50" w:line="252" w:lineRule="auto"/>
            </w:pPr>
            <w:r>
              <w:rPr>
                <w:sz w:val="17"/>
              </w:rPr>
              <w:t>Consent-based processing with clear notice</w:t>
            </w:r>
          </w:p>
        </w:tc>
        <w:tc>
          <w:tcPr>
            <w:tcW w:type="dxa" w:w="5854"/>
          </w:tcPr>
          <w:p>
            <w:pPr>
              <w:spacing w:after="50" w:before="50" w:line="252" w:lineRule="auto"/>
            </w:pPr>
            <w:r>
              <w:rPr>
                <w:sz w:val="17"/>
              </w:rPr>
              <w:t>Every registration form — internship, competition, training, webinar — requires a compliant notice and consent capture</w:t>
            </w:r>
          </w:p>
        </w:tc>
      </w:tr>
      <w:tr>
        <w:tc>
          <w:tcPr>
            <w:tcW w:type="dxa" w:w="3613"/>
            <w:shd w:val="clear" w:color="auto" w:fill="EAF1F4"/>
          </w:tcPr>
          <w:p>
            <w:pPr>
              <w:spacing w:after="50" w:before="50" w:line="252" w:lineRule="auto"/>
            </w:pPr>
            <w:r>
              <w:rPr>
                <w:sz w:val="17"/>
              </w:rPr>
              <w:t>Purpose limitation and retention</w:t>
            </w:r>
          </w:p>
        </w:tc>
        <w:tc>
          <w:tcPr>
            <w:tcW w:type="dxa" w:w="5854"/>
            <w:shd w:val="clear" w:color="auto" w:fill="EAF1F4"/>
          </w:tcPr>
          <w:p>
            <w:pPr>
              <w:spacing w:after="50" w:before="50" w:line="252" w:lineRule="auto"/>
            </w:pPr>
            <w:r>
              <w:rPr>
                <w:sz w:val="17"/>
              </w:rPr>
              <w:t>Student data collected for a competition may not be repurposed for marketing without separate consent</w:t>
            </w:r>
          </w:p>
        </w:tc>
      </w:tr>
      <w:tr>
        <w:tc>
          <w:tcPr>
            <w:tcW w:type="dxa" w:w="3613"/>
          </w:tcPr>
          <w:p>
            <w:pPr>
              <w:spacing w:after="50" w:before="50" w:line="252" w:lineRule="auto"/>
            </w:pPr>
            <w:r>
              <w:rPr>
                <w:sz w:val="17"/>
              </w:rPr>
              <w:t>Security safeguards</w:t>
            </w:r>
          </w:p>
        </w:tc>
        <w:tc>
          <w:tcPr>
            <w:tcW w:type="dxa" w:w="5854"/>
          </w:tcPr>
          <w:p>
            <w:pPr>
              <w:spacing w:after="50" w:before="50" w:line="252" w:lineRule="auto"/>
            </w:pPr>
            <w:r>
              <w:rPr>
                <w:sz w:val="17"/>
              </w:rPr>
              <w:t>Registration portals, assessment records and case-exposure records require access control and encryption</w:t>
            </w:r>
          </w:p>
        </w:tc>
      </w:tr>
      <w:tr>
        <w:tc>
          <w:tcPr>
            <w:tcW w:type="dxa" w:w="3613"/>
            <w:shd w:val="clear" w:color="auto" w:fill="EAF1F4"/>
          </w:tcPr>
          <w:p>
            <w:pPr>
              <w:spacing w:after="50" w:before="50" w:line="252" w:lineRule="auto"/>
            </w:pPr>
            <w:r>
              <w:rPr>
                <w:sz w:val="17"/>
              </w:rPr>
              <w:t>Breach reporting</w:t>
            </w:r>
          </w:p>
        </w:tc>
        <w:tc>
          <w:tcPr>
            <w:tcW w:type="dxa" w:w="5854"/>
            <w:shd w:val="clear" w:color="auto" w:fill="EAF1F4"/>
          </w:tcPr>
          <w:p>
            <w:pPr>
              <w:spacing w:after="50" w:before="50" w:line="252" w:lineRule="auto"/>
            </w:pPr>
            <w:r>
              <w:rPr>
                <w:sz w:val="17"/>
              </w:rPr>
              <w:t>Incident protocol required in the operations SOPs</w:t>
            </w:r>
          </w:p>
        </w:tc>
      </w:tr>
      <w:tr>
        <w:tc>
          <w:tcPr>
            <w:tcW w:type="dxa" w:w="3613"/>
          </w:tcPr>
          <w:p>
            <w:pPr>
              <w:spacing w:after="50" w:before="50" w:line="252" w:lineRule="auto"/>
            </w:pPr>
            <w:r>
              <w:rPr>
                <w:sz w:val="17"/>
              </w:rPr>
              <w:t>Children's data</w:t>
            </w:r>
          </w:p>
        </w:tc>
        <w:tc>
          <w:tcPr>
            <w:tcW w:type="dxa" w:w="5854"/>
          </w:tcPr>
          <w:p>
            <w:pPr>
              <w:spacing w:after="50" w:before="50" w:line="252" w:lineRule="auto"/>
            </w:pPr>
            <w:r>
              <w:rPr>
                <w:sz w:val="17"/>
              </w:rPr>
              <w:t>Verifiable parental or guardian consent is required for processing the personal data of a child, with limited relief available to educational institutions for defined purposes</w:t>
            </w:r>
          </w:p>
        </w:tc>
      </w:tr>
    </w:tbl>
    <w:p>
      <w:pPr>
        <w:spacing w:after="80" w:before="0"/>
      </w:pPr>
    </w:p>
    <w:p>
      <w:pPr>
        <w:pStyle w:val="Heading2"/>
      </w:pPr>
      <w:r>
        <w:t>3.2 Two exposures specific to this programme</w:t>
      </w:r>
    </w:p>
    <w:p>
      <w:pPr>
        <w:pStyle w:val="ListNumber"/>
      </w:pPr>
      <w:r>
        <w:rPr>
          <w:b/>
          <w:sz w:val="21"/>
        </w:rPr>
        <w:t>Under-18 participants.</w:t>
      </w:r>
      <w:r>
        <w:rPr>
          <w:sz w:val="21"/>
        </w:rPr>
        <w:t xml:space="preserve"> School outreach and peer-mediation cascade programmes will involve children. Verifiable parental consent is required, and the limited educational-institution relief does not extend to Equator as a commercial entity </w:t>
      </w:r>
      <w:r>
        <w:rPr>
          <w:b/>
          <w:sz w:val="21"/>
        </w:rPr>
        <w:t>[verify — DPO]</w:t>
      </w:r>
      <w:r>
        <w:rPr>
          <w:sz w:val="21"/>
        </w:rPr>
        <w:t>. The school programme therefore operates through the school as data fiduciary wherever possible.</w:t>
      </w:r>
    </w:p>
    <w:p>
      <w:pPr>
        <w:pStyle w:val="ListNumber"/>
      </w:pPr>
      <w:r>
        <w:rPr>
          <w:b/>
          <w:sz w:val="21"/>
        </w:rPr>
        <w:t>Live case exposure.</w:t>
      </w:r>
      <w:r>
        <w:rPr>
          <w:sz w:val="21"/>
        </w:rPr>
        <w:t xml:space="preserve"> Student observation of real mediations involves the personal data of disputing parties, layered on top of the statutory confidentiality obligation under the Mediation Act. The Live Clinic SOP (07.6) requires party consent, anonymisation, written student undertakings and a prohibition on any recording.</w:t>
      </w:r>
    </w:p>
    <w:p>
      <w:pPr>
        <w:spacing w:before="80" w:after="160"/>
        <w:pBdr>
          <w:bottom w:val="single" w:sz="6" w:space="1" w:color="C9D6DE"/>
        </w:pBdr>
      </w:pPr>
    </w:p>
    <w:p>
      <w:pPr>
        <w:pStyle w:val="Heading1"/>
        <w:pBdr>
          <w:bottom w:val="single" w:sz="8" w:space="4" w:color="C9D6DE"/>
        </w:pBdr>
      </w:pPr>
      <w:r>
        <w:t>4. Tax and commercial regulation</w:t>
      </w:r>
    </w:p>
    <w:p>
      <w:pPr>
        <w:pStyle w:val="Heading2"/>
      </w:pPr>
      <w:r>
        <w:t>4.1 Goods and Services Tax</w:t>
      </w:r>
    </w:p>
    <w:p>
      <w:r>
        <w:t>The GST framework distinguishes sharply between recognised educational institutions and commercial training providers:</w:t>
      </w:r>
    </w:p>
    <w:p>
      <w:pPr>
        <w:pStyle w:val="ListBullet"/>
      </w:pPr>
      <w:r>
        <w:rPr>
          <w:sz w:val="21"/>
        </w:rPr>
        <w:t>Services by way of education as part of a curriculum for obtaining a qualification recognised by law are exempt in the hands of the educational institution.</w:t>
      </w:r>
    </w:p>
    <w:p>
      <w:pPr>
        <w:pStyle w:val="ListBullet"/>
      </w:pPr>
      <w:r>
        <w:rPr>
          <w:b/>
          <w:sz w:val="21"/>
        </w:rPr>
        <w:t>Commercial coaching and training services are taxable at 18%</w:t>
      </w:r>
      <w:r>
        <w:rPr>
          <w:sz w:val="21"/>
        </w:rPr>
        <w:t>, under SAC 999293. Coaching centres and commercial training institutes are not educational institutions for GST purposes.</w:t>
      </w:r>
    </w:p>
    <w:p>
      <w:r>
        <w:rPr>
          <w:b/>
        </w:rPr>
        <w:t>Application.</w:t>
      </w:r>
      <w:r>
        <w:t xml:space="preserve"> Where Equator issues its own certificate and charges participants directly, the supply is commercial training taxable at 18%. Where Equator is sub-contracted into a credit-bearing component of a UGC-recognised degree delivered by the university, the analysis is materially more complex and the exemption does not automatically flow through. </w:t>
      </w:r>
      <w:r>
        <w:rPr>
          <w:b/>
        </w:rPr>
        <w:t>[verify — U1, Finance and tax counsel.]</w:t>
      </w:r>
      <w:r>
        <w:t xml:space="preserve"> No proposal may state a GST position until this is cleared.</w:t>
      </w:r>
    </w:p>
    <w:p>
      <w:pPr>
        <w:pStyle w:val="Heading2"/>
      </w:pPr>
      <w:r>
        <w:t>4.2 Withholding tax</w:t>
      </w:r>
    </w:p>
    <w:p>
      <w:r>
        <w:t xml:space="preserve">Payments by a university to Equator for professional or technical services will ordinarily attract withholding under section 194J of the Income-tax Act, 1961. Invoicing and reconciliation procedures in 04.5 assume this and require quarterly reconciliation against Form 26AS. </w:t>
      </w:r>
      <w:r>
        <w:rPr>
          <w:b/>
        </w:rPr>
        <w:t>[verify — current rate and threshold.]</w:t>
      </w:r>
    </w:p>
    <w:p>
      <w:pPr>
        <w:pStyle w:val="Heading2"/>
      </w:pPr>
      <w:r>
        <w:t>4.3 Corporate social responsibility</w:t>
      </w:r>
    </w:p>
    <w:p>
      <w:r>
        <w:t xml:space="preserve">Schedule VII to the Companies Act, 2013 includes promotion of education among permitted CSR activities. Sponsorship of campus ADR laboratories, scholarships and competitions may, subject to the CSR rules and the identity of the implementing entity, be capable of being treated as CSR expenditure by a corporate sponsor. </w:t>
      </w:r>
      <w:r>
        <w:rPr>
          <w:b/>
        </w:rPr>
        <w:t>[verify — U7, Finance.]</w:t>
      </w:r>
      <w:r>
        <w:t xml:space="preserve"> This materially widens the sponsorship market and is addressed in the prospectus at 04.6.</w:t>
      </w:r>
    </w:p>
    <w:p>
      <w:pPr>
        <w:pStyle w:val="Heading2"/>
      </w:pPr>
      <w:r>
        <w:t>4.4 Intellectual property</w:t>
      </w:r>
    </w:p>
    <w:p>
      <w:r>
        <w:t xml:space="preserve">Competition names, the certification family and curriculum materials require trade mark protection before first public use, and copyright ownership must be expressly allocated in every trainer, faculty and student agreement. </w:t>
      </w:r>
      <w:r>
        <w:rPr>
          <w:b/>
        </w:rPr>
        <w:t>[verify — U8, Legal.]</w:t>
      </w:r>
    </w:p>
    <w:p>
      <w:pPr>
        <w:spacing w:before="80" w:after="160"/>
        <w:pBdr>
          <w:bottom w:val="single" w:sz="6" w:space="1" w:color="C9D6DE"/>
        </w:pBdr>
      </w:pPr>
    </w:p>
    <w:p>
      <w:pPr>
        <w:pStyle w:val="Heading1"/>
        <w:pBdr>
          <w:bottom w:val="single" w:sz="8" w:space="4" w:color="C9D6DE"/>
        </w:pBdr>
      </w:pPr>
      <w:r>
        <w:t>5. Market conditions</w:t>
      </w:r>
    </w:p>
    <w:p>
      <w:pPr>
        <w:pStyle w:val="Heading2"/>
      </w:pPr>
      <w:r>
        <w:t>5.1 Training market pricing</w:t>
      </w:r>
    </w:p>
    <w:p>
      <w:r>
        <w:t>Observed pricing for mediation training in India provides the benchmark against which Equator's rate card is set: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604"/>
            <w:shd w:val="clear" w:color="auto" w:fill="10375C"/>
          </w:tcPr>
          <w:p>
            <w:pPr>
              <w:spacing w:after="50" w:before="50"/>
            </w:pPr>
            <w:r>
              <w:rPr>
                <w:b/>
                <w:color w:val="FFFFFF"/>
                <w:sz w:val="17"/>
              </w:rPr>
              <w:t>Provider category</w:t>
            </w:r>
          </w:p>
        </w:tc>
        <w:tc>
          <w:tcPr>
            <w:tcW w:type="dxa" w:w="3801"/>
            <w:shd w:val="clear" w:color="auto" w:fill="10375C"/>
          </w:tcPr>
          <w:p>
            <w:pPr>
              <w:spacing w:after="50" w:before="50"/>
            </w:pPr>
            <w:r>
              <w:rPr>
                <w:b/>
                <w:color w:val="FFFFFF"/>
                <w:sz w:val="17"/>
              </w:rPr>
              <w:t>Programme</w:t>
            </w:r>
          </w:p>
        </w:tc>
        <w:tc>
          <w:tcPr>
            <w:tcW w:type="dxa" w:w="3063"/>
            <w:shd w:val="clear" w:color="auto" w:fill="10375C"/>
          </w:tcPr>
          <w:p>
            <w:pPr>
              <w:spacing w:after="50" w:before="50"/>
            </w:pPr>
            <w:r>
              <w:rPr>
                <w:b/>
                <w:color w:val="FFFFFF"/>
                <w:sz w:val="17"/>
              </w:rPr>
              <w:t>Observed price point</w:t>
            </w:r>
          </w:p>
        </w:tc>
      </w:tr>
      <w:tr>
        <w:tc>
          <w:tcPr>
            <w:tcW w:type="dxa" w:w="2604"/>
          </w:tcPr>
          <w:p>
            <w:pPr>
              <w:spacing w:after="50" w:before="50" w:line="252" w:lineRule="auto"/>
            </w:pPr>
            <w:r>
              <w:rPr>
                <w:sz w:val="17"/>
              </w:rPr>
              <w:t>State dispute resolution society</w:t>
            </w:r>
          </w:p>
        </w:tc>
        <w:tc>
          <w:tcPr>
            <w:tcW w:type="dxa" w:w="3801"/>
          </w:tcPr>
          <w:p>
            <w:pPr>
              <w:spacing w:after="50" w:before="50" w:line="252" w:lineRule="auto"/>
            </w:pPr>
            <w:r>
              <w:rPr>
                <w:sz w:val="17"/>
              </w:rPr>
              <w:t>40-hour mediation training</w:t>
            </w:r>
          </w:p>
        </w:tc>
        <w:tc>
          <w:tcPr>
            <w:tcW w:type="dxa" w:w="3063"/>
          </w:tcPr>
          <w:p>
            <w:pPr>
              <w:spacing w:after="50" w:before="50" w:line="252" w:lineRule="auto"/>
            </w:pPr>
            <w:r>
              <w:rPr>
                <w:sz w:val="17"/>
              </w:rPr>
              <w:t>₹25,000 per candidate</w:t>
            </w:r>
          </w:p>
        </w:tc>
      </w:tr>
      <w:tr>
        <w:tc>
          <w:tcPr>
            <w:tcW w:type="dxa" w:w="2604"/>
            <w:shd w:val="clear" w:color="auto" w:fill="EAF1F4"/>
          </w:tcPr>
          <w:p>
            <w:pPr>
              <w:spacing w:after="50" w:before="50" w:line="252" w:lineRule="auto"/>
            </w:pPr>
            <w:r>
              <w:rPr>
                <w:sz w:val="17"/>
              </w:rPr>
              <w:t>Established private institute</w:t>
            </w:r>
          </w:p>
        </w:tc>
        <w:tc>
          <w:tcPr>
            <w:tcW w:type="dxa" w:w="3801"/>
            <w:shd w:val="clear" w:color="auto" w:fill="EAF1F4"/>
          </w:tcPr>
          <w:p>
            <w:pPr>
              <w:spacing w:after="50" w:before="50" w:line="252" w:lineRule="auto"/>
            </w:pPr>
            <w:r>
              <w:rPr>
                <w:sz w:val="17"/>
              </w:rPr>
              <w:t>Certified mediation training, stage 1</w:t>
            </w:r>
          </w:p>
        </w:tc>
        <w:tc>
          <w:tcPr>
            <w:tcW w:type="dxa" w:w="3063"/>
            <w:shd w:val="clear" w:color="auto" w:fill="EAF1F4"/>
          </w:tcPr>
          <w:p>
            <w:pPr>
              <w:spacing w:after="50" w:before="50" w:line="252" w:lineRule="auto"/>
            </w:pPr>
            <w:r>
              <w:rPr>
                <w:sz w:val="17"/>
              </w:rPr>
              <w:t>₹50,000 inclusive of GST, with a further stage at ₹22,500</w:t>
            </w:r>
          </w:p>
        </w:tc>
      </w:tr>
      <w:tr>
        <w:tc>
          <w:tcPr>
            <w:tcW w:type="dxa" w:w="2604"/>
          </w:tcPr>
          <w:p>
            <w:pPr>
              <w:spacing w:after="50" w:before="50" w:line="252" w:lineRule="auto"/>
            </w:pPr>
            <w:r>
              <w:rPr>
                <w:sz w:val="17"/>
              </w:rPr>
              <w:t>International provider, India delivery</w:t>
            </w:r>
          </w:p>
        </w:tc>
        <w:tc>
          <w:tcPr>
            <w:tcW w:type="dxa" w:w="3801"/>
          </w:tcPr>
          <w:p>
            <w:pPr>
              <w:spacing w:after="50" w:before="50" w:line="252" w:lineRule="auto"/>
            </w:pPr>
            <w:r>
              <w:rPr>
                <w:sz w:val="17"/>
              </w:rPr>
              <w:t>Civil and commercial mediation training</w:t>
            </w:r>
          </w:p>
        </w:tc>
        <w:tc>
          <w:tcPr>
            <w:tcW w:type="dxa" w:w="3063"/>
          </w:tcPr>
          <w:p>
            <w:pPr>
              <w:spacing w:after="50" w:before="50" w:line="252" w:lineRule="auto"/>
            </w:pPr>
            <w:r>
              <w:rPr>
                <w:sz w:val="17"/>
              </w:rPr>
              <w:t>₹50,000 inclusive of GST</w:t>
            </w:r>
          </w:p>
        </w:tc>
      </w:tr>
      <w:tr>
        <w:tc>
          <w:tcPr>
            <w:tcW w:type="dxa" w:w="2604"/>
            <w:shd w:val="clear" w:color="auto" w:fill="EAF1F4"/>
          </w:tcPr>
          <w:p>
            <w:pPr>
              <w:spacing w:after="50" w:before="50" w:line="252" w:lineRule="auto"/>
            </w:pPr>
            <w:r>
              <w:rPr>
                <w:sz w:val="17"/>
              </w:rPr>
              <w:t>Public sector institute</w:t>
            </w:r>
          </w:p>
        </w:tc>
        <w:tc>
          <w:tcPr>
            <w:tcW w:type="dxa" w:w="3801"/>
            <w:shd w:val="clear" w:color="auto" w:fill="EAF1F4"/>
          </w:tcPr>
          <w:p>
            <w:pPr>
              <w:spacing w:after="50" w:before="50" w:line="252" w:lineRule="auto"/>
            </w:pPr>
            <w:r>
              <w:rPr>
                <w:sz w:val="17"/>
              </w:rPr>
              <w:t>Extended certified mediator programme, approximately 100 hours, online</w:t>
            </w:r>
          </w:p>
        </w:tc>
        <w:tc>
          <w:tcPr>
            <w:tcW w:type="dxa" w:w="3063"/>
            <w:shd w:val="clear" w:color="auto" w:fill="EAF1F4"/>
          </w:tcPr>
          <w:p>
            <w:pPr>
              <w:spacing w:after="50" w:before="50" w:line="252" w:lineRule="auto"/>
            </w:pPr>
            <w:r>
              <w:rPr>
                <w:sz w:val="17"/>
              </w:rPr>
              <w:t>Published separately</w:t>
            </w:r>
          </w:p>
        </w:tc>
      </w:tr>
    </w:tbl>
    <w:p>
      <w:pPr>
        <w:spacing w:after="80" w:before="0"/>
      </w:pPr>
    </w:p>
    <w:p>
      <w:r>
        <w:rPr>
          <w:b/>
        </w:rPr>
        <w:t>Consequence for pricing.</w:t>
      </w:r>
      <w:r>
        <w:t xml:space="preserve"> The professional market clears between ₹25,000 and ₹50,000. The student market cannot. Equator's student pricing is set materially below the professional band precisely because volume, campus delivery and university cost-sharing make it viable — and because the student programme is a pipeline instrument, not a profit centre in itself. Professional and faculty programmes are priced within the observed band. Full pricing is in 04.1.</w:t>
      </w:r>
    </w:p>
    <w:p>
      <w:pPr>
        <w:pStyle w:val="Heading2"/>
      </w:pPr>
      <w:r>
        <w:t>5.2 The competition circuit</w:t>
      </w:r>
    </w:p>
    <w:p>
      <w:r>
        <w:t>India now supports a dense national mediation competition circuit, concentrated between February and March, with a further cluster later in the year. Representative fixtures include tournaments hosted by national law universities and by private and state universities, several run in partnership with law firms and legal publishers, and an Indian edition of an international law school mediation tournament. Internationally, the principal fixtures are the ICC International Commercial Mediation Competition in Paris, held in early February, and the IBA–VIAC CDRC Mediation and Negotiation Competition in Vienna, held in July.</w:t>
      </w:r>
    </w:p>
    <w:p>
      <w:r>
        <w:rPr>
          <w:b/>
        </w:rPr>
        <w:t>Consequence.</w:t>
      </w:r>
      <w:r>
        <w:t xml:space="preserve"> Three commercial openings follow:</w:t>
      </w:r>
    </w:p>
    <w:p>
      <w:pPr>
        <w:pStyle w:val="ListNumber"/>
      </w:pPr>
      <w:r>
        <w:rPr>
          <w:b/>
          <w:sz w:val="21"/>
        </w:rPr>
        <w:t>Sponsorship and judging slots</w:t>
      </w:r>
      <w:r>
        <w:rPr>
          <w:sz w:val="21"/>
        </w:rPr>
        <w:t xml:space="preserve"> at existing competitions buy national visibility at low cost and require no operational burden.</w:t>
      </w:r>
    </w:p>
    <w:p>
      <w:pPr>
        <w:pStyle w:val="ListNumber"/>
      </w:pPr>
      <w:r>
        <w:rPr>
          <w:b/>
          <w:sz w:val="21"/>
        </w:rPr>
        <w:t>A distinct calendar position.</w:t>
      </w:r>
      <w:r>
        <w:rPr>
          <w:sz w:val="21"/>
        </w:rPr>
        <w:t xml:space="preserve"> Equator's own national competition should avoid the crowded February–March window. An October or late-August edition, aligned to Mediation Week, has a clear field.</w:t>
      </w:r>
    </w:p>
    <w:p>
      <w:pPr>
        <w:pStyle w:val="ListNumber"/>
      </w:pPr>
      <w:r>
        <w:rPr>
          <w:b/>
          <w:sz w:val="21"/>
        </w:rPr>
        <w:t>Coaching-as-a-service.</w:t>
      </w:r>
      <w:r>
        <w:rPr>
          <w:sz w:val="21"/>
        </w:rPr>
        <w:t xml:space="preserve"> Universities aspire to send teams to Paris and Vienna and generally lack qualified coaches. This is the highest-margin and least-contested line in the entire model.</w:t>
      </w:r>
    </w:p>
    <w:p>
      <w:pPr>
        <w:pStyle w:val="Heading2"/>
      </w:pPr>
      <w:r>
        <w:t>5.3 Institutional demand segments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859"/>
            <w:shd w:val="clear" w:color="auto" w:fill="10375C"/>
          </w:tcPr>
          <w:p>
            <w:pPr>
              <w:spacing w:after="50" w:before="50"/>
            </w:pPr>
            <w:r>
              <w:rPr>
                <w:b/>
                <w:color w:val="FFFFFF"/>
                <w:sz w:val="17"/>
              </w:rPr>
              <w:t>Segment</w:t>
            </w:r>
          </w:p>
        </w:tc>
        <w:tc>
          <w:tcPr>
            <w:tcW w:type="dxa" w:w="895"/>
            <w:shd w:val="clear" w:color="auto" w:fill="10375C"/>
          </w:tcPr>
          <w:p>
            <w:pPr>
              <w:spacing w:after="50" w:before="50"/>
            </w:pPr>
            <w:r>
              <w:rPr>
                <w:b/>
                <w:color w:val="FFFFFF"/>
                <w:sz w:val="17"/>
              </w:rPr>
              <w:t>Approximate population</w:t>
            </w:r>
          </w:p>
        </w:tc>
        <w:tc>
          <w:tcPr>
            <w:tcW w:type="dxa" w:w="2684"/>
            <w:shd w:val="clear" w:color="auto" w:fill="10375C"/>
          </w:tcPr>
          <w:p>
            <w:pPr>
              <w:spacing w:after="50" w:before="50"/>
            </w:pPr>
            <w:r>
              <w:rPr>
                <w:b/>
                <w:color w:val="FFFFFF"/>
                <w:sz w:val="17"/>
              </w:rPr>
              <w:t>Primary need</w:t>
            </w:r>
          </w:p>
        </w:tc>
        <w:tc>
          <w:tcPr>
            <w:tcW w:type="dxa" w:w="3030"/>
            <w:shd w:val="clear" w:color="auto" w:fill="10375C"/>
          </w:tcPr>
          <w:p>
            <w:pPr>
              <w:spacing w:after="50" w:before="50"/>
            </w:pPr>
            <w:r>
              <w:rPr>
                <w:b/>
                <w:color w:val="FFFFFF"/>
                <w:sz w:val="17"/>
              </w:rPr>
              <w:t>Best-fit offering</w:t>
            </w:r>
          </w:p>
        </w:tc>
      </w:tr>
      <w:tr>
        <w:tc>
          <w:tcPr>
            <w:tcW w:type="dxa" w:w="2859"/>
          </w:tcPr>
          <w:p>
            <w:pPr>
              <w:spacing w:after="50" w:before="50" w:line="252" w:lineRule="auto"/>
            </w:pPr>
            <w:r>
              <w:rPr>
                <w:sz w:val="17"/>
              </w:rPr>
              <w:t>National law universities and top private law schools</w:t>
            </w:r>
          </w:p>
        </w:tc>
        <w:tc>
          <w:tcPr>
            <w:tcW w:type="dxa" w:w="895"/>
          </w:tcPr>
          <w:p>
            <w:pPr>
              <w:spacing w:after="50" w:before="50" w:line="252" w:lineRule="auto"/>
            </w:pPr>
            <w:r>
              <w:rPr>
                <w:sz w:val="17"/>
              </w:rPr>
              <w:t>~30</w:t>
            </w:r>
          </w:p>
        </w:tc>
        <w:tc>
          <w:tcPr>
            <w:tcW w:type="dxa" w:w="2684"/>
          </w:tcPr>
          <w:p>
            <w:pPr>
              <w:spacing w:after="50" w:before="50" w:line="252" w:lineRule="auto"/>
            </w:pPr>
            <w:r>
              <w:rPr>
                <w:sz w:val="17"/>
              </w:rPr>
              <w:t>Prestige, competition success, research output</w:t>
            </w:r>
          </w:p>
        </w:tc>
        <w:tc>
          <w:tcPr>
            <w:tcW w:type="dxa" w:w="3030"/>
          </w:tcPr>
          <w:p>
            <w:pPr>
              <w:spacing w:after="50" w:before="50" w:line="252" w:lineRule="auto"/>
            </w:pPr>
            <w:r>
              <w:rPr>
                <w:sz w:val="17"/>
              </w:rPr>
              <w:t>Tier 1; competitions, research chair, coaching</w:t>
            </w:r>
          </w:p>
        </w:tc>
      </w:tr>
      <w:tr>
        <w:tc>
          <w:tcPr>
            <w:tcW w:type="dxa" w:w="2859"/>
            <w:shd w:val="clear" w:color="auto" w:fill="EAF1F4"/>
          </w:tcPr>
          <w:p>
            <w:pPr>
              <w:spacing w:after="50" w:before="50" w:line="252" w:lineRule="auto"/>
            </w:pPr>
            <w:r>
              <w:rPr>
                <w:sz w:val="17"/>
              </w:rPr>
              <w:t>Private and state universities with law faculties</w:t>
            </w:r>
          </w:p>
        </w:tc>
        <w:tc>
          <w:tcPr>
            <w:tcW w:type="dxa" w:w="895"/>
            <w:shd w:val="clear" w:color="auto" w:fill="EAF1F4"/>
          </w:tcPr>
          <w:p>
            <w:pPr>
              <w:spacing w:after="50" w:before="50" w:line="252" w:lineRule="auto"/>
            </w:pPr>
            <w:r>
              <w:rPr>
                <w:sz w:val="17"/>
              </w:rPr>
              <w:t>~400+</w:t>
            </w:r>
          </w:p>
        </w:tc>
        <w:tc>
          <w:tcPr>
            <w:tcW w:type="dxa" w:w="2684"/>
            <w:shd w:val="clear" w:color="auto" w:fill="EAF1F4"/>
          </w:tcPr>
          <w:p>
            <w:pPr>
              <w:spacing w:after="50" w:before="50" w:line="252" w:lineRule="auto"/>
            </w:pPr>
            <w:r>
              <w:rPr>
                <w:sz w:val="17"/>
              </w:rPr>
              <w:t>Compliance, differentiation, placements</w:t>
            </w:r>
          </w:p>
        </w:tc>
        <w:tc>
          <w:tcPr>
            <w:tcW w:type="dxa" w:w="3030"/>
            <w:shd w:val="clear" w:color="auto" w:fill="EAF1F4"/>
          </w:tcPr>
          <w:p>
            <w:pPr>
              <w:spacing w:after="50" w:before="50" w:line="252" w:lineRule="auto"/>
            </w:pPr>
            <w:r>
              <w:rPr>
                <w:sz w:val="17"/>
              </w:rPr>
              <w:t>Tier 2; certificate courses, internships, FDP</w:t>
            </w:r>
          </w:p>
        </w:tc>
      </w:tr>
      <w:tr>
        <w:tc>
          <w:tcPr>
            <w:tcW w:type="dxa" w:w="2859"/>
          </w:tcPr>
          <w:p>
            <w:pPr>
              <w:spacing w:after="50" w:before="50" w:line="252" w:lineRule="auto"/>
            </w:pPr>
            <w:r>
              <w:rPr>
                <w:sz w:val="17"/>
              </w:rPr>
              <w:t>Management and commerce schools</w:t>
            </w:r>
          </w:p>
        </w:tc>
        <w:tc>
          <w:tcPr>
            <w:tcW w:type="dxa" w:w="895"/>
          </w:tcPr>
          <w:p>
            <w:pPr>
              <w:spacing w:after="50" w:before="50" w:line="252" w:lineRule="auto"/>
            </w:pPr>
            <w:r>
              <w:rPr>
                <w:sz w:val="17"/>
              </w:rPr>
              <w:t>~700+</w:t>
            </w:r>
          </w:p>
        </w:tc>
        <w:tc>
          <w:tcPr>
            <w:tcW w:type="dxa" w:w="2684"/>
          </w:tcPr>
          <w:p>
            <w:pPr>
              <w:spacing w:after="50" w:before="50" w:line="252" w:lineRule="auto"/>
            </w:pPr>
            <w:r>
              <w:rPr>
                <w:sz w:val="17"/>
              </w:rPr>
              <w:t>Employability, industry linkage</w:t>
            </w:r>
          </w:p>
        </w:tc>
        <w:tc>
          <w:tcPr>
            <w:tcW w:type="dxa" w:w="3030"/>
          </w:tcPr>
          <w:p>
            <w:pPr>
              <w:spacing w:after="50" w:before="50" w:line="252" w:lineRule="auto"/>
            </w:pPr>
            <w:r>
              <w:rPr>
                <w:sz w:val="17"/>
              </w:rPr>
              <w:t>Tier 2; negotiation, commercial disputes, POSH and HR</w:t>
            </w:r>
          </w:p>
        </w:tc>
      </w:tr>
      <w:tr>
        <w:tc>
          <w:tcPr>
            <w:tcW w:type="dxa" w:w="2859"/>
            <w:shd w:val="clear" w:color="auto" w:fill="EAF1F4"/>
          </w:tcPr>
          <w:p>
            <w:pPr>
              <w:spacing w:after="50" w:before="50" w:line="252" w:lineRule="auto"/>
            </w:pPr>
            <w:r>
              <w:rPr>
                <w:sz w:val="17"/>
              </w:rPr>
              <w:t>General and technical universities</w:t>
            </w:r>
          </w:p>
        </w:tc>
        <w:tc>
          <w:tcPr>
            <w:tcW w:type="dxa" w:w="895"/>
            <w:shd w:val="clear" w:color="auto" w:fill="EAF1F4"/>
          </w:tcPr>
          <w:p>
            <w:pPr>
              <w:spacing w:after="50" w:before="50" w:line="252" w:lineRule="auto"/>
            </w:pPr>
            <w:r>
              <w:rPr>
                <w:sz w:val="17"/>
              </w:rPr>
              <w:t>Very large</w:t>
            </w:r>
          </w:p>
        </w:tc>
        <w:tc>
          <w:tcPr>
            <w:tcW w:type="dxa" w:w="2684"/>
            <w:shd w:val="clear" w:color="auto" w:fill="EAF1F4"/>
          </w:tcPr>
          <w:p>
            <w:pPr>
              <w:spacing w:after="50" w:before="50" w:line="252" w:lineRule="auto"/>
            </w:pPr>
            <w:r>
              <w:rPr>
                <w:sz w:val="17"/>
              </w:rPr>
              <w:t>Grievance machinery, POSH, student welfare</w:t>
            </w:r>
          </w:p>
        </w:tc>
        <w:tc>
          <w:tcPr>
            <w:tcW w:type="dxa" w:w="3030"/>
            <w:shd w:val="clear" w:color="auto" w:fill="EAF1F4"/>
          </w:tcPr>
          <w:p>
            <w:pPr>
              <w:spacing w:after="50" w:before="50" w:line="252" w:lineRule="auto"/>
            </w:pPr>
            <w:r>
              <w:rPr>
                <w:sz w:val="17"/>
              </w:rPr>
              <w:t>Tier 3 plus advisory retainer</w:t>
            </w:r>
          </w:p>
        </w:tc>
      </w:tr>
    </w:tbl>
    <w:p>
      <w:pPr>
        <w:spacing w:after="80" w:before="0"/>
      </w:pPr>
    </w:p>
    <w:p>
      <w:r>
        <w:rPr>
          <w:b/>
        </w:rPr>
        <w:t>[verify — institutional population figures before external citation.]</w:t>
      </w:r>
    </w:p>
    <w:p>
      <w:pPr>
        <w:spacing w:before="80" w:after="160"/>
        <w:pBdr>
          <w:bottom w:val="single" w:sz="6" w:space="1" w:color="C9D6DE"/>
        </w:pBdr>
      </w:pPr>
    </w:p>
    <w:p>
      <w:pPr>
        <w:pStyle w:val="Heading1"/>
        <w:pBdr>
          <w:bottom w:val="single" w:sz="8" w:space="4" w:color="C9D6DE"/>
        </w:pBdr>
      </w:pPr>
      <w:r>
        <w:t>6. Conclusions for the programme</w:t>
      </w:r>
    </w:p>
    <w:p>
      <w:pPr>
        <w:pStyle w:val="ListNumber"/>
      </w:pPr>
      <w:r>
        <w:rPr>
          <w:sz w:val="21"/>
        </w:rPr>
        <w:t xml:space="preserve">The statutory foundation for mediation exists; the accreditation superstructure does not yet. </w:t>
      </w:r>
      <w:r>
        <w:rPr>
          <w:b/>
          <w:sz w:val="21"/>
        </w:rPr>
        <w:t>Move now.</w:t>
      </w:r>
    </w:p>
    <w:p>
      <w:pPr>
        <w:pStyle w:val="ListNumber"/>
      </w:pPr>
      <w:r>
        <w:rPr>
          <w:sz w:val="21"/>
        </w:rPr>
        <w:t xml:space="preserve">The UGC internship mandate makes the MOU a document universities need. </w:t>
      </w:r>
      <w:r>
        <w:rPr>
          <w:b/>
          <w:sz w:val="21"/>
        </w:rPr>
        <w:t>Lead with it.</w:t>
      </w:r>
    </w:p>
    <w:p>
      <w:pPr>
        <w:pStyle w:val="ListNumber"/>
      </w:pPr>
      <w:r>
        <w:rPr>
          <w:sz w:val="21"/>
        </w:rPr>
        <w:t xml:space="preserve">The UGC Ombudsperson and SGRC mandate turns universities into clients. </w:t>
      </w:r>
      <w:r>
        <w:rPr>
          <w:b/>
          <w:sz w:val="21"/>
        </w:rPr>
        <w:t>This is the most under-exploited revenue line in the market.</w:t>
      </w:r>
    </w:p>
    <w:p>
      <w:pPr>
        <w:pStyle w:val="ListNumber"/>
      </w:pPr>
      <w:r>
        <w:rPr>
          <w:sz w:val="21"/>
        </w:rPr>
        <w:t xml:space="preserve">Confidentiality under the Mediation Act constrains every live-exposure activity. </w:t>
      </w:r>
      <w:r>
        <w:rPr>
          <w:b/>
          <w:sz w:val="21"/>
        </w:rPr>
        <w:t>Design for it from the outset rather than retrofitting.</w:t>
      </w:r>
    </w:p>
    <w:p>
      <w:pPr>
        <w:pStyle w:val="ListNumber"/>
      </w:pPr>
      <w:r>
        <w:rPr>
          <w:sz w:val="21"/>
        </w:rPr>
        <w:t xml:space="preserve">DPDP obligations attach to every registration form the programme will ever issue. </w:t>
      </w:r>
      <w:r>
        <w:rPr>
          <w:b/>
          <w:sz w:val="21"/>
        </w:rPr>
        <w:t>Clear the DPO before the first portal opens.</w:t>
      </w:r>
    </w:p>
    <w:p>
      <w:pPr>
        <w:pStyle w:val="ListNumber"/>
      </w:pPr>
      <w:r>
        <w:rPr>
          <w:sz w:val="21"/>
        </w:rPr>
        <w:t xml:space="preserve">The professional training market clears at ₹25,000 to ₹50,000. </w:t>
      </w:r>
      <w:r>
        <w:rPr>
          <w:b/>
          <w:sz w:val="21"/>
        </w:rPr>
        <w:t>Price the student programme as pipeline and the professional programme as revenue.</w:t>
      </w:r>
    </w:p>
    <w:p>
      <w:pPr>
        <w:pStyle w:val="ListNumber"/>
      </w:pPr>
      <w:r>
        <w:rPr>
          <w:sz w:val="21"/>
        </w:rPr>
        <w:t xml:space="preserve">The competition calendar is crowded in February and March. </w:t>
      </w:r>
      <w:r>
        <w:rPr>
          <w:b/>
          <w:sz w:val="21"/>
        </w:rPr>
        <w:t>Own a different month.</w:t>
      </w:r>
    </w:p>
    <w:p>
      <w:pPr>
        <w:pStyle w:val="ListNumber"/>
      </w:pPr>
      <w:r>
        <w:rPr>
          <w:sz w:val="21"/>
        </w:rPr>
        <w:t xml:space="preserve">Nothing may be marketed as government-recognised. </w:t>
      </w:r>
      <w:r>
        <w:rPr>
          <w:b/>
          <w:sz w:val="21"/>
        </w:rPr>
        <w:t>Discipline here is the licence to operate.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EQ-UAP-012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Regulatory &amp; Market Landscape Report</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07C2E0-D093-4514-B1B6-08F1C8D32E85}"/>
</file>

<file path=customXml/itemProps3.xml><?xml version="1.0" encoding="utf-8"?>
<ds:datastoreItem xmlns:ds="http://schemas.openxmlformats.org/officeDocument/2006/customXml" ds:itemID="{7AAEF704-8A1E-4843-819B-AC15AE8C091F}"/>
</file>

<file path=customXml/itemProps4.xml><?xml version="1.0" encoding="utf-8"?>
<ds:datastoreItem xmlns:ds="http://schemas.openxmlformats.org/officeDocument/2006/customXml" ds:itemID="{1EB8A56D-8D0C-4877-98EA-E9D86B80942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