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University Tiering, Scoring &amp; Selection Framework</w:t>
      </w:r>
    </w:p>
    <w:p>
      <w:pPr>
        <w:spacing w:after="280" w:line="276" w:lineRule="auto"/>
      </w:pPr>
      <w:r>
        <w:rPr>
          <w:rFonts w:ascii="Calibri" w:hAnsi="Calibri"/>
          <w:i/>
          <w:color w:val="3E6B8A"/>
          <w:sz w:val="25"/>
        </w:rPr>
        <w:t>A repeatable scoring model that decides which institutions Equator pursues, at what tier, and with what offer</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EQ-UAP-013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Strategy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Why a scoring model</w:t>
      </w:r>
    </w:p>
    <w:p>
      <w:r>
        <w:t>Business development time is the scarcest resource in this programme. Without a scoring discipline, effort flows toward whichever institution is most enthusiastic, which is rarely the institution most worth having. The model below converts judgement into a repeatable number, sets the tier, and therefore sets which schedules attach to the MOU and what is charged.</w:t>
      </w:r>
    </w:p>
    <w:p>
      <w:r>
        <w:rPr>
          <w:b/>
        </w:rPr>
        <w:t>Rule: no institution receives more than one hour of Equator time before it is scored.</w:t>
      </w:r>
    </w:p>
    <w:p>
      <w:pPr>
        <w:spacing w:before="80" w:after="160"/>
        <w:pBdr>
          <w:bottom w:val="single" w:sz="6" w:space="1" w:color="C9D6DE"/>
        </w:pBdr>
      </w:pPr>
    </w:p>
    <w:p>
      <w:pPr>
        <w:pStyle w:val="Heading1"/>
        <w:pBdr>
          <w:bottom w:val="single" w:sz="8" w:space="4" w:color="C9D6DE"/>
        </w:pBdr>
      </w:pPr>
      <w:r>
        <w:t>1. The scoring instrument</w:t>
      </w:r>
    </w:p>
    <w:p>
      <w:r>
        <w:t>Ten criteria, each scored 0 to 5, with weights. Maximum weighted score 100.</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2970"/>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Weight</w:t>
            </w:r>
          </w:p>
        </w:tc>
        <w:tc>
          <w:tcPr>
            <w:tcW w:type="dxa" w:w="1467"/>
            <w:shd w:val="clear" w:color="auto" w:fill="10375C"/>
          </w:tcPr>
          <w:p>
            <w:pPr>
              <w:spacing w:after="50" w:before="50"/>
            </w:pPr>
            <w:r>
              <w:rPr>
                <w:b/>
                <w:color w:val="FFFFFF"/>
                <w:sz w:val="17"/>
              </w:rPr>
              <w:t>0</w:t>
            </w:r>
          </w:p>
        </w:tc>
        <w:tc>
          <w:tcPr>
            <w:tcW w:type="dxa" w:w="1466"/>
            <w:shd w:val="clear" w:color="auto" w:fill="10375C"/>
          </w:tcPr>
          <w:p>
            <w:pPr>
              <w:spacing w:after="50" w:before="50"/>
            </w:pPr>
            <w:r>
              <w:rPr>
                <w:b/>
                <w:color w:val="FFFFFF"/>
                <w:sz w:val="17"/>
              </w:rPr>
              <w:t>3</w:t>
            </w:r>
          </w:p>
        </w:tc>
        <w:tc>
          <w:tcPr>
            <w:tcW w:type="dxa" w:w="2970"/>
            <w:shd w:val="clear" w:color="auto" w:fill="10375C"/>
          </w:tcPr>
          <w:p>
            <w:pPr>
              <w:spacing w:after="50" w:before="50"/>
            </w:pPr>
            <w:r>
              <w:rPr>
                <w:b/>
                <w:color w:val="FFFFFF"/>
                <w:sz w:val="17"/>
              </w:rPr>
              <w:t>5</w:t>
            </w:r>
          </w:p>
        </w:tc>
      </w:tr>
      <w:tr>
        <w:tc>
          <w:tcPr>
            <w:tcW w:type="dxa" w:w="850"/>
          </w:tcPr>
          <w:p>
            <w:pPr>
              <w:spacing w:after="50" w:before="50" w:line="252" w:lineRule="auto"/>
            </w:pPr>
            <w:r>
              <w:rPr>
                <w:sz w:val="17"/>
              </w:rPr>
              <w:t>1</w:t>
            </w:r>
          </w:p>
        </w:tc>
        <w:tc>
          <w:tcPr>
            <w:tcW w:type="dxa" w:w="2970"/>
          </w:tcPr>
          <w:p>
            <w:pPr>
              <w:spacing w:after="50" w:before="50" w:line="252" w:lineRule="auto"/>
            </w:pPr>
            <w:r>
              <w:rPr>
                <w:b/>
                <w:sz w:val="17"/>
              </w:rPr>
              <w:t>Champion identified</w:t>
            </w:r>
            <w:r>
              <w:rPr>
                <w:sz w:val="17"/>
              </w:rPr>
              <w:t xml:space="preserve"> — a named faculty member or centre head with personal incentive to make it work</w:t>
            </w:r>
          </w:p>
        </w:tc>
        <w:tc>
          <w:tcPr>
            <w:tcW w:type="dxa" w:w="850"/>
          </w:tcPr>
          <w:p>
            <w:pPr>
              <w:spacing w:after="50" w:before="50" w:line="252" w:lineRule="auto"/>
            </w:pPr>
            <w:r>
              <w:rPr>
                <w:sz w:val="17"/>
              </w:rPr>
              <w:t>15</w:t>
            </w:r>
          </w:p>
        </w:tc>
        <w:tc>
          <w:tcPr>
            <w:tcW w:type="dxa" w:w="1467"/>
          </w:tcPr>
          <w:p>
            <w:pPr>
              <w:spacing w:after="50" w:before="50" w:line="252" w:lineRule="auto"/>
            </w:pPr>
            <w:r>
              <w:rPr>
                <w:sz w:val="17"/>
              </w:rPr>
              <w:t>None identified</w:t>
            </w:r>
          </w:p>
        </w:tc>
        <w:tc>
          <w:tcPr>
            <w:tcW w:type="dxa" w:w="1466"/>
          </w:tcPr>
          <w:p>
            <w:pPr>
              <w:spacing w:after="50" w:before="50" w:line="252" w:lineRule="auto"/>
            </w:pPr>
            <w:r>
              <w:rPr>
                <w:sz w:val="17"/>
              </w:rPr>
              <w:t>Interested contact, no authority</w:t>
            </w:r>
          </w:p>
        </w:tc>
        <w:tc>
          <w:tcPr>
            <w:tcW w:type="dxa" w:w="2970"/>
          </w:tcPr>
          <w:p>
            <w:pPr>
              <w:spacing w:after="50" w:before="50" w:line="252" w:lineRule="auto"/>
            </w:pPr>
            <w:r>
              <w:rPr>
                <w:sz w:val="17"/>
              </w:rPr>
              <w:t>Named, senior, with institutional standing and a personal stake</w:t>
            </w:r>
          </w:p>
        </w:tc>
      </w:tr>
      <w:tr>
        <w:tc>
          <w:tcPr>
            <w:tcW w:type="dxa" w:w="850"/>
            <w:shd w:val="clear" w:color="auto" w:fill="EAF1F4"/>
          </w:tcPr>
          <w:p>
            <w:pPr>
              <w:spacing w:after="50" w:before="50" w:line="252" w:lineRule="auto"/>
            </w:pPr>
            <w:r>
              <w:rPr>
                <w:sz w:val="17"/>
              </w:rPr>
              <w:t>2</w:t>
            </w:r>
          </w:p>
        </w:tc>
        <w:tc>
          <w:tcPr>
            <w:tcW w:type="dxa" w:w="2970"/>
            <w:shd w:val="clear" w:color="auto" w:fill="EAF1F4"/>
          </w:tcPr>
          <w:p>
            <w:pPr>
              <w:spacing w:after="50" w:before="50" w:line="252" w:lineRule="auto"/>
            </w:pPr>
            <w:r>
              <w:rPr>
                <w:b/>
                <w:sz w:val="17"/>
              </w:rPr>
              <w:t>Decision access</w:t>
            </w:r>
            <w:r>
              <w:rPr>
                <w:sz w:val="17"/>
              </w:rPr>
              <w:t xml:space="preserve"> — proximity to the signing authority</w:t>
            </w:r>
          </w:p>
        </w:tc>
        <w:tc>
          <w:tcPr>
            <w:tcW w:type="dxa" w:w="850"/>
            <w:shd w:val="clear" w:color="auto" w:fill="EAF1F4"/>
          </w:tcPr>
          <w:p>
            <w:pPr>
              <w:spacing w:after="50" w:before="50" w:line="252" w:lineRule="auto"/>
            </w:pPr>
            <w:r>
              <w:rPr>
                <w:sz w:val="17"/>
              </w:rPr>
              <w:t>10</w:t>
            </w:r>
          </w:p>
        </w:tc>
        <w:tc>
          <w:tcPr>
            <w:tcW w:type="dxa" w:w="1467"/>
            <w:shd w:val="clear" w:color="auto" w:fill="EAF1F4"/>
          </w:tcPr>
          <w:p>
            <w:pPr>
              <w:spacing w:after="50" w:before="50" w:line="252" w:lineRule="auto"/>
            </w:pPr>
            <w:r>
              <w:rPr>
                <w:sz w:val="17"/>
              </w:rPr>
              <w:t>No route to Registrar or VC</w:t>
            </w:r>
          </w:p>
        </w:tc>
        <w:tc>
          <w:tcPr>
            <w:tcW w:type="dxa" w:w="1466"/>
            <w:shd w:val="clear" w:color="auto" w:fill="EAF1F4"/>
          </w:tcPr>
          <w:p>
            <w:pPr>
              <w:spacing w:after="50" w:before="50" w:line="252" w:lineRule="auto"/>
            </w:pPr>
            <w:r>
              <w:rPr>
                <w:sz w:val="17"/>
              </w:rPr>
              <w:t>Route exists via two intermediaries</w:t>
            </w:r>
          </w:p>
        </w:tc>
        <w:tc>
          <w:tcPr>
            <w:tcW w:type="dxa" w:w="2970"/>
            <w:shd w:val="clear" w:color="auto" w:fill="EAF1F4"/>
          </w:tcPr>
          <w:p>
            <w:pPr>
              <w:spacing w:after="50" w:before="50" w:line="252" w:lineRule="auto"/>
            </w:pPr>
            <w:r>
              <w:rPr>
                <w:sz w:val="17"/>
              </w:rPr>
              <w:t>Direct access; VC or Registrar already engaged</w:t>
            </w:r>
          </w:p>
        </w:tc>
      </w:tr>
      <w:tr>
        <w:tc>
          <w:tcPr>
            <w:tcW w:type="dxa" w:w="850"/>
          </w:tcPr>
          <w:p>
            <w:pPr>
              <w:spacing w:after="50" w:before="50" w:line="252" w:lineRule="auto"/>
            </w:pPr>
            <w:r>
              <w:rPr>
                <w:sz w:val="17"/>
              </w:rPr>
              <w:t>3</w:t>
            </w:r>
          </w:p>
        </w:tc>
        <w:tc>
          <w:tcPr>
            <w:tcW w:type="dxa" w:w="2970"/>
          </w:tcPr>
          <w:p>
            <w:pPr>
              <w:spacing w:after="50" w:before="50" w:line="252" w:lineRule="auto"/>
            </w:pPr>
            <w:r>
              <w:rPr>
                <w:b/>
                <w:sz w:val="17"/>
              </w:rPr>
              <w:t>Student volume and quality</w:t>
            </w:r>
            <w:r>
              <w:rPr>
                <w:sz w:val="17"/>
              </w:rPr>
              <w:t xml:space="preserve"> — size and calibre of the relevant cohort</w:t>
            </w:r>
          </w:p>
        </w:tc>
        <w:tc>
          <w:tcPr>
            <w:tcW w:type="dxa" w:w="850"/>
          </w:tcPr>
          <w:p>
            <w:pPr>
              <w:spacing w:after="50" w:before="50" w:line="252" w:lineRule="auto"/>
            </w:pPr>
            <w:r>
              <w:rPr>
                <w:sz w:val="17"/>
              </w:rPr>
              <w:t>12</w:t>
            </w:r>
          </w:p>
        </w:tc>
        <w:tc>
          <w:tcPr>
            <w:tcW w:type="dxa" w:w="1467"/>
          </w:tcPr>
          <w:p>
            <w:pPr>
              <w:spacing w:after="50" w:before="50" w:line="252" w:lineRule="auto"/>
            </w:pPr>
            <w:r>
              <w:rPr>
                <w:sz w:val="17"/>
              </w:rPr>
              <w:t>Under 100 relevant students</w:t>
            </w:r>
          </w:p>
        </w:tc>
        <w:tc>
          <w:tcPr>
            <w:tcW w:type="dxa" w:w="1466"/>
          </w:tcPr>
          <w:p>
            <w:pPr>
              <w:spacing w:after="50" w:before="50" w:line="252" w:lineRule="auto"/>
            </w:pPr>
            <w:r>
              <w:rPr>
                <w:sz w:val="17"/>
              </w:rPr>
              <w:t>100–400</w:t>
            </w:r>
          </w:p>
        </w:tc>
        <w:tc>
          <w:tcPr>
            <w:tcW w:type="dxa" w:w="2970"/>
          </w:tcPr>
          <w:p>
            <w:pPr>
              <w:spacing w:after="50" w:before="50" w:line="252" w:lineRule="auto"/>
            </w:pPr>
            <w:r>
              <w:rPr>
                <w:sz w:val="17"/>
              </w:rPr>
              <w:t>400+, or a highly selective intake</w:t>
            </w:r>
          </w:p>
        </w:tc>
      </w:tr>
      <w:tr>
        <w:tc>
          <w:tcPr>
            <w:tcW w:type="dxa" w:w="850"/>
            <w:shd w:val="clear" w:color="auto" w:fill="EAF1F4"/>
          </w:tcPr>
          <w:p>
            <w:pPr>
              <w:spacing w:after="50" w:before="50" w:line="252" w:lineRule="auto"/>
            </w:pPr>
            <w:r>
              <w:rPr>
                <w:sz w:val="17"/>
              </w:rPr>
              <w:t>4</w:t>
            </w:r>
          </w:p>
        </w:tc>
        <w:tc>
          <w:tcPr>
            <w:tcW w:type="dxa" w:w="2970"/>
            <w:shd w:val="clear" w:color="auto" w:fill="EAF1F4"/>
          </w:tcPr>
          <w:p>
            <w:pPr>
              <w:spacing w:after="50" w:before="50" w:line="252" w:lineRule="auto"/>
            </w:pPr>
            <w:r>
              <w:rPr>
                <w:b/>
                <w:sz w:val="17"/>
              </w:rPr>
              <w:t>Existing ADR infrastructure</w:t>
            </w:r>
            <w:r>
              <w:rPr>
                <w:sz w:val="17"/>
              </w:rPr>
              <w:t xml:space="preserve"> — centre, cell, moot culture, ADR faculty</w:t>
            </w:r>
          </w:p>
        </w:tc>
        <w:tc>
          <w:tcPr>
            <w:tcW w:type="dxa" w:w="850"/>
            <w:shd w:val="clear" w:color="auto" w:fill="EAF1F4"/>
          </w:tcPr>
          <w:p>
            <w:pPr>
              <w:spacing w:after="50" w:before="50" w:line="252" w:lineRule="auto"/>
            </w:pPr>
            <w:r>
              <w:rPr>
                <w:sz w:val="17"/>
              </w:rPr>
              <w:t>10</w:t>
            </w:r>
          </w:p>
        </w:tc>
        <w:tc>
          <w:tcPr>
            <w:tcW w:type="dxa" w:w="1467"/>
            <w:shd w:val="clear" w:color="auto" w:fill="EAF1F4"/>
          </w:tcPr>
          <w:p>
            <w:pPr>
              <w:spacing w:after="50" w:before="50" w:line="252" w:lineRule="auto"/>
            </w:pPr>
            <w:r>
              <w:rPr>
                <w:sz w:val="17"/>
              </w:rPr>
              <w:t>None</w:t>
            </w:r>
          </w:p>
        </w:tc>
        <w:tc>
          <w:tcPr>
            <w:tcW w:type="dxa" w:w="1466"/>
            <w:shd w:val="clear" w:color="auto" w:fill="EAF1F4"/>
          </w:tcPr>
          <w:p>
            <w:pPr>
              <w:spacing w:after="50" w:before="50" w:line="252" w:lineRule="auto"/>
            </w:pPr>
            <w:r>
              <w:rPr>
                <w:sz w:val="17"/>
              </w:rPr>
              <w:t>Some moot activity</w:t>
            </w:r>
          </w:p>
        </w:tc>
        <w:tc>
          <w:tcPr>
            <w:tcW w:type="dxa" w:w="2970"/>
            <w:shd w:val="clear" w:color="auto" w:fill="EAF1F4"/>
          </w:tcPr>
          <w:p>
            <w:pPr>
              <w:spacing w:after="50" w:before="50" w:line="252" w:lineRule="auto"/>
            </w:pPr>
            <w:r>
              <w:rPr>
                <w:sz w:val="17"/>
              </w:rPr>
              <w:t>Established ADR centre with a track record</w:t>
            </w:r>
          </w:p>
        </w:tc>
      </w:tr>
      <w:tr>
        <w:tc>
          <w:tcPr>
            <w:tcW w:type="dxa" w:w="850"/>
          </w:tcPr>
          <w:p>
            <w:pPr>
              <w:spacing w:after="50" w:before="50" w:line="252" w:lineRule="auto"/>
            </w:pPr>
            <w:r>
              <w:rPr>
                <w:sz w:val="17"/>
              </w:rPr>
              <w:t>5</w:t>
            </w:r>
          </w:p>
        </w:tc>
        <w:tc>
          <w:tcPr>
            <w:tcW w:type="dxa" w:w="2970"/>
          </w:tcPr>
          <w:p>
            <w:pPr>
              <w:spacing w:after="50" w:before="50" w:line="252" w:lineRule="auto"/>
            </w:pPr>
            <w:r>
              <w:rPr>
                <w:b/>
                <w:sz w:val="17"/>
              </w:rPr>
              <w:t>Ability and willingness to pay</w:t>
            </w:r>
            <w:r>
              <w:rPr>
                <w:sz w:val="17"/>
              </w:rPr>
              <w:t xml:space="preserve"> — budget for training, FDP and events</w:t>
            </w:r>
          </w:p>
        </w:tc>
        <w:tc>
          <w:tcPr>
            <w:tcW w:type="dxa" w:w="850"/>
          </w:tcPr>
          <w:p>
            <w:pPr>
              <w:spacing w:after="50" w:before="50" w:line="252" w:lineRule="auto"/>
            </w:pPr>
            <w:r>
              <w:rPr>
                <w:sz w:val="17"/>
              </w:rPr>
              <w:t>15</w:t>
            </w:r>
          </w:p>
        </w:tc>
        <w:tc>
          <w:tcPr>
            <w:tcW w:type="dxa" w:w="1467"/>
          </w:tcPr>
          <w:p>
            <w:pPr>
              <w:spacing w:after="50" w:before="50" w:line="252" w:lineRule="auto"/>
            </w:pPr>
            <w:r>
              <w:rPr>
                <w:sz w:val="17"/>
              </w:rPr>
              <w:t>No budget; expects everything free</w:t>
            </w:r>
          </w:p>
        </w:tc>
        <w:tc>
          <w:tcPr>
            <w:tcW w:type="dxa" w:w="1466"/>
          </w:tcPr>
          <w:p>
            <w:pPr>
              <w:spacing w:after="50" w:before="50" w:line="252" w:lineRule="auto"/>
            </w:pPr>
            <w:r>
              <w:rPr>
                <w:sz w:val="17"/>
              </w:rPr>
              <w:t>Modest budget; needs justification</w:t>
            </w:r>
          </w:p>
        </w:tc>
        <w:tc>
          <w:tcPr>
            <w:tcW w:type="dxa" w:w="2970"/>
          </w:tcPr>
          <w:p>
            <w:pPr>
              <w:spacing w:after="50" w:before="50" w:line="252" w:lineRule="auto"/>
            </w:pPr>
            <w:r>
              <w:rPr>
                <w:sz w:val="17"/>
              </w:rPr>
              <w:t>Established budget lines; pays market rates</w:t>
            </w:r>
          </w:p>
        </w:tc>
      </w:tr>
      <w:tr>
        <w:tc>
          <w:tcPr>
            <w:tcW w:type="dxa" w:w="850"/>
            <w:shd w:val="clear" w:color="auto" w:fill="EAF1F4"/>
          </w:tcPr>
          <w:p>
            <w:pPr>
              <w:spacing w:after="50" w:before="50" w:line="252" w:lineRule="auto"/>
            </w:pPr>
            <w:r>
              <w:rPr>
                <w:sz w:val="17"/>
              </w:rPr>
              <w:t>6</w:t>
            </w:r>
          </w:p>
        </w:tc>
        <w:tc>
          <w:tcPr>
            <w:tcW w:type="dxa" w:w="2970"/>
            <w:shd w:val="clear" w:color="auto" w:fill="EAF1F4"/>
          </w:tcPr>
          <w:p>
            <w:pPr>
              <w:spacing w:after="50" w:before="50" w:line="252" w:lineRule="auto"/>
            </w:pPr>
            <w:r>
              <w:rPr>
                <w:b/>
                <w:sz w:val="17"/>
              </w:rPr>
              <w:t>Compliance need</w:t>
            </w:r>
            <w:r>
              <w:rPr>
                <w:sz w:val="17"/>
              </w:rPr>
              <w:t xml:space="preserve"> — unmet UGC internship, SGRC, Ombudsperson or POSH requirement</w:t>
            </w:r>
          </w:p>
        </w:tc>
        <w:tc>
          <w:tcPr>
            <w:tcW w:type="dxa" w:w="850"/>
            <w:shd w:val="clear" w:color="auto" w:fill="EAF1F4"/>
          </w:tcPr>
          <w:p>
            <w:pPr>
              <w:spacing w:after="50" w:before="50" w:line="252" w:lineRule="auto"/>
            </w:pPr>
            <w:r>
              <w:rPr>
                <w:sz w:val="17"/>
              </w:rPr>
              <w:t>10</w:t>
            </w:r>
          </w:p>
        </w:tc>
        <w:tc>
          <w:tcPr>
            <w:tcW w:type="dxa" w:w="1467"/>
            <w:shd w:val="clear" w:color="auto" w:fill="EAF1F4"/>
          </w:tcPr>
          <w:p>
            <w:pPr>
              <w:spacing w:after="50" w:before="50" w:line="252" w:lineRule="auto"/>
            </w:pPr>
            <w:r>
              <w:rPr>
                <w:sz w:val="17"/>
              </w:rPr>
              <w:t>Fully resourced already</w:t>
            </w:r>
          </w:p>
        </w:tc>
        <w:tc>
          <w:tcPr>
            <w:tcW w:type="dxa" w:w="1466"/>
            <w:shd w:val="clear" w:color="auto" w:fill="EAF1F4"/>
          </w:tcPr>
          <w:p>
            <w:pPr>
              <w:spacing w:after="50" w:before="50" w:line="252" w:lineRule="auto"/>
            </w:pPr>
            <w:r>
              <w:rPr>
                <w:sz w:val="17"/>
              </w:rPr>
              <w:t>Partially resourced</w:t>
            </w:r>
          </w:p>
        </w:tc>
        <w:tc>
          <w:tcPr>
            <w:tcW w:type="dxa" w:w="2970"/>
            <w:shd w:val="clear" w:color="auto" w:fill="EAF1F4"/>
          </w:tcPr>
          <w:p>
            <w:pPr>
              <w:spacing w:after="50" w:before="50" w:line="252" w:lineRule="auto"/>
            </w:pPr>
            <w:r>
              <w:rPr>
                <w:sz w:val="17"/>
              </w:rPr>
              <w:t>Clear unmet need Equator can discharge</w:t>
            </w:r>
          </w:p>
        </w:tc>
      </w:tr>
      <w:tr>
        <w:tc>
          <w:tcPr>
            <w:tcW w:type="dxa" w:w="850"/>
          </w:tcPr>
          <w:p>
            <w:pPr>
              <w:spacing w:after="50" w:before="50" w:line="252" w:lineRule="auto"/>
            </w:pPr>
            <w:r>
              <w:rPr>
                <w:sz w:val="17"/>
              </w:rPr>
              <w:t>7</w:t>
            </w:r>
          </w:p>
        </w:tc>
        <w:tc>
          <w:tcPr>
            <w:tcW w:type="dxa" w:w="2970"/>
          </w:tcPr>
          <w:p>
            <w:pPr>
              <w:spacing w:after="50" w:before="50" w:line="252" w:lineRule="auto"/>
            </w:pPr>
            <w:r>
              <w:rPr>
                <w:b/>
                <w:sz w:val="17"/>
              </w:rPr>
              <w:t>Campus and infrastructure</w:t>
            </w:r>
            <w:r>
              <w:rPr>
                <w:sz w:val="17"/>
              </w:rPr>
              <w:t xml:space="preserve"> — venue, hostel, moot hall, recording capability</w:t>
            </w:r>
          </w:p>
        </w:tc>
        <w:tc>
          <w:tcPr>
            <w:tcW w:type="dxa" w:w="850"/>
          </w:tcPr>
          <w:p>
            <w:pPr>
              <w:spacing w:after="50" w:before="50" w:line="252" w:lineRule="auto"/>
            </w:pPr>
            <w:r>
              <w:rPr>
                <w:sz w:val="17"/>
              </w:rPr>
              <w:t>8</w:t>
            </w:r>
          </w:p>
        </w:tc>
        <w:tc>
          <w:tcPr>
            <w:tcW w:type="dxa" w:w="1467"/>
          </w:tcPr>
          <w:p>
            <w:pPr>
              <w:spacing w:after="50" w:before="50" w:line="252" w:lineRule="auto"/>
            </w:pPr>
            <w:r>
              <w:rPr>
                <w:sz w:val="17"/>
              </w:rPr>
              <w:t>Unusable</w:t>
            </w:r>
          </w:p>
        </w:tc>
        <w:tc>
          <w:tcPr>
            <w:tcW w:type="dxa" w:w="1466"/>
          </w:tcPr>
          <w:p>
            <w:pPr>
              <w:spacing w:after="50" w:before="50" w:line="252" w:lineRule="auto"/>
            </w:pPr>
            <w:r>
              <w:rPr>
                <w:sz w:val="17"/>
              </w:rPr>
              <w:t>Adequate</w:t>
            </w:r>
          </w:p>
        </w:tc>
        <w:tc>
          <w:tcPr>
            <w:tcW w:type="dxa" w:w="2970"/>
          </w:tcPr>
          <w:p>
            <w:pPr>
              <w:spacing w:after="50" w:before="50" w:line="252" w:lineRule="auto"/>
            </w:pPr>
            <w:r>
              <w:rPr>
                <w:sz w:val="17"/>
              </w:rPr>
              <w:t>Excellent, and available on favourable terms</w:t>
            </w:r>
          </w:p>
        </w:tc>
      </w:tr>
      <w:tr>
        <w:tc>
          <w:tcPr>
            <w:tcW w:type="dxa" w:w="850"/>
            <w:shd w:val="clear" w:color="auto" w:fill="EAF1F4"/>
          </w:tcPr>
          <w:p>
            <w:pPr>
              <w:spacing w:after="50" w:before="50" w:line="252" w:lineRule="auto"/>
            </w:pPr>
            <w:r>
              <w:rPr>
                <w:sz w:val="17"/>
              </w:rPr>
              <w:t>8</w:t>
            </w:r>
          </w:p>
        </w:tc>
        <w:tc>
          <w:tcPr>
            <w:tcW w:type="dxa" w:w="2970"/>
            <w:shd w:val="clear" w:color="auto" w:fill="EAF1F4"/>
          </w:tcPr>
          <w:p>
            <w:pPr>
              <w:spacing w:after="50" w:before="50" w:line="252" w:lineRule="auto"/>
            </w:pPr>
            <w:r>
              <w:rPr>
                <w:b/>
                <w:sz w:val="17"/>
              </w:rPr>
              <w:t>Brand contribution</w:t>
            </w:r>
            <w:r>
              <w:rPr>
                <w:sz w:val="17"/>
              </w:rPr>
              <w:t xml:space="preserve"> — what association does for Equator's standing</w:t>
            </w:r>
          </w:p>
        </w:tc>
        <w:tc>
          <w:tcPr>
            <w:tcW w:type="dxa" w:w="850"/>
            <w:shd w:val="clear" w:color="auto" w:fill="EAF1F4"/>
          </w:tcPr>
          <w:p>
            <w:pPr>
              <w:spacing w:after="50" w:before="50" w:line="252" w:lineRule="auto"/>
            </w:pPr>
            <w:r>
              <w:rPr>
                <w:sz w:val="17"/>
              </w:rPr>
              <w:t>10</w:t>
            </w:r>
          </w:p>
        </w:tc>
        <w:tc>
          <w:tcPr>
            <w:tcW w:type="dxa" w:w="1467"/>
            <w:shd w:val="clear" w:color="auto" w:fill="EAF1F4"/>
          </w:tcPr>
          <w:p>
            <w:pPr>
              <w:spacing w:after="50" w:before="50" w:line="252" w:lineRule="auto"/>
            </w:pPr>
            <w:r>
              <w:rPr>
                <w:sz w:val="17"/>
              </w:rPr>
              <w:t>Neutral or negative</w:t>
            </w:r>
          </w:p>
        </w:tc>
        <w:tc>
          <w:tcPr>
            <w:tcW w:type="dxa" w:w="1466"/>
            <w:shd w:val="clear" w:color="auto" w:fill="EAF1F4"/>
          </w:tcPr>
          <w:p>
            <w:pPr>
              <w:spacing w:after="50" w:before="50" w:line="252" w:lineRule="auto"/>
            </w:pPr>
            <w:r>
              <w:rPr>
                <w:sz w:val="17"/>
              </w:rPr>
              <w:t>Regionally recognised</w:t>
            </w:r>
          </w:p>
        </w:tc>
        <w:tc>
          <w:tcPr>
            <w:tcW w:type="dxa" w:w="2970"/>
            <w:shd w:val="clear" w:color="auto" w:fill="EAF1F4"/>
          </w:tcPr>
          <w:p>
            <w:pPr>
              <w:spacing w:after="50" w:before="50" w:line="252" w:lineRule="auto"/>
            </w:pPr>
            <w:r>
              <w:rPr>
                <w:sz w:val="17"/>
              </w:rPr>
              <w:t>Nationally recognised; association is itself an asset</w:t>
            </w:r>
          </w:p>
        </w:tc>
      </w:tr>
      <w:tr>
        <w:tc>
          <w:tcPr>
            <w:tcW w:type="dxa" w:w="850"/>
          </w:tcPr>
          <w:p>
            <w:pPr>
              <w:spacing w:after="50" w:before="50" w:line="252" w:lineRule="auto"/>
            </w:pPr>
            <w:r>
              <w:rPr>
                <w:sz w:val="17"/>
              </w:rPr>
              <w:t>9</w:t>
            </w:r>
          </w:p>
        </w:tc>
        <w:tc>
          <w:tcPr>
            <w:tcW w:type="dxa" w:w="2970"/>
          </w:tcPr>
          <w:p>
            <w:pPr>
              <w:spacing w:after="50" w:before="50" w:line="252" w:lineRule="auto"/>
            </w:pPr>
            <w:r>
              <w:rPr>
                <w:b/>
                <w:sz w:val="17"/>
              </w:rPr>
              <w:t>Geographic fit</w:t>
            </w:r>
            <w:r>
              <w:rPr>
                <w:sz w:val="17"/>
              </w:rPr>
              <w:t xml:space="preserve"> — presence in a target market or a city where Equator needs a footprint</w:t>
            </w:r>
          </w:p>
        </w:tc>
        <w:tc>
          <w:tcPr>
            <w:tcW w:type="dxa" w:w="850"/>
          </w:tcPr>
          <w:p>
            <w:pPr>
              <w:spacing w:after="50" w:before="50" w:line="252" w:lineRule="auto"/>
            </w:pPr>
            <w:r>
              <w:rPr>
                <w:sz w:val="17"/>
              </w:rPr>
              <w:t>5</w:t>
            </w:r>
          </w:p>
        </w:tc>
        <w:tc>
          <w:tcPr>
            <w:tcW w:type="dxa" w:w="1467"/>
          </w:tcPr>
          <w:p>
            <w:pPr>
              <w:spacing w:after="50" w:before="50" w:line="252" w:lineRule="auto"/>
            </w:pPr>
            <w:r>
              <w:rPr>
                <w:sz w:val="17"/>
              </w:rPr>
              <w:t>Saturated or irrelevant</w:t>
            </w:r>
          </w:p>
        </w:tc>
        <w:tc>
          <w:tcPr>
            <w:tcW w:type="dxa" w:w="1466"/>
          </w:tcPr>
          <w:p>
            <w:pPr>
              <w:spacing w:after="50" w:before="50" w:line="252" w:lineRule="auto"/>
            </w:pPr>
            <w:r>
              <w:rPr>
                <w:sz w:val="17"/>
              </w:rPr>
              <w:t>Useful</w:t>
            </w:r>
          </w:p>
        </w:tc>
        <w:tc>
          <w:tcPr>
            <w:tcW w:type="dxa" w:w="2970"/>
          </w:tcPr>
          <w:p>
            <w:pPr>
              <w:spacing w:after="50" w:before="50" w:line="252" w:lineRule="auto"/>
            </w:pPr>
            <w:r>
              <w:rPr>
                <w:sz w:val="17"/>
              </w:rPr>
              <w:t>Priority city with no current presence</w:t>
            </w:r>
          </w:p>
        </w:tc>
      </w:tr>
      <w:tr>
        <w:tc>
          <w:tcPr>
            <w:tcW w:type="dxa" w:w="850"/>
            <w:shd w:val="clear" w:color="auto" w:fill="EAF1F4"/>
          </w:tcPr>
          <w:p>
            <w:pPr>
              <w:spacing w:after="50" w:before="50" w:line="252" w:lineRule="auto"/>
            </w:pPr>
            <w:r>
              <w:rPr>
                <w:sz w:val="17"/>
              </w:rPr>
              <w:t>10</w:t>
            </w:r>
          </w:p>
        </w:tc>
        <w:tc>
          <w:tcPr>
            <w:tcW w:type="dxa" w:w="2970"/>
            <w:shd w:val="clear" w:color="auto" w:fill="EAF1F4"/>
          </w:tcPr>
          <w:p>
            <w:pPr>
              <w:spacing w:after="50" w:before="50" w:line="252" w:lineRule="auto"/>
            </w:pPr>
            <w:r>
              <w:rPr>
                <w:b/>
                <w:sz w:val="17"/>
              </w:rPr>
              <w:t>Operational reachability</w:t>
            </w:r>
            <w:r>
              <w:rPr>
                <w:sz w:val="17"/>
              </w:rPr>
              <w:t xml:space="preserve"> — travel cost, trainer availability, logistics</w:t>
            </w:r>
          </w:p>
        </w:tc>
        <w:tc>
          <w:tcPr>
            <w:tcW w:type="dxa" w:w="850"/>
            <w:shd w:val="clear" w:color="auto" w:fill="EAF1F4"/>
          </w:tcPr>
          <w:p>
            <w:pPr>
              <w:spacing w:after="50" w:before="50" w:line="252" w:lineRule="auto"/>
            </w:pPr>
            <w:r>
              <w:rPr>
                <w:sz w:val="17"/>
              </w:rPr>
              <w:t>5</w:t>
            </w:r>
          </w:p>
        </w:tc>
        <w:tc>
          <w:tcPr>
            <w:tcW w:type="dxa" w:w="1467"/>
            <w:shd w:val="clear" w:color="auto" w:fill="EAF1F4"/>
          </w:tcPr>
          <w:p>
            <w:pPr>
              <w:spacing w:after="50" w:before="50" w:line="252" w:lineRule="auto"/>
            </w:pPr>
            <w:r>
              <w:rPr>
                <w:sz w:val="17"/>
              </w:rPr>
              <w:t>Very difficult</w:t>
            </w:r>
          </w:p>
        </w:tc>
        <w:tc>
          <w:tcPr>
            <w:tcW w:type="dxa" w:w="1466"/>
            <w:shd w:val="clear" w:color="auto" w:fill="EAF1F4"/>
          </w:tcPr>
          <w:p>
            <w:pPr>
              <w:spacing w:after="50" w:before="50" w:line="252" w:lineRule="auto"/>
            </w:pPr>
            <w:r>
              <w:rPr>
                <w:sz w:val="17"/>
              </w:rPr>
              <w:t>Manageable</w:t>
            </w:r>
          </w:p>
        </w:tc>
        <w:tc>
          <w:tcPr>
            <w:tcW w:type="dxa" w:w="2970"/>
            <w:shd w:val="clear" w:color="auto" w:fill="EAF1F4"/>
          </w:tcPr>
          <w:p>
            <w:pPr>
              <w:spacing w:after="50" w:before="50" w:line="252" w:lineRule="auto"/>
            </w:pPr>
            <w:r>
              <w:rPr>
                <w:sz w:val="17"/>
              </w:rPr>
              <w:t>Easy; trainer bench already local</w:t>
            </w:r>
          </w:p>
        </w:tc>
      </w:tr>
    </w:tbl>
    <w:p>
      <w:pPr>
        <w:spacing w:after="80" w:before="0"/>
      </w:pPr>
    </w:p>
    <w:p>
      <w:pPr>
        <w:pStyle w:val="Heading2"/>
      </w:pPr>
      <w:r>
        <w:t>1.1 Tier assignment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213"/>
            <w:shd w:val="clear" w:color="auto" w:fill="10375C"/>
          </w:tcPr>
          <w:p>
            <w:pPr>
              <w:spacing w:after="50" w:before="50"/>
            </w:pPr>
            <w:r>
              <w:rPr>
                <w:b/>
                <w:color w:val="FFFFFF"/>
                <w:sz w:val="17"/>
              </w:rPr>
              <w:t>Weighted score</w:t>
            </w:r>
          </w:p>
        </w:tc>
        <w:tc>
          <w:tcPr>
            <w:tcW w:type="dxa" w:w="2435"/>
            <w:shd w:val="clear" w:color="auto" w:fill="10375C"/>
          </w:tcPr>
          <w:p>
            <w:pPr>
              <w:spacing w:after="50" w:before="50"/>
            </w:pPr>
            <w:r>
              <w:rPr>
                <w:b/>
                <w:color w:val="FFFFFF"/>
                <w:sz w:val="17"/>
              </w:rPr>
              <w:t>Tier</w:t>
            </w:r>
          </w:p>
        </w:tc>
        <w:tc>
          <w:tcPr>
            <w:tcW w:type="dxa" w:w="5820"/>
            <w:shd w:val="clear" w:color="auto" w:fill="10375C"/>
          </w:tcPr>
          <w:p>
            <w:pPr>
              <w:spacing w:after="50" w:before="50"/>
            </w:pPr>
            <w:r>
              <w:rPr>
                <w:b/>
                <w:color w:val="FFFFFF"/>
                <w:sz w:val="17"/>
              </w:rPr>
              <w:t>Standard offer</w:t>
            </w:r>
          </w:p>
        </w:tc>
      </w:tr>
      <w:tr>
        <w:tc>
          <w:tcPr>
            <w:tcW w:type="dxa" w:w="1213"/>
          </w:tcPr>
          <w:p>
            <w:pPr>
              <w:spacing w:after="50" w:before="50" w:line="252" w:lineRule="auto"/>
            </w:pPr>
            <w:r>
              <w:rPr>
                <w:sz w:val="17"/>
              </w:rPr>
              <w:t>78–100</w:t>
            </w:r>
          </w:p>
        </w:tc>
        <w:tc>
          <w:tcPr>
            <w:tcW w:type="dxa" w:w="2435"/>
          </w:tcPr>
          <w:p>
            <w:pPr>
              <w:spacing w:after="50" w:before="50" w:line="252" w:lineRule="auto"/>
            </w:pPr>
            <w:r>
              <w:rPr>
                <w:b/>
                <w:sz w:val="17"/>
              </w:rPr>
              <w:t>Tier 1 — Anchor</w:t>
            </w:r>
          </w:p>
        </w:tc>
        <w:tc>
          <w:tcPr>
            <w:tcW w:type="dxa" w:w="5820"/>
          </w:tcPr>
          <w:p>
            <w:pPr>
              <w:spacing w:after="50" w:before="50" w:line="252" w:lineRule="auto"/>
            </w:pPr>
            <w:r>
              <w:rPr>
                <w:sz w:val="17"/>
              </w:rPr>
              <w:t>Full stack; ADR Lab; revenue-share certificate course; research chair; hosting rights; narrow exclusivity</w:t>
            </w:r>
          </w:p>
        </w:tc>
      </w:tr>
      <w:tr>
        <w:tc>
          <w:tcPr>
            <w:tcW w:type="dxa" w:w="1213"/>
            <w:shd w:val="clear" w:color="auto" w:fill="EAF1F4"/>
          </w:tcPr>
          <w:p>
            <w:pPr>
              <w:spacing w:after="50" w:before="50" w:line="252" w:lineRule="auto"/>
            </w:pPr>
            <w:r>
              <w:rPr>
                <w:sz w:val="17"/>
              </w:rPr>
              <w:t>55–77</w:t>
            </w:r>
          </w:p>
        </w:tc>
        <w:tc>
          <w:tcPr>
            <w:tcW w:type="dxa" w:w="2435"/>
            <w:shd w:val="clear" w:color="auto" w:fill="EAF1F4"/>
          </w:tcPr>
          <w:p>
            <w:pPr>
              <w:spacing w:after="50" w:before="50" w:line="252" w:lineRule="auto"/>
            </w:pPr>
            <w:r>
              <w:rPr>
                <w:b/>
                <w:sz w:val="17"/>
              </w:rPr>
              <w:t>Tier 2 — Programme</w:t>
            </w:r>
          </w:p>
        </w:tc>
        <w:tc>
          <w:tcPr>
            <w:tcW w:type="dxa" w:w="5820"/>
            <w:shd w:val="clear" w:color="auto" w:fill="EAF1F4"/>
          </w:tcPr>
          <w:p>
            <w:pPr>
              <w:spacing w:after="50" w:before="50" w:line="252" w:lineRule="auto"/>
            </w:pPr>
            <w:r>
              <w:rPr>
                <w:sz w:val="17"/>
              </w:rPr>
              <w:t>Certificate courses, internships, FDP, workshops, regional competition round</w:t>
            </w:r>
          </w:p>
        </w:tc>
      </w:tr>
      <w:tr>
        <w:tc>
          <w:tcPr>
            <w:tcW w:type="dxa" w:w="1213"/>
          </w:tcPr>
          <w:p>
            <w:pPr>
              <w:spacing w:after="50" w:before="50" w:line="252" w:lineRule="auto"/>
            </w:pPr>
            <w:r>
              <w:rPr>
                <w:sz w:val="17"/>
              </w:rPr>
              <w:t>32–54</w:t>
            </w:r>
          </w:p>
        </w:tc>
        <w:tc>
          <w:tcPr>
            <w:tcW w:type="dxa" w:w="2435"/>
          </w:tcPr>
          <w:p>
            <w:pPr>
              <w:spacing w:after="50" w:before="50" w:line="252" w:lineRule="auto"/>
            </w:pPr>
            <w:r>
              <w:rPr>
                <w:b/>
                <w:sz w:val="17"/>
              </w:rPr>
              <w:t>Tier 3 — Associate</w:t>
            </w:r>
          </w:p>
        </w:tc>
        <w:tc>
          <w:tcPr>
            <w:tcW w:type="dxa" w:w="5820"/>
          </w:tcPr>
          <w:p>
            <w:pPr>
              <w:spacing w:after="50" w:before="50" w:line="252" w:lineRule="auto"/>
            </w:pPr>
            <w:r>
              <w:rPr>
                <w:sz w:val="17"/>
              </w:rPr>
              <w:t>Competitions, guest lectures, webinar access, social media cooperation; no financial commitment either way</w:t>
            </w:r>
          </w:p>
        </w:tc>
      </w:tr>
      <w:tr>
        <w:tc>
          <w:tcPr>
            <w:tcW w:type="dxa" w:w="1213"/>
            <w:shd w:val="clear" w:color="auto" w:fill="EAF1F4"/>
          </w:tcPr>
          <w:p>
            <w:pPr>
              <w:spacing w:after="50" w:before="50" w:line="252" w:lineRule="auto"/>
            </w:pPr>
            <w:r>
              <w:rPr>
                <w:sz w:val="17"/>
              </w:rPr>
              <w:t>Below 32</w:t>
            </w:r>
          </w:p>
        </w:tc>
        <w:tc>
          <w:tcPr>
            <w:tcW w:type="dxa" w:w="2435"/>
            <w:shd w:val="clear" w:color="auto" w:fill="EAF1F4"/>
          </w:tcPr>
          <w:p>
            <w:pPr>
              <w:spacing w:after="50" w:before="50" w:line="252" w:lineRule="auto"/>
            </w:pPr>
            <w:r>
              <w:rPr>
                <w:b/>
                <w:sz w:val="17"/>
              </w:rPr>
              <w:t>Decline or defer</w:t>
            </w:r>
          </w:p>
        </w:tc>
        <w:tc>
          <w:tcPr>
            <w:tcW w:type="dxa" w:w="5820"/>
            <w:shd w:val="clear" w:color="auto" w:fill="EAF1F4"/>
          </w:tcPr>
          <w:p>
            <w:pPr>
              <w:spacing w:after="50" w:before="50" w:line="252" w:lineRule="auto"/>
            </w:pPr>
            <w:r>
              <w:rPr>
                <w:sz w:val="17"/>
              </w:rPr>
              <w:t>Register interest; revisit in twelve months; no time allocated</w:t>
            </w:r>
          </w:p>
        </w:tc>
      </w:tr>
    </w:tbl>
    <w:p>
      <w:pPr>
        <w:spacing w:after="80" w:before="0"/>
      </w:pPr>
    </w:p>
    <w:p>
      <w:pPr>
        <w:pStyle w:val="Heading2"/>
      </w:pPr>
      <w:r>
        <w:t>1.2 Overrides</w:t>
      </w:r>
    </w:p>
    <w:p>
      <w:r>
        <w:t>Three conditions override the score, and each requires written approval under the Delegation of Authority:</w:t>
      </w:r>
    </w:p>
    <w:p>
      <w:pPr>
        <w:pStyle w:val="ListBullet"/>
      </w:pPr>
      <w:r>
        <w:rPr>
          <w:b/>
          <w:sz w:val="21"/>
        </w:rPr>
        <w:t>Automatic decline</w:t>
      </w:r>
      <w:r>
        <w:rPr>
          <w:sz w:val="21"/>
        </w:rPr>
        <w:t xml:space="preserve"> where there is an unresolved conflict of interest, an active dispute in which Equator or a group entity is involved, a regulatory action against the institution, or a demand for exclusivity broader than the standard limit.</w:t>
      </w:r>
    </w:p>
    <w:p>
      <w:pPr>
        <w:pStyle w:val="ListBullet"/>
      </w:pPr>
      <w:r>
        <w:rPr>
          <w:b/>
          <w:sz w:val="21"/>
        </w:rPr>
        <w:t>Automatic promotion to Tier 1</w:t>
      </w:r>
      <w:r>
        <w:rPr>
          <w:sz w:val="21"/>
        </w:rPr>
        <w:t xml:space="preserve"> where the institution offers a dedicated, exclusive-use campus facility on a term of three years or more at nil or nominal cost.</w:t>
      </w:r>
    </w:p>
    <w:p>
      <w:pPr>
        <w:pStyle w:val="ListBullet"/>
      </w:pPr>
      <w:r>
        <w:rPr>
          <w:b/>
          <w:sz w:val="21"/>
        </w:rPr>
        <w:t>Deferral</w:t>
      </w:r>
      <w:r>
        <w:rPr>
          <w:sz w:val="21"/>
        </w:rPr>
        <w:t xml:space="preserve"> where the institution scores well but the champion criterion scores 0. Return only when a champion emerges. Partnerships without a champion consume disproportionate effort and lapse at a materially higher rate.</w:t>
      </w:r>
    </w:p>
    <w:p>
      <w:pPr>
        <w:spacing w:before="80" w:after="160"/>
        <w:pBdr>
          <w:bottom w:val="single" w:sz="6" w:space="1" w:color="C9D6DE"/>
        </w:pBdr>
      </w:pPr>
    </w:p>
    <w:p>
      <w:pPr>
        <w:pStyle w:val="Heading1"/>
        <w:pBdr>
          <w:bottom w:val="single" w:sz="8" w:space="4" w:color="C9D6DE"/>
        </w:pBdr>
      </w:pPr>
      <w:r>
        <w:t>2. Scoring worksheet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923"/>
            <w:shd w:val="clear" w:color="auto" w:fill="10375C"/>
          </w:tcPr>
          <w:p>
            <w:pPr>
              <w:spacing w:after="50" w:before="50"/>
            </w:pPr>
            <w:r>
              <w:rPr>
                <w:b/>
                <w:color w:val="FFFFFF"/>
                <w:sz w:val="17"/>
              </w:rPr>
              <w:t>#</w:t>
            </w:r>
          </w:p>
        </w:tc>
        <w:tc>
          <w:tcPr>
            <w:tcW w:type="dxa" w:w="4576"/>
            <w:shd w:val="clear" w:color="auto" w:fill="10375C"/>
          </w:tcPr>
          <w:p>
            <w:pPr>
              <w:spacing w:after="50" w:before="50"/>
            </w:pPr>
            <w:r>
              <w:rPr>
                <w:b/>
                <w:color w:val="FFFFFF"/>
                <w:sz w:val="17"/>
              </w:rPr>
              <w:t>Criterion</w:t>
            </w:r>
          </w:p>
        </w:tc>
        <w:tc>
          <w:tcPr>
            <w:tcW w:type="dxa" w:w="923"/>
            <w:shd w:val="clear" w:color="auto" w:fill="10375C"/>
          </w:tcPr>
          <w:p>
            <w:pPr>
              <w:spacing w:after="50" w:before="50"/>
            </w:pPr>
            <w:r>
              <w:rPr>
                <w:b/>
                <w:color w:val="FFFFFF"/>
                <w:sz w:val="17"/>
              </w:rPr>
              <w:t>Weight</w:t>
            </w:r>
          </w:p>
        </w:tc>
        <w:tc>
          <w:tcPr>
            <w:tcW w:type="dxa" w:w="923"/>
            <w:shd w:val="clear" w:color="auto" w:fill="10375C"/>
          </w:tcPr>
          <w:p>
            <w:pPr>
              <w:spacing w:after="50" w:before="50"/>
            </w:pPr>
            <w:r>
              <w:rPr>
                <w:b/>
                <w:color w:val="FFFFFF"/>
                <w:sz w:val="17"/>
              </w:rPr>
              <w:t>Raw (0–5)</w:t>
            </w:r>
          </w:p>
        </w:tc>
        <w:tc>
          <w:tcPr>
            <w:tcW w:type="dxa" w:w="923"/>
            <w:shd w:val="clear" w:color="auto" w:fill="10375C"/>
          </w:tcPr>
          <w:p>
            <w:pPr>
              <w:spacing w:after="50" w:before="50"/>
            </w:pPr>
            <w:r>
              <w:rPr>
                <w:b/>
                <w:color w:val="FFFFFF"/>
                <w:sz w:val="17"/>
              </w:rPr>
              <w:t>Weighted</w:t>
            </w:r>
          </w:p>
        </w:tc>
        <w:tc>
          <w:tcPr>
            <w:tcW w:type="dxa" w:w="1200"/>
            <w:shd w:val="clear" w:color="auto" w:fill="10375C"/>
          </w:tcPr>
          <w:p>
            <w:pPr>
              <w:spacing w:after="50" w:before="50"/>
            </w:pPr>
            <w:r>
              <w:rPr>
                <w:b/>
                <w:color w:val="FFFFFF"/>
                <w:sz w:val="17"/>
              </w:rPr>
              <w:t>Evidence relied on</w:t>
            </w:r>
          </w:p>
        </w:tc>
      </w:tr>
      <w:tr>
        <w:tc>
          <w:tcPr>
            <w:tcW w:type="dxa" w:w="923"/>
          </w:tcPr>
          <w:p>
            <w:pPr>
              <w:spacing w:after="50" w:before="50" w:line="252" w:lineRule="auto"/>
            </w:pPr>
            <w:r>
              <w:rPr>
                <w:sz w:val="17"/>
              </w:rPr>
              <w:t>1</w:t>
            </w:r>
          </w:p>
        </w:tc>
        <w:tc>
          <w:tcPr>
            <w:tcW w:type="dxa" w:w="4576"/>
          </w:tcPr>
          <w:p>
            <w:pPr>
              <w:spacing w:after="50" w:before="50" w:line="252" w:lineRule="auto"/>
            </w:pPr>
            <w:r>
              <w:rPr>
                <w:sz w:val="17"/>
              </w:rPr>
              <w:t>Champion identified</w:t>
            </w:r>
          </w:p>
        </w:tc>
        <w:tc>
          <w:tcPr>
            <w:tcW w:type="dxa" w:w="923"/>
          </w:tcPr>
          <w:p>
            <w:pPr>
              <w:spacing w:after="50" w:before="50" w:line="252" w:lineRule="auto"/>
            </w:pPr>
            <w:r>
              <w:rPr>
                <w:sz w:val="17"/>
              </w:rPr>
              <w:t>15</w:t>
            </w:r>
          </w:p>
        </w:tc>
        <w:tc>
          <w:tcPr>
            <w:tcW w:type="dxa" w:w="923"/>
          </w:tcPr>
          <w:p>
            <w:pPr>
              <w:spacing w:after="50" w:before="50" w:line="252" w:lineRule="auto"/>
            </w:pPr>
          </w:p>
        </w:tc>
        <w:tc>
          <w:tcPr>
            <w:tcW w:type="dxa" w:w="923"/>
          </w:tcPr>
          <w:p>
            <w:pPr>
              <w:spacing w:after="50" w:before="50" w:line="252" w:lineRule="auto"/>
            </w:pPr>
          </w:p>
        </w:tc>
        <w:tc>
          <w:tcPr>
            <w:tcW w:type="dxa" w:w="1200"/>
          </w:tcPr>
          <w:p>
            <w:pPr>
              <w:spacing w:after="50" w:before="50" w:line="252" w:lineRule="auto"/>
            </w:pPr>
          </w:p>
        </w:tc>
      </w:tr>
      <w:tr>
        <w:tc>
          <w:tcPr>
            <w:tcW w:type="dxa" w:w="923"/>
            <w:shd w:val="clear" w:color="auto" w:fill="EAF1F4"/>
          </w:tcPr>
          <w:p>
            <w:pPr>
              <w:spacing w:after="50" w:before="50" w:line="252" w:lineRule="auto"/>
            </w:pPr>
            <w:r>
              <w:rPr>
                <w:sz w:val="17"/>
              </w:rPr>
              <w:t>2</w:t>
            </w:r>
          </w:p>
        </w:tc>
        <w:tc>
          <w:tcPr>
            <w:tcW w:type="dxa" w:w="4576"/>
            <w:shd w:val="clear" w:color="auto" w:fill="EAF1F4"/>
          </w:tcPr>
          <w:p>
            <w:pPr>
              <w:spacing w:after="50" w:before="50" w:line="252" w:lineRule="auto"/>
            </w:pPr>
            <w:r>
              <w:rPr>
                <w:sz w:val="17"/>
              </w:rPr>
              <w:t>Decision access</w:t>
            </w:r>
          </w:p>
        </w:tc>
        <w:tc>
          <w:tcPr>
            <w:tcW w:type="dxa" w:w="923"/>
            <w:shd w:val="clear" w:color="auto" w:fill="EAF1F4"/>
          </w:tcPr>
          <w:p>
            <w:pPr>
              <w:spacing w:after="50" w:before="50" w:line="252" w:lineRule="auto"/>
            </w:pPr>
            <w:r>
              <w:rPr>
                <w:sz w:val="17"/>
              </w:rPr>
              <w:t>10</w:t>
            </w:r>
          </w:p>
        </w:tc>
        <w:tc>
          <w:tcPr>
            <w:tcW w:type="dxa" w:w="923"/>
            <w:shd w:val="clear" w:color="auto" w:fill="EAF1F4"/>
          </w:tcPr>
          <w:p>
            <w:pPr>
              <w:spacing w:after="50" w:before="50" w:line="252" w:lineRule="auto"/>
            </w:pPr>
          </w:p>
        </w:tc>
        <w:tc>
          <w:tcPr>
            <w:tcW w:type="dxa" w:w="923"/>
            <w:shd w:val="clear" w:color="auto" w:fill="EAF1F4"/>
          </w:tcPr>
          <w:p>
            <w:pPr>
              <w:spacing w:after="50" w:before="50" w:line="252" w:lineRule="auto"/>
            </w:pPr>
          </w:p>
        </w:tc>
        <w:tc>
          <w:tcPr>
            <w:tcW w:type="dxa" w:w="1200"/>
            <w:shd w:val="clear" w:color="auto" w:fill="EAF1F4"/>
          </w:tcPr>
          <w:p>
            <w:pPr>
              <w:spacing w:after="50" w:before="50" w:line="252" w:lineRule="auto"/>
            </w:pPr>
          </w:p>
        </w:tc>
      </w:tr>
      <w:tr>
        <w:tc>
          <w:tcPr>
            <w:tcW w:type="dxa" w:w="923"/>
          </w:tcPr>
          <w:p>
            <w:pPr>
              <w:spacing w:after="50" w:before="50" w:line="252" w:lineRule="auto"/>
            </w:pPr>
            <w:r>
              <w:rPr>
                <w:sz w:val="17"/>
              </w:rPr>
              <w:t>3</w:t>
            </w:r>
          </w:p>
        </w:tc>
        <w:tc>
          <w:tcPr>
            <w:tcW w:type="dxa" w:w="4576"/>
          </w:tcPr>
          <w:p>
            <w:pPr>
              <w:spacing w:after="50" w:before="50" w:line="252" w:lineRule="auto"/>
            </w:pPr>
            <w:r>
              <w:rPr>
                <w:sz w:val="17"/>
              </w:rPr>
              <w:t>Student volume and quality</w:t>
            </w:r>
          </w:p>
        </w:tc>
        <w:tc>
          <w:tcPr>
            <w:tcW w:type="dxa" w:w="923"/>
          </w:tcPr>
          <w:p>
            <w:pPr>
              <w:spacing w:after="50" w:before="50" w:line="252" w:lineRule="auto"/>
            </w:pPr>
            <w:r>
              <w:rPr>
                <w:sz w:val="17"/>
              </w:rPr>
              <w:t>12</w:t>
            </w:r>
          </w:p>
        </w:tc>
        <w:tc>
          <w:tcPr>
            <w:tcW w:type="dxa" w:w="923"/>
          </w:tcPr>
          <w:p>
            <w:pPr>
              <w:spacing w:after="50" w:before="50" w:line="252" w:lineRule="auto"/>
            </w:pPr>
          </w:p>
        </w:tc>
        <w:tc>
          <w:tcPr>
            <w:tcW w:type="dxa" w:w="923"/>
          </w:tcPr>
          <w:p>
            <w:pPr>
              <w:spacing w:after="50" w:before="50" w:line="252" w:lineRule="auto"/>
            </w:pPr>
          </w:p>
        </w:tc>
        <w:tc>
          <w:tcPr>
            <w:tcW w:type="dxa" w:w="1200"/>
          </w:tcPr>
          <w:p>
            <w:pPr>
              <w:spacing w:after="50" w:before="50" w:line="252" w:lineRule="auto"/>
            </w:pPr>
          </w:p>
        </w:tc>
      </w:tr>
      <w:tr>
        <w:tc>
          <w:tcPr>
            <w:tcW w:type="dxa" w:w="923"/>
            <w:shd w:val="clear" w:color="auto" w:fill="EAF1F4"/>
          </w:tcPr>
          <w:p>
            <w:pPr>
              <w:spacing w:after="50" w:before="50" w:line="252" w:lineRule="auto"/>
            </w:pPr>
            <w:r>
              <w:rPr>
                <w:sz w:val="17"/>
              </w:rPr>
              <w:t>4</w:t>
            </w:r>
          </w:p>
        </w:tc>
        <w:tc>
          <w:tcPr>
            <w:tcW w:type="dxa" w:w="4576"/>
            <w:shd w:val="clear" w:color="auto" w:fill="EAF1F4"/>
          </w:tcPr>
          <w:p>
            <w:pPr>
              <w:spacing w:after="50" w:before="50" w:line="252" w:lineRule="auto"/>
            </w:pPr>
            <w:r>
              <w:rPr>
                <w:sz w:val="17"/>
              </w:rPr>
              <w:t>Existing ADR infrastructure</w:t>
            </w:r>
          </w:p>
        </w:tc>
        <w:tc>
          <w:tcPr>
            <w:tcW w:type="dxa" w:w="923"/>
            <w:shd w:val="clear" w:color="auto" w:fill="EAF1F4"/>
          </w:tcPr>
          <w:p>
            <w:pPr>
              <w:spacing w:after="50" w:before="50" w:line="252" w:lineRule="auto"/>
            </w:pPr>
            <w:r>
              <w:rPr>
                <w:sz w:val="17"/>
              </w:rPr>
              <w:t>10</w:t>
            </w:r>
          </w:p>
        </w:tc>
        <w:tc>
          <w:tcPr>
            <w:tcW w:type="dxa" w:w="923"/>
            <w:shd w:val="clear" w:color="auto" w:fill="EAF1F4"/>
          </w:tcPr>
          <w:p>
            <w:pPr>
              <w:spacing w:after="50" w:before="50" w:line="252" w:lineRule="auto"/>
            </w:pPr>
          </w:p>
        </w:tc>
        <w:tc>
          <w:tcPr>
            <w:tcW w:type="dxa" w:w="923"/>
            <w:shd w:val="clear" w:color="auto" w:fill="EAF1F4"/>
          </w:tcPr>
          <w:p>
            <w:pPr>
              <w:spacing w:after="50" w:before="50" w:line="252" w:lineRule="auto"/>
            </w:pPr>
          </w:p>
        </w:tc>
        <w:tc>
          <w:tcPr>
            <w:tcW w:type="dxa" w:w="1200"/>
            <w:shd w:val="clear" w:color="auto" w:fill="EAF1F4"/>
          </w:tcPr>
          <w:p>
            <w:pPr>
              <w:spacing w:after="50" w:before="50" w:line="252" w:lineRule="auto"/>
            </w:pPr>
          </w:p>
        </w:tc>
      </w:tr>
      <w:tr>
        <w:tc>
          <w:tcPr>
            <w:tcW w:type="dxa" w:w="923"/>
          </w:tcPr>
          <w:p>
            <w:pPr>
              <w:spacing w:after="50" w:before="50" w:line="252" w:lineRule="auto"/>
            </w:pPr>
            <w:r>
              <w:rPr>
                <w:sz w:val="17"/>
              </w:rPr>
              <w:t>5</w:t>
            </w:r>
          </w:p>
        </w:tc>
        <w:tc>
          <w:tcPr>
            <w:tcW w:type="dxa" w:w="4576"/>
          </w:tcPr>
          <w:p>
            <w:pPr>
              <w:spacing w:after="50" w:before="50" w:line="252" w:lineRule="auto"/>
            </w:pPr>
            <w:r>
              <w:rPr>
                <w:sz w:val="17"/>
              </w:rPr>
              <w:t>Ability and willingness to pay</w:t>
            </w:r>
          </w:p>
        </w:tc>
        <w:tc>
          <w:tcPr>
            <w:tcW w:type="dxa" w:w="923"/>
          </w:tcPr>
          <w:p>
            <w:pPr>
              <w:spacing w:after="50" w:before="50" w:line="252" w:lineRule="auto"/>
            </w:pPr>
            <w:r>
              <w:rPr>
                <w:sz w:val="17"/>
              </w:rPr>
              <w:t>15</w:t>
            </w:r>
          </w:p>
        </w:tc>
        <w:tc>
          <w:tcPr>
            <w:tcW w:type="dxa" w:w="923"/>
          </w:tcPr>
          <w:p>
            <w:pPr>
              <w:spacing w:after="50" w:before="50" w:line="252" w:lineRule="auto"/>
            </w:pPr>
          </w:p>
        </w:tc>
        <w:tc>
          <w:tcPr>
            <w:tcW w:type="dxa" w:w="923"/>
          </w:tcPr>
          <w:p>
            <w:pPr>
              <w:spacing w:after="50" w:before="50" w:line="252" w:lineRule="auto"/>
            </w:pPr>
          </w:p>
        </w:tc>
        <w:tc>
          <w:tcPr>
            <w:tcW w:type="dxa" w:w="1200"/>
          </w:tcPr>
          <w:p>
            <w:pPr>
              <w:spacing w:after="50" w:before="50" w:line="252" w:lineRule="auto"/>
            </w:pPr>
          </w:p>
        </w:tc>
      </w:tr>
      <w:tr>
        <w:tc>
          <w:tcPr>
            <w:tcW w:type="dxa" w:w="923"/>
            <w:shd w:val="clear" w:color="auto" w:fill="EAF1F4"/>
          </w:tcPr>
          <w:p>
            <w:pPr>
              <w:spacing w:after="50" w:before="50" w:line="252" w:lineRule="auto"/>
            </w:pPr>
            <w:r>
              <w:rPr>
                <w:sz w:val="17"/>
              </w:rPr>
              <w:t>6</w:t>
            </w:r>
          </w:p>
        </w:tc>
        <w:tc>
          <w:tcPr>
            <w:tcW w:type="dxa" w:w="4576"/>
            <w:shd w:val="clear" w:color="auto" w:fill="EAF1F4"/>
          </w:tcPr>
          <w:p>
            <w:pPr>
              <w:spacing w:after="50" w:before="50" w:line="252" w:lineRule="auto"/>
            </w:pPr>
            <w:r>
              <w:rPr>
                <w:sz w:val="17"/>
              </w:rPr>
              <w:t>Compliance need</w:t>
            </w:r>
          </w:p>
        </w:tc>
        <w:tc>
          <w:tcPr>
            <w:tcW w:type="dxa" w:w="923"/>
            <w:shd w:val="clear" w:color="auto" w:fill="EAF1F4"/>
          </w:tcPr>
          <w:p>
            <w:pPr>
              <w:spacing w:after="50" w:before="50" w:line="252" w:lineRule="auto"/>
            </w:pPr>
            <w:r>
              <w:rPr>
                <w:sz w:val="17"/>
              </w:rPr>
              <w:t>10</w:t>
            </w:r>
          </w:p>
        </w:tc>
        <w:tc>
          <w:tcPr>
            <w:tcW w:type="dxa" w:w="923"/>
            <w:shd w:val="clear" w:color="auto" w:fill="EAF1F4"/>
          </w:tcPr>
          <w:p>
            <w:pPr>
              <w:spacing w:after="50" w:before="50" w:line="252" w:lineRule="auto"/>
            </w:pPr>
          </w:p>
        </w:tc>
        <w:tc>
          <w:tcPr>
            <w:tcW w:type="dxa" w:w="923"/>
            <w:shd w:val="clear" w:color="auto" w:fill="EAF1F4"/>
          </w:tcPr>
          <w:p>
            <w:pPr>
              <w:spacing w:after="50" w:before="50" w:line="252" w:lineRule="auto"/>
            </w:pPr>
          </w:p>
        </w:tc>
        <w:tc>
          <w:tcPr>
            <w:tcW w:type="dxa" w:w="1200"/>
            <w:shd w:val="clear" w:color="auto" w:fill="EAF1F4"/>
          </w:tcPr>
          <w:p>
            <w:pPr>
              <w:spacing w:after="50" w:before="50" w:line="252" w:lineRule="auto"/>
            </w:pPr>
          </w:p>
        </w:tc>
      </w:tr>
      <w:tr>
        <w:tc>
          <w:tcPr>
            <w:tcW w:type="dxa" w:w="923"/>
          </w:tcPr>
          <w:p>
            <w:pPr>
              <w:spacing w:after="50" w:before="50" w:line="252" w:lineRule="auto"/>
            </w:pPr>
            <w:r>
              <w:rPr>
                <w:sz w:val="17"/>
              </w:rPr>
              <w:t>7</w:t>
            </w:r>
          </w:p>
        </w:tc>
        <w:tc>
          <w:tcPr>
            <w:tcW w:type="dxa" w:w="4576"/>
          </w:tcPr>
          <w:p>
            <w:pPr>
              <w:spacing w:after="50" w:before="50" w:line="252" w:lineRule="auto"/>
            </w:pPr>
            <w:r>
              <w:rPr>
                <w:sz w:val="17"/>
              </w:rPr>
              <w:t>Campus and infrastructure</w:t>
            </w:r>
          </w:p>
        </w:tc>
        <w:tc>
          <w:tcPr>
            <w:tcW w:type="dxa" w:w="923"/>
          </w:tcPr>
          <w:p>
            <w:pPr>
              <w:spacing w:after="50" w:before="50" w:line="252" w:lineRule="auto"/>
            </w:pPr>
            <w:r>
              <w:rPr>
                <w:sz w:val="17"/>
              </w:rPr>
              <w:t>8</w:t>
            </w:r>
          </w:p>
        </w:tc>
        <w:tc>
          <w:tcPr>
            <w:tcW w:type="dxa" w:w="923"/>
          </w:tcPr>
          <w:p>
            <w:pPr>
              <w:spacing w:after="50" w:before="50" w:line="252" w:lineRule="auto"/>
            </w:pPr>
          </w:p>
        </w:tc>
        <w:tc>
          <w:tcPr>
            <w:tcW w:type="dxa" w:w="923"/>
          </w:tcPr>
          <w:p>
            <w:pPr>
              <w:spacing w:after="50" w:before="50" w:line="252" w:lineRule="auto"/>
            </w:pPr>
          </w:p>
        </w:tc>
        <w:tc>
          <w:tcPr>
            <w:tcW w:type="dxa" w:w="1200"/>
          </w:tcPr>
          <w:p>
            <w:pPr>
              <w:spacing w:after="50" w:before="50" w:line="252" w:lineRule="auto"/>
            </w:pPr>
          </w:p>
        </w:tc>
      </w:tr>
      <w:tr>
        <w:tc>
          <w:tcPr>
            <w:tcW w:type="dxa" w:w="923"/>
            <w:shd w:val="clear" w:color="auto" w:fill="EAF1F4"/>
          </w:tcPr>
          <w:p>
            <w:pPr>
              <w:spacing w:after="50" w:before="50" w:line="252" w:lineRule="auto"/>
            </w:pPr>
            <w:r>
              <w:rPr>
                <w:sz w:val="17"/>
              </w:rPr>
              <w:t>8</w:t>
            </w:r>
          </w:p>
        </w:tc>
        <w:tc>
          <w:tcPr>
            <w:tcW w:type="dxa" w:w="4576"/>
            <w:shd w:val="clear" w:color="auto" w:fill="EAF1F4"/>
          </w:tcPr>
          <w:p>
            <w:pPr>
              <w:spacing w:after="50" w:before="50" w:line="252" w:lineRule="auto"/>
            </w:pPr>
            <w:r>
              <w:rPr>
                <w:sz w:val="17"/>
              </w:rPr>
              <w:t>Brand contribution</w:t>
            </w:r>
          </w:p>
        </w:tc>
        <w:tc>
          <w:tcPr>
            <w:tcW w:type="dxa" w:w="923"/>
            <w:shd w:val="clear" w:color="auto" w:fill="EAF1F4"/>
          </w:tcPr>
          <w:p>
            <w:pPr>
              <w:spacing w:after="50" w:before="50" w:line="252" w:lineRule="auto"/>
            </w:pPr>
            <w:r>
              <w:rPr>
                <w:sz w:val="17"/>
              </w:rPr>
              <w:t>10</w:t>
            </w:r>
          </w:p>
        </w:tc>
        <w:tc>
          <w:tcPr>
            <w:tcW w:type="dxa" w:w="923"/>
            <w:shd w:val="clear" w:color="auto" w:fill="EAF1F4"/>
          </w:tcPr>
          <w:p>
            <w:pPr>
              <w:spacing w:after="50" w:before="50" w:line="252" w:lineRule="auto"/>
            </w:pPr>
          </w:p>
        </w:tc>
        <w:tc>
          <w:tcPr>
            <w:tcW w:type="dxa" w:w="923"/>
            <w:shd w:val="clear" w:color="auto" w:fill="EAF1F4"/>
          </w:tcPr>
          <w:p>
            <w:pPr>
              <w:spacing w:after="50" w:before="50" w:line="252" w:lineRule="auto"/>
            </w:pPr>
          </w:p>
        </w:tc>
        <w:tc>
          <w:tcPr>
            <w:tcW w:type="dxa" w:w="1200"/>
            <w:shd w:val="clear" w:color="auto" w:fill="EAF1F4"/>
          </w:tcPr>
          <w:p>
            <w:pPr>
              <w:spacing w:after="50" w:before="50" w:line="252" w:lineRule="auto"/>
            </w:pPr>
          </w:p>
        </w:tc>
      </w:tr>
      <w:tr>
        <w:tc>
          <w:tcPr>
            <w:tcW w:type="dxa" w:w="923"/>
          </w:tcPr>
          <w:p>
            <w:pPr>
              <w:spacing w:after="50" w:before="50" w:line="252" w:lineRule="auto"/>
            </w:pPr>
            <w:r>
              <w:rPr>
                <w:sz w:val="17"/>
              </w:rPr>
              <w:t>9</w:t>
            </w:r>
          </w:p>
        </w:tc>
        <w:tc>
          <w:tcPr>
            <w:tcW w:type="dxa" w:w="4576"/>
          </w:tcPr>
          <w:p>
            <w:pPr>
              <w:spacing w:after="50" w:before="50" w:line="252" w:lineRule="auto"/>
            </w:pPr>
            <w:r>
              <w:rPr>
                <w:sz w:val="17"/>
              </w:rPr>
              <w:t>Geographic fit</w:t>
            </w:r>
          </w:p>
        </w:tc>
        <w:tc>
          <w:tcPr>
            <w:tcW w:type="dxa" w:w="923"/>
          </w:tcPr>
          <w:p>
            <w:pPr>
              <w:spacing w:after="50" w:before="50" w:line="252" w:lineRule="auto"/>
            </w:pPr>
            <w:r>
              <w:rPr>
                <w:sz w:val="17"/>
              </w:rPr>
              <w:t>5</w:t>
            </w:r>
          </w:p>
        </w:tc>
        <w:tc>
          <w:tcPr>
            <w:tcW w:type="dxa" w:w="923"/>
          </w:tcPr>
          <w:p>
            <w:pPr>
              <w:spacing w:after="50" w:before="50" w:line="252" w:lineRule="auto"/>
            </w:pPr>
          </w:p>
        </w:tc>
        <w:tc>
          <w:tcPr>
            <w:tcW w:type="dxa" w:w="923"/>
          </w:tcPr>
          <w:p>
            <w:pPr>
              <w:spacing w:after="50" w:before="50" w:line="252" w:lineRule="auto"/>
            </w:pPr>
          </w:p>
        </w:tc>
        <w:tc>
          <w:tcPr>
            <w:tcW w:type="dxa" w:w="1200"/>
          </w:tcPr>
          <w:p>
            <w:pPr>
              <w:spacing w:after="50" w:before="50" w:line="252" w:lineRule="auto"/>
            </w:pPr>
          </w:p>
        </w:tc>
      </w:tr>
      <w:tr>
        <w:tc>
          <w:tcPr>
            <w:tcW w:type="dxa" w:w="923"/>
            <w:shd w:val="clear" w:color="auto" w:fill="EAF1F4"/>
          </w:tcPr>
          <w:p>
            <w:pPr>
              <w:spacing w:after="50" w:before="50" w:line="252" w:lineRule="auto"/>
            </w:pPr>
            <w:r>
              <w:rPr>
                <w:sz w:val="17"/>
              </w:rPr>
              <w:t>10</w:t>
            </w:r>
          </w:p>
        </w:tc>
        <w:tc>
          <w:tcPr>
            <w:tcW w:type="dxa" w:w="4576"/>
            <w:shd w:val="clear" w:color="auto" w:fill="EAF1F4"/>
          </w:tcPr>
          <w:p>
            <w:pPr>
              <w:spacing w:after="50" w:before="50" w:line="252" w:lineRule="auto"/>
            </w:pPr>
            <w:r>
              <w:rPr>
                <w:sz w:val="17"/>
              </w:rPr>
              <w:t>Operational reachability</w:t>
            </w:r>
          </w:p>
        </w:tc>
        <w:tc>
          <w:tcPr>
            <w:tcW w:type="dxa" w:w="923"/>
            <w:shd w:val="clear" w:color="auto" w:fill="EAF1F4"/>
          </w:tcPr>
          <w:p>
            <w:pPr>
              <w:spacing w:after="50" w:before="50" w:line="252" w:lineRule="auto"/>
            </w:pPr>
            <w:r>
              <w:rPr>
                <w:sz w:val="17"/>
              </w:rPr>
              <w:t>5</w:t>
            </w:r>
          </w:p>
        </w:tc>
        <w:tc>
          <w:tcPr>
            <w:tcW w:type="dxa" w:w="923"/>
            <w:shd w:val="clear" w:color="auto" w:fill="EAF1F4"/>
          </w:tcPr>
          <w:p>
            <w:pPr>
              <w:spacing w:after="50" w:before="50" w:line="252" w:lineRule="auto"/>
            </w:pPr>
          </w:p>
        </w:tc>
        <w:tc>
          <w:tcPr>
            <w:tcW w:type="dxa" w:w="923"/>
            <w:shd w:val="clear" w:color="auto" w:fill="EAF1F4"/>
          </w:tcPr>
          <w:p>
            <w:pPr>
              <w:spacing w:after="50" w:before="50" w:line="252" w:lineRule="auto"/>
            </w:pPr>
          </w:p>
        </w:tc>
        <w:tc>
          <w:tcPr>
            <w:tcW w:type="dxa" w:w="1200"/>
            <w:shd w:val="clear" w:color="auto" w:fill="EAF1F4"/>
          </w:tcPr>
          <w:p>
            <w:pPr>
              <w:spacing w:after="50" w:before="50" w:line="252" w:lineRule="auto"/>
            </w:pPr>
          </w:p>
        </w:tc>
      </w:tr>
      <w:tr>
        <w:tc>
          <w:tcPr>
            <w:tcW w:type="dxa" w:w="923"/>
          </w:tcPr>
          <w:p>
            <w:pPr>
              <w:spacing w:after="50" w:before="50" w:line="252" w:lineRule="auto"/>
            </w:pPr>
          </w:p>
        </w:tc>
        <w:tc>
          <w:tcPr>
            <w:tcW w:type="dxa" w:w="4576"/>
          </w:tcPr>
          <w:p>
            <w:pPr>
              <w:spacing w:after="50" w:before="50" w:line="252" w:lineRule="auto"/>
            </w:pPr>
            <w:r>
              <w:rPr>
                <w:b/>
                <w:sz w:val="17"/>
              </w:rPr>
              <w:t>Total</w:t>
            </w:r>
          </w:p>
        </w:tc>
        <w:tc>
          <w:tcPr>
            <w:tcW w:type="dxa" w:w="923"/>
          </w:tcPr>
          <w:p>
            <w:pPr>
              <w:spacing w:after="50" w:before="50" w:line="252" w:lineRule="auto"/>
            </w:pPr>
            <w:r>
              <w:rPr>
                <w:b/>
                <w:sz w:val="17"/>
              </w:rPr>
              <w:t>100</w:t>
            </w:r>
          </w:p>
        </w:tc>
        <w:tc>
          <w:tcPr>
            <w:tcW w:type="dxa" w:w="923"/>
          </w:tcPr>
          <w:p>
            <w:pPr>
              <w:spacing w:after="50" w:before="50" w:line="252" w:lineRule="auto"/>
            </w:pPr>
          </w:p>
        </w:tc>
        <w:tc>
          <w:tcPr>
            <w:tcW w:type="dxa" w:w="923"/>
          </w:tcPr>
          <w:p>
            <w:pPr>
              <w:spacing w:after="50" w:before="50" w:line="252" w:lineRule="auto"/>
            </w:pPr>
            <w:r>
              <w:rPr>
                <w:b/>
                <w:sz w:val="17"/>
              </w:rPr>
              <w:t>/100</w:t>
            </w:r>
          </w:p>
        </w:tc>
        <w:tc>
          <w:tcPr>
            <w:tcW w:type="dxa" w:w="1200"/>
          </w:tcPr>
          <w:p>
            <w:pPr>
              <w:spacing w:after="50" w:before="50" w:line="252" w:lineRule="auto"/>
            </w:pPr>
          </w:p>
        </w:tc>
      </w:tr>
    </w:tbl>
    <w:p>
      <w:pPr>
        <w:spacing w:after="80" w:before="0"/>
      </w:pPr>
    </w:p>
    <w:p>
      <w:r>
        <w:t>Weighted score = raw score ÷ 5 × weight.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00"/>
            <w:shd w:val="clear" w:color="auto" w:fill="10375C"/>
          </w:tcPr>
          <w:p>
            <w:pPr>
              <w:spacing w:after="50" w:before="50"/>
            </w:pPr>
            <w:r>
              <w:rPr>
                <w:b/>
                <w:color w:val="FFFFFF"/>
                <w:sz w:val="17"/>
              </w:rPr>
              <w:t>Field</w:t>
            </w:r>
          </w:p>
        </w:tc>
        <w:tc>
          <w:tcPr>
            <w:tcW w:type="dxa" w:w="6568"/>
            <w:shd w:val="clear" w:color="auto" w:fill="10375C"/>
          </w:tcPr>
          <w:p>
            <w:pPr>
              <w:spacing w:after="50" w:before="50"/>
            </w:pPr>
            <w:r>
              <w:rPr>
                <w:b/>
                <w:color w:val="FFFFFF"/>
                <w:sz w:val="17"/>
              </w:rPr>
              <w:t>Entry</w:t>
            </w:r>
          </w:p>
        </w:tc>
      </w:tr>
      <w:tr>
        <w:tc>
          <w:tcPr>
            <w:tcW w:type="dxa" w:w="2900"/>
          </w:tcPr>
          <w:p>
            <w:pPr>
              <w:spacing w:after="50" w:before="50" w:line="252" w:lineRule="auto"/>
            </w:pPr>
            <w:r>
              <w:rPr>
                <w:sz w:val="17"/>
              </w:rPr>
              <w:t>Institution</w:t>
            </w:r>
          </w:p>
        </w:tc>
        <w:tc>
          <w:tcPr>
            <w:tcW w:type="dxa" w:w="6568"/>
          </w:tcPr>
          <w:p>
            <w:pPr>
              <w:spacing w:after="50" w:before="50" w:line="252" w:lineRule="auto"/>
            </w:pPr>
            <w:r>
              <w:rPr>
                <w:sz w:val="17"/>
              </w:rPr>
              <w:t>[●]</w:t>
            </w:r>
          </w:p>
        </w:tc>
      </w:tr>
      <w:tr>
        <w:tc>
          <w:tcPr>
            <w:tcW w:type="dxa" w:w="2900"/>
            <w:shd w:val="clear" w:color="auto" w:fill="EAF1F4"/>
          </w:tcPr>
          <w:p>
            <w:pPr>
              <w:spacing w:after="50" w:before="50" w:line="252" w:lineRule="auto"/>
            </w:pPr>
            <w:r>
              <w:rPr>
                <w:sz w:val="17"/>
              </w:rPr>
              <w:t>City and State</w:t>
            </w:r>
          </w:p>
        </w:tc>
        <w:tc>
          <w:tcPr>
            <w:tcW w:type="dxa" w:w="6568"/>
            <w:shd w:val="clear" w:color="auto" w:fill="EAF1F4"/>
          </w:tcPr>
          <w:p>
            <w:pPr>
              <w:spacing w:after="50" w:before="50" w:line="252" w:lineRule="auto"/>
            </w:pPr>
            <w:r>
              <w:rPr>
                <w:sz w:val="17"/>
              </w:rPr>
              <w:t>[●]</w:t>
            </w:r>
          </w:p>
        </w:tc>
      </w:tr>
      <w:tr>
        <w:tc>
          <w:tcPr>
            <w:tcW w:type="dxa" w:w="2900"/>
          </w:tcPr>
          <w:p>
            <w:pPr>
              <w:spacing w:after="50" w:before="50" w:line="252" w:lineRule="auto"/>
            </w:pPr>
            <w:r>
              <w:rPr>
                <w:sz w:val="17"/>
              </w:rPr>
              <w:t>Type</w:t>
            </w:r>
          </w:p>
        </w:tc>
        <w:tc>
          <w:tcPr>
            <w:tcW w:type="dxa" w:w="6568"/>
          </w:tcPr>
          <w:p>
            <w:pPr>
              <w:spacing w:after="50" w:before="50" w:line="252" w:lineRule="auto"/>
            </w:pPr>
            <w:r>
              <w:rPr>
                <w:sz w:val="17"/>
              </w:rPr>
              <w:t>NLU / private university / state university / management school / other</w:t>
            </w:r>
          </w:p>
        </w:tc>
      </w:tr>
      <w:tr>
        <w:tc>
          <w:tcPr>
            <w:tcW w:type="dxa" w:w="2900"/>
            <w:shd w:val="clear" w:color="auto" w:fill="EAF1F4"/>
          </w:tcPr>
          <w:p>
            <w:pPr>
              <w:spacing w:after="50" w:before="50" w:line="252" w:lineRule="auto"/>
            </w:pPr>
            <w:r>
              <w:rPr>
                <w:sz w:val="17"/>
              </w:rPr>
              <w:t>Scored by</w:t>
            </w:r>
          </w:p>
        </w:tc>
        <w:tc>
          <w:tcPr>
            <w:tcW w:type="dxa" w:w="6568"/>
            <w:shd w:val="clear" w:color="auto" w:fill="EAF1F4"/>
          </w:tcPr>
          <w:p>
            <w:pPr>
              <w:spacing w:after="50" w:before="50" w:line="252" w:lineRule="auto"/>
            </w:pPr>
            <w:r>
              <w:rPr>
                <w:sz w:val="17"/>
              </w:rPr>
              <w:t>[●]</w:t>
            </w:r>
          </w:p>
        </w:tc>
      </w:tr>
      <w:tr>
        <w:tc>
          <w:tcPr>
            <w:tcW w:type="dxa" w:w="2900"/>
          </w:tcPr>
          <w:p>
            <w:pPr>
              <w:spacing w:after="50" w:before="50" w:line="252" w:lineRule="auto"/>
            </w:pPr>
            <w:r>
              <w:rPr>
                <w:sz w:val="17"/>
              </w:rPr>
              <w:t>Date</w:t>
            </w:r>
          </w:p>
        </w:tc>
        <w:tc>
          <w:tcPr>
            <w:tcW w:type="dxa" w:w="6568"/>
          </w:tcPr>
          <w:p>
            <w:pPr>
              <w:spacing w:after="50" w:before="50" w:line="252" w:lineRule="auto"/>
            </w:pPr>
            <w:r>
              <w:rPr>
                <w:sz w:val="17"/>
              </w:rPr>
              <w:t>[●]</w:t>
            </w:r>
          </w:p>
        </w:tc>
      </w:tr>
      <w:tr>
        <w:tc>
          <w:tcPr>
            <w:tcW w:type="dxa" w:w="2900"/>
            <w:shd w:val="clear" w:color="auto" w:fill="EAF1F4"/>
          </w:tcPr>
          <w:p>
            <w:pPr>
              <w:spacing w:after="50" w:before="50" w:line="252" w:lineRule="auto"/>
            </w:pPr>
            <w:r>
              <w:rPr>
                <w:sz w:val="17"/>
              </w:rPr>
              <w:t>Tier assigned</w:t>
            </w:r>
          </w:p>
        </w:tc>
        <w:tc>
          <w:tcPr>
            <w:tcW w:type="dxa" w:w="6568"/>
            <w:shd w:val="clear" w:color="auto" w:fill="EAF1F4"/>
          </w:tcPr>
          <w:p>
            <w:pPr>
              <w:spacing w:after="50" w:before="50" w:line="252" w:lineRule="auto"/>
            </w:pPr>
            <w:r>
              <w:rPr>
                <w:sz w:val="17"/>
              </w:rPr>
              <w:t>[●]</w:t>
            </w:r>
          </w:p>
        </w:tc>
      </w:tr>
      <w:tr>
        <w:tc>
          <w:tcPr>
            <w:tcW w:type="dxa" w:w="2900"/>
          </w:tcPr>
          <w:p>
            <w:pPr>
              <w:spacing w:after="50" w:before="50" w:line="252" w:lineRule="auto"/>
            </w:pPr>
            <w:r>
              <w:rPr>
                <w:sz w:val="17"/>
              </w:rPr>
              <w:t>Overrides applied</w:t>
            </w:r>
          </w:p>
        </w:tc>
        <w:tc>
          <w:tcPr>
            <w:tcW w:type="dxa" w:w="6568"/>
          </w:tcPr>
          <w:p>
            <w:pPr>
              <w:spacing w:after="50" w:before="50" w:line="252" w:lineRule="auto"/>
            </w:pPr>
            <w:r>
              <w:rPr>
                <w:sz w:val="17"/>
              </w:rPr>
              <w:t>[●]</w:t>
            </w:r>
          </w:p>
        </w:tc>
      </w:tr>
      <w:tr>
        <w:tc>
          <w:tcPr>
            <w:tcW w:type="dxa" w:w="2900"/>
            <w:shd w:val="clear" w:color="auto" w:fill="EAF1F4"/>
          </w:tcPr>
          <w:p>
            <w:pPr>
              <w:spacing w:after="50" w:before="50" w:line="252" w:lineRule="auto"/>
            </w:pPr>
            <w:r>
              <w:rPr>
                <w:sz w:val="17"/>
              </w:rPr>
              <w:t>Approved by</w:t>
            </w:r>
          </w:p>
        </w:tc>
        <w:tc>
          <w:tcPr>
            <w:tcW w:type="dxa" w:w="6568"/>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3. Segment strategies</w:t>
      </w:r>
    </w:p>
    <w:p>
      <w:pPr>
        <w:pStyle w:val="Heading2"/>
      </w:pPr>
      <w:r>
        <w:t>3.1 National law universities and elite private law schools</w:t>
      </w:r>
    </w:p>
    <w:p>
      <w:r>
        <w:rPr>
          <w:b/>
        </w:rPr>
        <w:t>What they want:</w:t>
      </w:r>
      <w:r>
        <w:t xml:space="preserve"> competition success, international placements, research standing, and faculty distinction. They do not want to be sold to.</w:t>
      </w:r>
    </w:p>
    <w:p>
      <w:r>
        <w:rPr>
          <w:b/>
        </w:rPr>
        <w:t>What to offer:</w:t>
      </w:r>
      <w:r>
        <w:t xml:space="preserve"> hosting rights for the national competition; a research chair or joint centre; coaching for Paris and Vienna; faculty empanelment; adjunct titles for Equator neutrals.</w:t>
      </w:r>
    </w:p>
    <w:p>
      <w:r>
        <w:rPr>
          <w:b/>
        </w:rPr>
        <w:t>What not to offer:</w:t>
      </w:r>
      <w:r>
        <w:t xml:space="preserve"> a paid basic certificate course as the opening proposition. It reads as remedial and will be declined.</w:t>
      </w:r>
    </w:p>
    <w:p>
      <w:r>
        <w:rPr>
          <w:b/>
        </w:rPr>
        <w:t>Pricing posture:</w:t>
      </w:r>
      <w:r>
        <w:t xml:space="preserve"> low or nil on entry activities, monetised through competition sponsorship, coaching, summer school and the credibility that flows to Tier 2 sales. </w:t>
      </w:r>
      <w:r>
        <w:rPr>
          <w:b/>
        </w:rPr>
        <w:t>These institutions are bought, not sold to — the return is reputational and it is worth paying for.</w:t>
      </w:r>
    </w:p>
    <w:p>
      <w:pPr>
        <w:pStyle w:val="Heading2"/>
      </w:pPr>
      <w:r>
        <w:t>3.2 Private and state universities with law faculties</w:t>
      </w:r>
    </w:p>
    <w:p>
      <w:r>
        <w:rPr>
          <w:b/>
        </w:rPr>
        <w:t>What they want:</w:t>
      </w:r>
      <w:r>
        <w:t xml:space="preserve"> compliance discharge, differentiation in a crowded market, placement outcomes, and accreditation evidence.</w:t>
      </w:r>
    </w:p>
    <w:p>
      <w:r>
        <w:rPr>
          <w:b/>
        </w:rPr>
        <w:t>What to offer:</w:t>
      </w:r>
      <w:r>
        <w:t xml:space="preserve"> the internship-embedded degree solution; credit-bearing certificate course with revenue share; FDP; regional competition round; SGRC and POSH advisory.</w:t>
      </w:r>
    </w:p>
    <w:p>
      <w:r>
        <w:rPr>
          <w:b/>
        </w:rPr>
        <w:t>Pricing posture:</w:t>
      </w:r>
      <w:r>
        <w:t xml:space="preserve"> this is the commercial core of the programme. Full rate card. Revenue share on student fees at the standard split. Volume here funds everything else.</w:t>
      </w:r>
    </w:p>
    <w:p>
      <w:pPr>
        <w:pStyle w:val="Heading2"/>
      </w:pPr>
      <w:r>
        <w:t>3.3 Management and commerce schools</w:t>
      </w:r>
    </w:p>
    <w:p>
      <w:r>
        <w:rPr>
          <w:b/>
        </w:rPr>
        <w:t>What they want:</w:t>
      </w:r>
      <w:r>
        <w:t xml:space="preserve"> employability signals, industry linkage, and content their competitors do not have.</w:t>
      </w:r>
    </w:p>
    <w:p>
      <w:r>
        <w:rPr>
          <w:b/>
        </w:rPr>
        <w:t>What to offer:</w:t>
      </w:r>
      <w:r>
        <w:t xml:space="preserve"> negotiation laboratory; commercial dispute and contract workshops; founder-dispute clinic run with the incubation cell; workplace conflict and POSH modules for HR specialisations; the national negotiation championship.</w:t>
      </w:r>
    </w:p>
    <w:p>
      <w:r>
        <w:rPr>
          <w:b/>
        </w:rPr>
        <w:t>What to avoid:</w:t>
      </w:r>
      <w:r>
        <w:t xml:space="preserve"> leading with mediation as a legal subject. Lead with negotiation as a management competence and let mediation follow.</w:t>
      </w:r>
    </w:p>
    <w:p>
      <w:r>
        <w:rPr>
          <w:b/>
        </w:rPr>
        <w:t>Pricing posture:</w:t>
      </w:r>
      <w:r>
        <w:t xml:space="preserve"> management schools have larger per-student budgets and shorter decision cycles than law faculties. Price accordingly.</w:t>
      </w:r>
    </w:p>
    <w:p>
      <w:pPr>
        <w:pStyle w:val="Heading2"/>
      </w:pPr>
      <w:r>
        <w:t>3.4 General, technical and multidisciplinary universities</w:t>
      </w:r>
    </w:p>
    <w:p>
      <w:r>
        <w:rPr>
          <w:b/>
        </w:rPr>
        <w:t>What they want:</w:t>
      </w:r>
      <w:r>
        <w:t xml:space="preserve"> functioning grievance machinery, a compliant Ombudsperson process, POSH capability, and campus harmony.</w:t>
      </w:r>
    </w:p>
    <w:p>
      <w:r>
        <w:rPr>
          <w:b/>
        </w:rPr>
        <w:t>What to offer:</w:t>
      </w:r>
      <w:r>
        <w:t xml:space="preserve"> the advisory retainer; IC and SGRC training; peer mediation cell; ODR hackathon with the technical departments.</w:t>
      </w:r>
    </w:p>
    <w:p>
      <w:r>
        <w:rPr>
          <w:b/>
        </w:rPr>
        <w:t>Pricing posture:</w:t>
      </w:r>
      <w:r>
        <w:t xml:space="preserve"> low programme volume, high advisory annuity. Tier 3 partnership with a separate commercial services agreement is often the right structure — the MOU need not carry the paid work.</w:t>
      </w:r>
    </w:p>
    <w:p>
      <w:pPr>
        <w:spacing w:before="80" w:after="160"/>
        <w:pBdr>
          <w:bottom w:val="single" w:sz="6" w:space="1" w:color="C9D6DE"/>
        </w:pBdr>
      </w:pPr>
    </w:p>
    <w:p>
      <w:pPr>
        <w:pStyle w:val="Heading1"/>
        <w:pBdr>
          <w:bottom w:val="single" w:sz="8" w:space="4" w:color="C9D6DE"/>
        </w:pBdr>
      </w:pPr>
      <w:r>
        <w:t>4. Prioritisation and pipeline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793"/>
            <w:shd w:val="clear" w:color="auto" w:fill="10375C"/>
          </w:tcPr>
          <w:p>
            <w:pPr>
              <w:spacing w:after="50" w:before="50"/>
            </w:pPr>
            <w:r>
              <w:rPr>
                <w:b/>
                <w:color w:val="FFFFFF"/>
                <w:sz w:val="17"/>
              </w:rPr>
              <w:t>Pipeline stage</w:t>
            </w:r>
          </w:p>
        </w:tc>
        <w:tc>
          <w:tcPr>
            <w:tcW w:type="dxa" w:w="4413"/>
            <w:shd w:val="clear" w:color="auto" w:fill="10375C"/>
          </w:tcPr>
          <w:p>
            <w:pPr>
              <w:spacing w:after="50" w:before="50"/>
            </w:pPr>
            <w:r>
              <w:rPr>
                <w:b/>
                <w:color w:val="FFFFFF"/>
                <w:sz w:val="17"/>
              </w:rPr>
              <w:t>Definition</w:t>
            </w:r>
          </w:p>
        </w:tc>
        <w:tc>
          <w:tcPr>
            <w:tcW w:type="dxa" w:w="1593"/>
            <w:shd w:val="clear" w:color="auto" w:fill="10375C"/>
          </w:tcPr>
          <w:p>
            <w:pPr>
              <w:spacing w:after="50" w:before="50"/>
            </w:pPr>
            <w:r>
              <w:rPr>
                <w:b/>
                <w:color w:val="FFFFFF"/>
                <w:sz w:val="17"/>
              </w:rPr>
              <w:t>Maximum concurrent</w:t>
            </w:r>
          </w:p>
        </w:tc>
        <w:tc>
          <w:tcPr>
            <w:tcW w:type="dxa" w:w="1668"/>
            <w:shd w:val="clear" w:color="auto" w:fill="10375C"/>
          </w:tcPr>
          <w:p>
            <w:pPr>
              <w:spacing w:after="50" w:before="50"/>
            </w:pPr>
            <w:r>
              <w:rPr>
                <w:b/>
                <w:color w:val="FFFFFF"/>
                <w:sz w:val="17"/>
              </w:rPr>
              <w:t>Review cadence</w:t>
            </w:r>
          </w:p>
        </w:tc>
      </w:tr>
      <w:tr>
        <w:tc>
          <w:tcPr>
            <w:tcW w:type="dxa" w:w="1793"/>
          </w:tcPr>
          <w:p>
            <w:pPr>
              <w:spacing w:after="50" w:before="50" w:line="252" w:lineRule="auto"/>
            </w:pPr>
            <w:r>
              <w:rPr>
                <w:sz w:val="17"/>
              </w:rPr>
              <w:t>Identified</w:t>
            </w:r>
          </w:p>
        </w:tc>
        <w:tc>
          <w:tcPr>
            <w:tcW w:type="dxa" w:w="4413"/>
          </w:tcPr>
          <w:p>
            <w:pPr>
              <w:spacing w:after="50" w:before="50" w:line="252" w:lineRule="auto"/>
            </w:pPr>
            <w:r>
              <w:rPr>
                <w:sz w:val="17"/>
              </w:rPr>
              <w:t>Scored, not yet approached</w:t>
            </w:r>
          </w:p>
        </w:tc>
        <w:tc>
          <w:tcPr>
            <w:tcW w:type="dxa" w:w="1593"/>
          </w:tcPr>
          <w:p>
            <w:pPr>
              <w:spacing w:after="50" w:before="50" w:line="252" w:lineRule="auto"/>
            </w:pPr>
            <w:r>
              <w:rPr>
                <w:sz w:val="17"/>
              </w:rPr>
              <w:t>Unlimited</w:t>
            </w:r>
          </w:p>
        </w:tc>
        <w:tc>
          <w:tcPr>
            <w:tcW w:type="dxa" w:w="1668"/>
          </w:tcPr>
          <w:p>
            <w:pPr>
              <w:spacing w:after="50" w:before="50" w:line="252" w:lineRule="auto"/>
            </w:pPr>
            <w:r>
              <w:rPr>
                <w:sz w:val="17"/>
              </w:rPr>
              <w:t>Quarterly</w:t>
            </w:r>
          </w:p>
        </w:tc>
      </w:tr>
      <w:tr>
        <w:tc>
          <w:tcPr>
            <w:tcW w:type="dxa" w:w="1793"/>
            <w:shd w:val="clear" w:color="auto" w:fill="EAF1F4"/>
          </w:tcPr>
          <w:p>
            <w:pPr>
              <w:spacing w:after="50" w:before="50" w:line="252" w:lineRule="auto"/>
            </w:pPr>
            <w:r>
              <w:rPr>
                <w:sz w:val="17"/>
              </w:rPr>
              <w:t>Approached</w:t>
            </w:r>
          </w:p>
        </w:tc>
        <w:tc>
          <w:tcPr>
            <w:tcW w:type="dxa" w:w="4413"/>
            <w:shd w:val="clear" w:color="auto" w:fill="EAF1F4"/>
          </w:tcPr>
          <w:p>
            <w:pPr>
              <w:spacing w:after="50" w:before="50" w:line="252" w:lineRule="auto"/>
            </w:pPr>
            <w:r>
              <w:rPr>
                <w:sz w:val="17"/>
              </w:rPr>
              <w:t>Letter issued, awaiting response</w:t>
            </w:r>
          </w:p>
        </w:tc>
        <w:tc>
          <w:tcPr>
            <w:tcW w:type="dxa" w:w="1593"/>
            <w:shd w:val="clear" w:color="auto" w:fill="EAF1F4"/>
          </w:tcPr>
          <w:p>
            <w:pPr>
              <w:spacing w:after="50" w:before="50" w:line="252" w:lineRule="auto"/>
            </w:pPr>
            <w:r>
              <w:rPr>
                <w:sz w:val="17"/>
              </w:rPr>
              <w:t>25</w:t>
            </w:r>
          </w:p>
        </w:tc>
        <w:tc>
          <w:tcPr>
            <w:tcW w:type="dxa" w:w="1668"/>
            <w:shd w:val="clear" w:color="auto" w:fill="EAF1F4"/>
          </w:tcPr>
          <w:p>
            <w:pPr>
              <w:spacing w:after="50" w:before="50" w:line="252" w:lineRule="auto"/>
            </w:pPr>
            <w:r>
              <w:rPr>
                <w:sz w:val="17"/>
              </w:rPr>
              <w:t>Fortnightly</w:t>
            </w:r>
          </w:p>
        </w:tc>
      </w:tr>
      <w:tr>
        <w:tc>
          <w:tcPr>
            <w:tcW w:type="dxa" w:w="1793"/>
          </w:tcPr>
          <w:p>
            <w:pPr>
              <w:spacing w:after="50" w:before="50" w:line="252" w:lineRule="auto"/>
            </w:pPr>
            <w:r>
              <w:rPr>
                <w:sz w:val="17"/>
              </w:rPr>
              <w:t>Engaged</w:t>
            </w:r>
          </w:p>
        </w:tc>
        <w:tc>
          <w:tcPr>
            <w:tcW w:type="dxa" w:w="4413"/>
          </w:tcPr>
          <w:p>
            <w:pPr>
              <w:spacing w:after="50" w:before="50" w:line="252" w:lineRule="auto"/>
            </w:pPr>
            <w:r>
              <w:rPr>
                <w:sz w:val="17"/>
              </w:rPr>
              <w:t>Meeting held, discovery under way</w:t>
            </w:r>
          </w:p>
        </w:tc>
        <w:tc>
          <w:tcPr>
            <w:tcW w:type="dxa" w:w="1593"/>
          </w:tcPr>
          <w:p>
            <w:pPr>
              <w:spacing w:after="50" w:before="50" w:line="252" w:lineRule="auto"/>
            </w:pPr>
            <w:r>
              <w:rPr>
                <w:sz w:val="17"/>
              </w:rPr>
              <w:t>12</w:t>
            </w:r>
          </w:p>
        </w:tc>
        <w:tc>
          <w:tcPr>
            <w:tcW w:type="dxa" w:w="1668"/>
          </w:tcPr>
          <w:p>
            <w:pPr>
              <w:spacing w:after="50" w:before="50" w:line="252" w:lineRule="auto"/>
            </w:pPr>
            <w:r>
              <w:rPr>
                <w:sz w:val="17"/>
              </w:rPr>
              <w:t>Weekly</w:t>
            </w:r>
          </w:p>
        </w:tc>
      </w:tr>
      <w:tr>
        <w:tc>
          <w:tcPr>
            <w:tcW w:type="dxa" w:w="1793"/>
            <w:shd w:val="clear" w:color="auto" w:fill="EAF1F4"/>
          </w:tcPr>
          <w:p>
            <w:pPr>
              <w:spacing w:after="50" w:before="50" w:line="252" w:lineRule="auto"/>
            </w:pPr>
            <w:r>
              <w:rPr>
                <w:sz w:val="17"/>
              </w:rPr>
              <w:t>Proposed</w:t>
            </w:r>
          </w:p>
        </w:tc>
        <w:tc>
          <w:tcPr>
            <w:tcW w:type="dxa" w:w="4413"/>
            <w:shd w:val="clear" w:color="auto" w:fill="EAF1F4"/>
          </w:tcPr>
          <w:p>
            <w:pPr>
              <w:spacing w:after="50" w:before="50" w:line="252" w:lineRule="auto"/>
            </w:pPr>
            <w:r>
              <w:rPr>
                <w:sz w:val="17"/>
              </w:rPr>
              <w:t>Written proposal issued</w:t>
            </w:r>
          </w:p>
        </w:tc>
        <w:tc>
          <w:tcPr>
            <w:tcW w:type="dxa" w:w="1593"/>
            <w:shd w:val="clear" w:color="auto" w:fill="EAF1F4"/>
          </w:tcPr>
          <w:p>
            <w:pPr>
              <w:spacing w:after="50" w:before="50" w:line="252" w:lineRule="auto"/>
            </w:pPr>
            <w:r>
              <w:rPr>
                <w:sz w:val="17"/>
              </w:rPr>
              <w:t>8</w:t>
            </w:r>
          </w:p>
        </w:tc>
        <w:tc>
          <w:tcPr>
            <w:tcW w:type="dxa" w:w="1668"/>
            <w:shd w:val="clear" w:color="auto" w:fill="EAF1F4"/>
          </w:tcPr>
          <w:p>
            <w:pPr>
              <w:spacing w:after="50" w:before="50" w:line="252" w:lineRule="auto"/>
            </w:pPr>
            <w:r>
              <w:rPr>
                <w:sz w:val="17"/>
              </w:rPr>
              <w:t>Weekly</w:t>
            </w:r>
          </w:p>
        </w:tc>
      </w:tr>
      <w:tr>
        <w:tc>
          <w:tcPr>
            <w:tcW w:type="dxa" w:w="1793"/>
          </w:tcPr>
          <w:p>
            <w:pPr>
              <w:spacing w:after="50" w:before="50" w:line="252" w:lineRule="auto"/>
            </w:pPr>
            <w:r>
              <w:rPr>
                <w:sz w:val="17"/>
              </w:rPr>
              <w:t>Contracting</w:t>
            </w:r>
          </w:p>
        </w:tc>
        <w:tc>
          <w:tcPr>
            <w:tcW w:type="dxa" w:w="4413"/>
          </w:tcPr>
          <w:p>
            <w:pPr>
              <w:spacing w:after="50" w:before="50" w:line="252" w:lineRule="auto"/>
            </w:pPr>
            <w:r>
              <w:rPr>
                <w:sz w:val="17"/>
              </w:rPr>
              <w:t>In legal review</w:t>
            </w:r>
          </w:p>
        </w:tc>
        <w:tc>
          <w:tcPr>
            <w:tcW w:type="dxa" w:w="1593"/>
          </w:tcPr>
          <w:p>
            <w:pPr>
              <w:spacing w:after="50" w:before="50" w:line="252" w:lineRule="auto"/>
            </w:pPr>
            <w:r>
              <w:rPr>
                <w:sz w:val="17"/>
              </w:rPr>
              <w:t>5</w:t>
            </w:r>
          </w:p>
        </w:tc>
        <w:tc>
          <w:tcPr>
            <w:tcW w:type="dxa" w:w="1668"/>
          </w:tcPr>
          <w:p>
            <w:pPr>
              <w:spacing w:after="50" w:before="50" w:line="252" w:lineRule="auto"/>
            </w:pPr>
            <w:r>
              <w:rPr>
                <w:sz w:val="17"/>
              </w:rPr>
              <w:t>Weekly</w:t>
            </w:r>
          </w:p>
        </w:tc>
      </w:tr>
      <w:tr>
        <w:tc>
          <w:tcPr>
            <w:tcW w:type="dxa" w:w="1793"/>
            <w:shd w:val="clear" w:color="auto" w:fill="EAF1F4"/>
          </w:tcPr>
          <w:p>
            <w:pPr>
              <w:spacing w:after="50" w:before="50" w:line="252" w:lineRule="auto"/>
            </w:pPr>
            <w:r>
              <w:rPr>
                <w:sz w:val="17"/>
              </w:rPr>
              <w:t>Active</w:t>
            </w:r>
          </w:p>
        </w:tc>
        <w:tc>
          <w:tcPr>
            <w:tcW w:type="dxa" w:w="4413"/>
            <w:shd w:val="clear" w:color="auto" w:fill="EAF1F4"/>
          </w:tcPr>
          <w:p>
            <w:pPr>
              <w:spacing w:after="50" w:before="50" w:line="252" w:lineRule="auto"/>
            </w:pPr>
            <w:r>
              <w:rPr>
                <w:sz w:val="17"/>
              </w:rPr>
              <w:t>MOU signed, calendar agreed</w:t>
            </w:r>
          </w:p>
        </w:tc>
        <w:tc>
          <w:tcPr>
            <w:tcW w:type="dxa" w:w="1593"/>
            <w:shd w:val="clear" w:color="auto" w:fill="EAF1F4"/>
          </w:tcPr>
          <w:p>
            <w:pPr>
              <w:spacing w:after="50" w:before="50" w:line="252" w:lineRule="auto"/>
            </w:pPr>
            <w:r>
              <w:rPr>
                <w:sz w:val="17"/>
              </w:rPr>
              <w:t>Per capacity</w:t>
            </w:r>
          </w:p>
        </w:tc>
        <w:tc>
          <w:tcPr>
            <w:tcW w:type="dxa" w:w="1668"/>
            <w:shd w:val="clear" w:color="auto" w:fill="EAF1F4"/>
          </w:tcPr>
          <w:p>
            <w:pPr>
              <w:spacing w:after="50" w:before="50" w:line="252" w:lineRule="auto"/>
            </w:pPr>
            <w:r>
              <w:rPr>
                <w:sz w:val="17"/>
              </w:rPr>
              <w:t>Monthly</w:t>
            </w:r>
          </w:p>
        </w:tc>
      </w:tr>
    </w:tbl>
    <w:p>
      <w:pPr>
        <w:spacing w:after="80" w:before="0"/>
      </w:pPr>
    </w:p>
    <w:p>
      <w:r>
        <w:rPr>
          <w:b/>
        </w:rPr>
        <w:t>Capacity rule.</w:t>
      </w:r>
      <w:r>
        <w:t xml:space="preserve"> Programme delivery capacity, not business development ambition, sets the ceiling on active partnerships. Signing beyond the trainer bench's capacity produces exactly the dormant MOUs that risk S1 in the strategy identifies. The rule is that no new Tier 1 or Tier 2 MOU may be signed unless the trainer bench can absorb the committed calendar with at least 20% headroom.</w:t>
      </w:r>
    </w:p>
    <w:p>
      <w:pPr>
        <w:spacing w:before="80" w:after="160"/>
        <w:pBdr>
          <w:bottom w:val="single" w:sz="6" w:space="1" w:color="C9D6DE"/>
        </w:pBdr>
      </w:pPr>
    </w:p>
    <w:p>
      <w:pPr>
        <w:pStyle w:val="Heading1"/>
        <w:pBdr>
          <w:bottom w:val="single" w:sz="8" w:space="4" w:color="C9D6DE"/>
        </w:pBdr>
      </w:pPr>
      <w:r>
        <w:t>5. Reasons to decline</w:t>
      </w:r>
    </w:p>
    <w:p>
      <w:r>
        <w:t>Declining well protects the brand and preserves capacity. Standard grounds:</w:t>
      </w:r>
    </w:p>
    <w:p>
      <w:pPr>
        <w:pStyle w:val="ListNumber"/>
      </w:pPr>
      <w:r>
        <w:rPr>
          <w:sz w:val="21"/>
        </w:rPr>
        <w:t>The institution requires exclusivity across a state or a subject area beyond the standard limit.</w:t>
      </w:r>
    </w:p>
    <w:p>
      <w:pPr>
        <w:pStyle w:val="ListNumber"/>
      </w:pPr>
      <w:r>
        <w:rPr>
          <w:sz w:val="21"/>
        </w:rPr>
        <w:t>The institution expects all programmes free and has no budget line.</w:t>
      </w:r>
    </w:p>
    <w:p>
      <w:pPr>
        <w:pStyle w:val="ListNumber"/>
      </w:pPr>
      <w:r>
        <w:rPr>
          <w:sz w:val="21"/>
        </w:rPr>
        <w:t>There is no identifiable champion after two meetings.</w:t>
      </w:r>
    </w:p>
    <w:p>
      <w:pPr>
        <w:pStyle w:val="ListNumber"/>
      </w:pPr>
      <w:r>
        <w:rPr>
          <w:sz w:val="21"/>
        </w:rPr>
        <w:t>The institution's grievance or POSH record makes association reputationally hazardous.</w:t>
      </w:r>
    </w:p>
    <w:p>
      <w:pPr>
        <w:pStyle w:val="ListNumber"/>
      </w:pPr>
      <w:r>
        <w:rPr>
          <w:sz w:val="21"/>
        </w:rPr>
        <w:t>The proposed campus facilities cannot safely host the activity contemplated.</w:t>
      </w:r>
    </w:p>
    <w:p>
      <w:pPr>
        <w:pStyle w:val="ListNumber"/>
      </w:pPr>
      <w:r>
        <w:rPr>
          <w:sz w:val="21"/>
        </w:rPr>
        <w:t>Equator or a group entity is, or is likely to be, engaged in a dispute involving the institution.</w:t>
      </w:r>
    </w:p>
    <w:p>
      <w:pPr>
        <w:pStyle w:val="ListNumber"/>
      </w:pPr>
      <w:r>
        <w:rPr>
          <w:sz w:val="21"/>
        </w:rPr>
        <w:t>The institution seeks to use the Equator name for accreditation or ranking purposes without corresponding activity.</w:t>
      </w:r>
    </w:p>
    <w:p>
      <w:r>
        <w:t>The decline letter in the Letters Compendium (02.1) is written to keep the door open; institutions declined at one point frequently return with a champion and a budget.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EQ-UAP-013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University Tiering, Scoring &amp; Selection Framework</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40A25C4-D4F8-4B2B-B672-6DBE6C98DDD1}"/>
</file>

<file path=customXml/itemProps3.xml><?xml version="1.0" encoding="utf-8"?>
<ds:datastoreItem xmlns:ds="http://schemas.openxmlformats.org/officeDocument/2006/customXml" ds:itemID="{5E63E09A-825D-4365-9561-A819212646EF}"/>
</file>

<file path=customXml/itemProps4.xml><?xml version="1.0" encoding="utf-8"?>
<ds:datastoreItem xmlns:ds="http://schemas.openxmlformats.org/officeDocument/2006/customXml" ds:itemID="{88C33A09-2E6E-4ADE-BA0A-A75641FB02D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