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Programme Charter &amp; Governance Framework</w:t>
      </w:r>
    </w:p>
    <w:p>
      <w:pPr>
        <w:spacing w:after="280" w:line="276" w:lineRule="auto"/>
      </w:pPr>
      <w:r>
        <w:rPr>
          <w:rFonts w:ascii="Calibri" w:hAnsi="Calibri"/>
          <w:i/>
          <w:color w:val="3E6B8A"/>
          <w:sz w:val="25"/>
        </w:rPr>
        <w:t>Mandate, scope, structure, roles, decision rights and reporting for the University &amp; Academic Partnership Programme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EQ-UAP-014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Mandate</w:t>
      </w:r>
    </w:p>
    <w:p>
      <w:r>
        <w:t>The University &amp; Academic Partnership Programme is established by the Board of Equator Resolution to build and operate a national network of academic partnerships that delivers talent pipeline, institutional credibility and recurring revenue in support of the five dispute-resolution verticals.</w:t>
      </w:r>
    </w:p>
    <w:p>
      <w:r>
        <w:t xml:space="preserve">The Programme is delivered principally through </w:t>
      </w:r>
      <w:r>
        <w:rPr>
          <w:b/>
        </w:rPr>
        <w:t>Equator ADR Institute</w:t>
      </w:r>
      <w:r>
        <w:t xml:space="preserve">, with </w:t>
      </w:r>
      <w:r>
        <w:rPr>
          <w:b/>
        </w:rPr>
        <w:t>Equator Resolution</w:t>
      </w:r>
      <w:r>
        <w:t xml:space="preserve"> receiving referred matters, empanelling neutrals and employing programme graduates.</w:t>
      </w:r>
    </w:p>
    <w:p>
      <w:pPr>
        <w:pStyle w:val="Heading2"/>
      </w:pPr>
      <w:r>
        <w:t>1.1 Objectives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3910"/>
            <w:shd w:val="clear" w:color="auto" w:fill="10375C"/>
          </w:tcPr>
          <w:p>
            <w:pPr>
              <w:spacing w:after="50" w:before="50"/>
            </w:pPr>
            <w:r>
              <w:rPr>
                <w:b/>
                <w:color w:val="FFFFFF"/>
                <w:sz w:val="17"/>
              </w:rPr>
              <w:t>Objective</w:t>
            </w:r>
          </w:p>
        </w:tc>
        <w:tc>
          <w:tcPr>
            <w:tcW w:type="dxa" w:w="3910"/>
            <w:shd w:val="clear" w:color="auto" w:fill="10375C"/>
          </w:tcPr>
          <w:p>
            <w:pPr>
              <w:spacing w:after="50" w:before="50"/>
            </w:pPr>
            <w:r>
              <w:rPr>
                <w:b/>
                <w:color w:val="FFFFFF"/>
                <w:sz w:val="17"/>
              </w:rPr>
              <w:t>Measure</w:t>
            </w:r>
          </w:p>
        </w:tc>
        <w:tc>
          <w:tcPr>
            <w:tcW w:type="dxa" w:w="1258"/>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O1</w:t>
            </w:r>
          </w:p>
        </w:tc>
        <w:tc>
          <w:tcPr>
            <w:tcW w:type="dxa" w:w="3910"/>
          </w:tcPr>
          <w:p>
            <w:pPr>
              <w:spacing w:after="50" w:before="50" w:line="252" w:lineRule="auto"/>
            </w:pPr>
            <w:r>
              <w:rPr>
                <w:sz w:val="17"/>
              </w:rPr>
              <w:t>Build a tiered national network of partner institutions</w:t>
            </w:r>
          </w:p>
        </w:tc>
        <w:tc>
          <w:tcPr>
            <w:tcW w:type="dxa" w:w="3910"/>
          </w:tcPr>
          <w:p>
            <w:pPr>
              <w:spacing w:after="50" w:before="50" w:line="252" w:lineRule="auto"/>
            </w:pPr>
            <w:r>
              <w:rPr>
                <w:sz w:val="17"/>
              </w:rPr>
              <w:t>Partnerships active by tier against plan</w:t>
            </w:r>
          </w:p>
        </w:tc>
        <w:tc>
          <w:tcPr>
            <w:tcW w:type="dxa" w:w="1258"/>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O2</w:t>
            </w:r>
          </w:p>
        </w:tc>
        <w:tc>
          <w:tcPr>
            <w:tcW w:type="dxa" w:w="3910"/>
            <w:shd w:val="clear" w:color="auto" w:fill="EAF1F4"/>
          </w:tcPr>
          <w:p>
            <w:pPr>
              <w:spacing w:after="50" w:before="50" w:line="252" w:lineRule="auto"/>
            </w:pPr>
            <w:r>
              <w:rPr>
                <w:sz w:val="17"/>
              </w:rPr>
              <w:t>Train students, faculty and professionals to a consistent standard</w:t>
            </w:r>
          </w:p>
        </w:tc>
        <w:tc>
          <w:tcPr>
            <w:tcW w:type="dxa" w:w="3910"/>
            <w:shd w:val="clear" w:color="auto" w:fill="EAF1F4"/>
          </w:tcPr>
          <w:p>
            <w:pPr>
              <w:spacing w:after="50" w:before="50" w:line="252" w:lineRule="auto"/>
            </w:pPr>
            <w:r>
              <w:rPr>
                <w:sz w:val="17"/>
              </w:rPr>
              <w:t>Participants certified; assessment pass rates; calibration variance</w:t>
            </w:r>
          </w:p>
        </w:tc>
        <w:tc>
          <w:tcPr>
            <w:tcW w:type="dxa" w:w="1258"/>
            <w:shd w:val="clear" w:color="auto" w:fill="EAF1F4"/>
          </w:tcPr>
          <w:p>
            <w:pPr>
              <w:spacing w:after="50" w:before="50" w:line="252" w:lineRule="auto"/>
            </w:pPr>
            <w:r>
              <w:rPr>
                <w:sz w:val="17"/>
              </w:rPr>
              <w:t>Head of Curriculum</w:t>
            </w:r>
          </w:p>
        </w:tc>
      </w:tr>
      <w:tr>
        <w:tc>
          <w:tcPr>
            <w:tcW w:type="dxa" w:w="850"/>
          </w:tcPr>
          <w:p>
            <w:pPr>
              <w:spacing w:after="50" w:before="50" w:line="252" w:lineRule="auto"/>
            </w:pPr>
            <w:r>
              <w:rPr>
                <w:sz w:val="17"/>
              </w:rPr>
              <w:t>O3</w:t>
            </w:r>
          </w:p>
        </w:tc>
        <w:tc>
          <w:tcPr>
            <w:tcW w:type="dxa" w:w="3910"/>
          </w:tcPr>
          <w:p>
            <w:pPr>
              <w:spacing w:after="50" w:before="50" w:line="252" w:lineRule="auto"/>
            </w:pPr>
            <w:r>
              <w:rPr>
                <w:sz w:val="17"/>
              </w:rPr>
              <w:t>Convert trained students into Equator interns, neutrals and employees</w:t>
            </w:r>
          </w:p>
        </w:tc>
        <w:tc>
          <w:tcPr>
            <w:tcW w:type="dxa" w:w="3910"/>
          </w:tcPr>
          <w:p>
            <w:pPr>
              <w:spacing w:after="50" w:before="50" w:line="252" w:lineRule="auto"/>
            </w:pPr>
            <w:r>
              <w:rPr>
                <w:sz w:val="17"/>
              </w:rPr>
              <w:t>Conversion rate at each stage of the pipeline</w:t>
            </w:r>
          </w:p>
        </w:tc>
        <w:tc>
          <w:tcPr>
            <w:tcW w:type="dxa" w:w="1258"/>
          </w:tcPr>
          <w:p>
            <w:pPr>
              <w:spacing w:after="50" w:before="50" w:line="252" w:lineRule="auto"/>
            </w:pPr>
            <w:r>
              <w:rPr>
                <w:sz w:val="17"/>
              </w:rPr>
              <w:t>Head of Operations</w:t>
            </w:r>
          </w:p>
        </w:tc>
      </w:tr>
      <w:tr>
        <w:tc>
          <w:tcPr>
            <w:tcW w:type="dxa" w:w="850"/>
            <w:shd w:val="clear" w:color="auto" w:fill="EAF1F4"/>
          </w:tcPr>
          <w:p>
            <w:pPr>
              <w:spacing w:after="50" w:before="50" w:line="252" w:lineRule="auto"/>
            </w:pPr>
            <w:r>
              <w:rPr>
                <w:sz w:val="17"/>
              </w:rPr>
              <w:t>O4</w:t>
            </w:r>
          </w:p>
        </w:tc>
        <w:tc>
          <w:tcPr>
            <w:tcW w:type="dxa" w:w="3910"/>
            <w:shd w:val="clear" w:color="auto" w:fill="EAF1F4"/>
          </w:tcPr>
          <w:p>
            <w:pPr>
              <w:spacing w:after="50" w:before="50" w:line="252" w:lineRule="auto"/>
            </w:pPr>
            <w:r>
              <w:rPr>
                <w:sz w:val="17"/>
              </w:rPr>
              <w:t>Generate recurring programme revenue at target contribution margin</w:t>
            </w:r>
          </w:p>
        </w:tc>
        <w:tc>
          <w:tcPr>
            <w:tcW w:type="dxa" w:w="3910"/>
            <w:shd w:val="clear" w:color="auto" w:fill="EAF1F4"/>
          </w:tcPr>
          <w:p>
            <w:pPr>
              <w:spacing w:after="50" w:before="50" w:line="252" w:lineRule="auto"/>
            </w:pPr>
            <w:r>
              <w:rPr>
                <w:sz w:val="17"/>
              </w:rPr>
              <w:t>Gross revenue; contribution margin; revenue per partnership</w:t>
            </w:r>
          </w:p>
        </w:tc>
        <w:tc>
          <w:tcPr>
            <w:tcW w:type="dxa" w:w="1258"/>
            <w:shd w:val="clear" w:color="auto" w:fill="EAF1F4"/>
          </w:tcPr>
          <w:p>
            <w:pPr>
              <w:spacing w:after="50" w:before="50" w:line="252" w:lineRule="auto"/>
            </w:pPr>
            <w:r>
              <w:rPr>
                <w:sz w:val="17"/>
              </w:rPr>
              <w:t>Finance Controller</w:t>
            </w:r>
          </w:p>
        </w:tc>
      </w:tr>
      <w:tr>
        <w:tc>
          <w:tcPr>
            <w:tcW w:type="dxa" w:w="850"/>
          </w:tcPr>
          <w:p>
            <w:pPr>
              <w:spacing w:after="50" w:before="50" w:line="252" w:lineRule="auto"/>
            </w:pPr>
            <w:r>
              <w:rPr>
                <w:sz w:val="17"/>
              </w:rPr>
              <w:t>O5</w:t>
            </w:r>
          </w:p>
        </w:tc>
        <w:tc>
          <w:tcPr>
            <w:tcW w:type="dxa" w:w="3910"/>
          </w:tcPr>
          <w:p>
            <w:pPr>
              <w:spacing w:after="50" w:before="50" w:line="252" w:lineRule="auto"/>
            </w:pPr>
            <w:r>
              <w:rPr>
                <w:sz w:val="17"/>
              </w:rPr>
              <w:t>Establish research and thought-leadership authority</w:t>
            </w:r>
          </w:p>
        </w:tc>
        <w:tc>
          <w:tcPr>
            <w:tcW w:type="dxa" w:w="3910"/>
          </w:tcPr>
          <w:p>
            <w:pPr>
              <w:spacing w:after="50" w:before="50" w:line="252" w:lineRule="auto"/>
            </w:pPr>
            <w:r>
              <w:rPr>
                <w:sz w:val="17"/>
              </w:rPr>
              <w:t>Publications; annual report; citations; judicial and bar engagement</w:t>
            </w:r>
          </w:p>
        </w:tc>
        <w:tc>
          <w:tcPr>
            <w:tcW w:type="dxa" w:w="1258"/>
          </w:tcPr>
          <w:p>
            <w:pPr>
              <w:spacing w:after="50" w:before="50" w:line="252" w:lineRule="auto"/>
            </w:pPr>
            <w:r>
              <w:rPr>
                <w:sz w:val="17"/>
              </w:rPr>
              <w:t>Head of Research</w:t>
            </w:r>
          </w:p>
        </w:tc>
      </w:tr>
      <w:tr>
        <w:tc>
          <w:tcPr>
            <w:tcW w:type="dxa" w:w="850"/>
            <w:shd w:val="clear" w:color="auto" w:fill="EAF1F4"/>
          </w:tcPr>
          <w:p>
            <w:pPr>
              <w:spacing w:after="50" w:before="50" w:line="252" w:lineRule="auto"/>
            </w:pPr>
            <w:r>
              <w:rPr>
                <w:sz w:val="17"/>
              </w:rPr>
              <w:t>O6</w:t>
            </w:r>
          </w:p>
        </w:tc>
        <w:tc>
          <w:tcPr>
            <w:tcW w:type="dxa" w:w="3910"/>
            <w:shd w:val="clear" w:color="auto" w:fill="EAF1F4"/>
          </w:tcPr>
          <w:p>
            <w:pPr>
              <w:spacing w:after="50" w:before="50" w:line="252" w:lineRule="auto"/>
            </w:pPr>
            <w:r>
              <w:rPr>
                <w:sz w:val="17"/>
              </w:rPr>
              <w:t>Operate without regulatory, safeguarding or reputational incident</w:t>
            </w:r>
          </w:p>
        </w:tc>
        <w:tc>
          <w:tcPr>
            <w:tcW w:type="dxa" w:w="3910"/>
            <w:shd w:val="clear" w:color="auto" w:fill="EAF1F4"/>
          </w:tcPr>
          <w:p>
            <w:pPr>
              <w:spacing w:after="50" w:before="50" w:line="252" w:lineRule="auto"/>
            </w:pPr>
            <w:r>
              <w:rPr>
                <w:sz w:val="17"/>
              </w:rPr>
              <w:t>Incidents; open [verify] items; audit findings</w:t>
            </w:r>
          </w:p>
        </w:tc>
        <w:tc>
          <w:tcPr>
            <w:tcW w:type="dxa" w:w="1258"/>
            <w:shd w:val="clear" w:color="auto" w:fill="EAF1F4"/>
          </w:tcPr>
          <w:p>
            <w:pPr>
              <w:spacing w:after="50" w:before="50" w:line="252" w:lineRule="auto"/>
            </w:pPr>
            <w:r>
              <w:rPr>
                <w:sz w:val="17"/>
              </w:rPr>
              <w:t>Director</w:t>
            </w:r>
          </w:p>
        </w:tc>
      </w:tr>
    </w:tbl>
    <w:p>
      <w:pPr>
        <w:spacing w:after="80" w:before="0"/>
      </w:pPr>
    </w:p>
    <w:p>
      <w:pPr>
        <w:pStyle w:val="Heading2"/>
      </w:pPr>
      <w:r>
        <w:t>1.2 In scope</w:t>
      </w:r>
    </w:p>
    <w:p>
      <w:r>
        <w:t>Partnership identification, contracting and governance; curriculum design and delivery; certification; competitions; internships; campus mediation cells; live clinics conducted under supervision; joint research; co-branded communications; institutional advisory services to partner institutions relating to grievance redressal, POSH and dispute resolution.</w:t>
      </w:r>
    </w:p>
    <w:p>
      <w:pPr>
        <w:pStyle w:val="Heading2"/>
      </w:pPr>
      <w:r>
        <w:t>1.3 Out of scope</w:t>
      </w:r>
    </w:p>
    <w:p>
      <w:r>
        <w:t>Award of degrees or diplomas; representation of any Equator credential as a statutory qualification; provision of legal advice to students or institutions; acceptance of a mediator or arbitrator appointment in a matter involving a partner institution save under the conflict protocol at 07.9; any activity outside India without separate Board approval.</w:t>
      </w:r>
    </w:p>
    <w:p>
      <w:pPr>
        <w:spacing w:before="80" w:after="160"/>
        <w:pBdr>
          <w:bottom w:val="single" w:sz="6" w:space="1" w:color="C9D6DE"/>
        </w:pBdr>
      </w:pPr>
    </w:p>
    <w:p>
      <w:pPr>
        <w:pStyle w:val="Heading1"/>
        <w:pBdr>
          <w:bottom w:val="single" w:sz="8" w:space="4" w:color="C9D6DE"/>
        </w:pBdr>
      </w:pPr>
      <w:r>
        <w:t>2. Structure</w:t>
      </w:r>
    </w:p>
    <w:p>
      <w:pPr>
        <w:pStyle w:val="Heading2"/>
      </w:pPr>
      <w:r>
        <w:t>2.1 Internal roles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879"/>
            <w:shd w:val="clear" w:color="auto" w:fill="10375C"/>
          </w:tcPr>
          <w:p>
            <w:pPr>
              <w:spacing w:after="50" w:before="50"/>
            </w:pPr>
            <w:r>
              <w:rPr>
                <w:b/>
                <w:color w:val="FFFFFF"/>
                <w:sz w:val="17"/>
              </w:rPr>
              <w:t>Role</w:t>
            </w:r>
          </w:p>
        </w:tc>
        <w:tc>
          <w:tcPr>
            <w:tcW w:type="dxa" w:w="1703"/>
            <w:shd w:val="clear" w:color="auto" w:fill="10375C"/>
          </w:tcPr>
          <w:p>
            <w:pPr>
              <w:spacing w:after="50" w:before="50"/>
            </w:pPr>
            <w:r>
              <w:rPr>
                <w:b/>
                <w:color w:val="FFFFFF"/>
                <w:sz w:val="17"/>
              </w:rPr>
              <w:t>Reports to</w:t>
            </w:r>
          </w:p>
        </w:tc>
        <w:tc>
          <w:tcPr>
            <w:tcW w:type="dxa" w:w="3734"/>
            <w:shd w:val="clear" w:color="auto" w:fill="10375C"/>
          </w:tcPr>
          <w:p>
            <w:pPr>
              <w:spacing w:after="50" w:before="50"/>
            </w:pPr>
            <w:r>
              <w:rPr>
                <w:b/>
                <w:color w:val="FFFFFF"/>
                <w:sz w:val="17"/>
              </w:rPr>
              <w:t>Principal accountabilities</w:t>
            </w:r>
          </w:p>
        </w:tc>
        <w:tc>
          <w:tcPr>
            <w:tcW w:type="dxa" w:w="1151"/>
            <w:shd w:val="clear" w:color="auto" w:fill="10375C"/>
          </w:tcPr>
          <w:p>
            <w:pPr>
              <w:spacing w:after="50" w:before="50"/>
            </w:pPr>
            <w:r>
              <w:rPr>
                <w:b/>
                <w:color w:val="FFFFFF"/>
                <w:sz w:val="17"/>
              </w:rPr>
              <w:t>Indicative FTE at steady state</w:t>
            </w:r>
          </w:p>
        </w:tc>
      </w:tr>
      <w:tr>
        <w:tc>
          <w:tcPr>
            <w:tcW w:type="dxa" w:w="2879"/>
          </w:tcPr>
          <w:p>
            <w:pPr>
              <w:spacing w:after="50" w:before="50" w:line="252" w:lineRule="auto"/>
            </w:pPr>
            <w:r>
              <w:rPr>
                <w:b/>
                <w:sz w:val="17"/>
              </w:rPr>
              <w:t>Programme Director — Academic Partnerships</w:t>
            </w:r>
          </w:p>
        </w:tc>
        <w:tc>
          <w:tcPr>
            <w:tcW w:type="dxa" w:w="1703"/>
          </w:tcPr>
          <w:p>
            <w:pPr>
              <w:spacing w:after="50" w:before="50" w:line="252" w:lineRule="auto"/>
            </w:pPr>
            <w:r>
              <w:rPr>
                <w:sz w:val="17"/>
              </w:rPr>
              <w:t>Managing Director</w:t>
            </w:r>
          </w:p>
        </w:tc>
        <w:tc>
          <w:tcPr>
            <w:tcW w:type="dxa" w:w="3734"/>
          </w:tcPr>
          <w:p>
            <w:pPr>
              <w:spacing w:after="50" w:before="50" w:line="252" w:lineRule="auto"/>
            </w:pPr>
            <w:r>
              <w:rPr>
                <w:sz w:val="17"/>
              </w:rPr>
              <w:t>Strategy, tiering decisions, Tier 1 relationships, Board reporting, risk ownership</w:t>
            </w:r>
          </w:p>
        </w:tc>
        <w:tc>
          <w:tcPr>
            <w:tcW w:type="dxa" w:w="1151"/>
          </w:tcPr>
          <w:p>
            <w:pPr>
              <w:spacing w:after="50" w:before="50" w:line="252" w:lineRule="auto"/>
            </w:pPr>
            <w:r>
              <w:rPr>
                <w:sz w:val="17"/>
              </w:rPr>
              <w:t>1.0</w:t>
            </w:r>
          </w:p>
        </w:tc>
      </w:tr>
      <w:tr>
        <w:tc>
          <w:tcPr>
            <w:tcW w:type="dxa" w:w="2879"/>
            <w:shd w:val="clear" w:color="auto" w:fill="EAF1F4"/>
          </w:tcPr>
          <w:p>
            <w:pPr>
              <w:spacing w:after="50" w:before="50" w:line="252" w:lineRule="auto"/>
            </w:pPr>
            <w:r>
              <w:rPr>
                <w:b/>
                <w:sz w:val="17"/>
              </w:rPr>
              <w:t>Manager — Business Development</w:t>
            </w:r>
          </w:p>
        </w:tc>
        <w:tc>
          <w:tcPr>
            <w:tcW w:type="dxa" w:w="1703"/>
            <w:shd w:val="clear" w:color="auto" w:fill="EAF1F4"/>
          </w:tcPr>
          <w:p>
            <w:pPr>
              <w:spacing w:after="50" w:before="50" w:line="252" w:lineRule="auto"/>
            </w:pPr>
            <w:r>
              <w:rPr>
                <w:sz w:val="17"/>
              </w:rPr>
              <w:t>Director</w:t>
            </w:r>
          </w:p>
        </w:tc>
        <w:tc>
          <w:tcPr>
            <w:tcW w:type="dxa" w:w="3734"/>
            <w:shd w:val="clear" w:color="auto" w:fill="EAF1F4"/>
          </w:tcPr>
          <w:p>
            <w:pPr>
              <w:spacing w:after="50" w:before="50" w:line="252" w:lineRule="auto"/>
            </w:pPr>
            <w:r>
              <w:rPr>
                <w:sz w:val="17"/>
              </w:rPr>
              <w:t>Pipeline, outreach, proposals, contracting hand-off, CRM discipline</w:t>
            </w:r>
          </w:p>
        </w:tc>
        <w:tc>
          <w:tcPr>
            <w:tcW w:type="dxa" w:w="1151"/>
            <w:shd w:val="clear" w:color="auto" w:fill="EAF1F4"/>
          </w:tcPr>
          <w:p>
            <w:pPr>
              <w:spacing w:after="50" w:before="50" w:line="252" w:lineRule="auto"/>
            </w:pPr>
            <w:r>
              <w:rPr>
                <w:sz w:val="17"/>
              </w:rPr>
              <w:t>1.0</w:t>
            </w:r>
          </w:p>
        </w:tc>
      </w:tr>
      <w:tr>
        <w:tc>
          <w:tcPr>
            <w:tcW w:type="dxa" w:w="2879"/>
          </w:tcPr>
          <w:p>
            <w:pPr>
              <w:spacing w:after="50" w:before="50" w:line="252" w:lineRule="auto"/>
            </w:pPr>
            <w:r>
              <w:rPr>
                <w:b/>
                <w:sz w:val="17"/>
              </w:rPr>
              <w:t>Head of Curriculum &amp; Certification</w:t>
            </w:r>
          </w:p>
        </w:tc>
        <w:tc>
          <w:tcPr>
            <w:tcW w:type="dxa" w:w="1703"/>
          </w:tcPr>
          <w:p>
            <w:pPr>
              <w:spacing w:after="50" w:before="50" w:line="252" w:lineRule="auto"/>
            </w:pPr>
            <w:r>
              <w:rPr>
                <w:sz w:val="17"/>
              </w:rPr>
              <w:t>Director</w:t>
            </w:r>
          </w:p>
        </w:tc>
        <w:tc>
          <w:tcPr>
            <w:tcW w:type="dxa" w:w="3734"/>
          </w:tcPr>
          <w:p>
            <w:pPr>
              <w:spacing w:after="50" w:before="50" w:line="252" w:lineRule="auto"/>
            </w:pPr>
            <w:r>
              <w:rPr>
                <w:sz w:val="17"/>
              </w:rPr>
              <w:t>Curriculum, trainer bench, assessment integrity, calibration, certification issue</w:t>
            </w:r>
          </w:p>
        </w:tc>
        <w:tc>
          <w:tcPr>
            <w:tcW w:type="dxa" w:w="1151"/>
          </w:tcPr>
          <w:p>
            <w:pPr>
              <w:spacing w:after="50" w:before="50" w:line="252" w:lineRule="auto"/>
            </w:pPr>
            <w:r>
              <w:rPr>
                <w:sz w:val="17"/>
              </w:rPr>
              <w:t>1.0</w:t>
            </w:r>
          </w:p>
        </w:tc>
      </w:tr>
      <w:tr>
        <w:tc>
          <w:tcPr>
            <w:tcW w:type="dxa" w:w="2879"/>
            <w:shd w:val="clear" w:color="auto" w:fill="EAF1F4"/>
          </w:tcPr>
          <w:p>
            <w:pPr>
              <w:spacing w:after="50" w:before="50" w:line="252" w:lineRule="auto"/>
            </w:pPr>
            <w:r>
              <w:rPr>
                <w:b/>
                <w:sz w:val="17"/>
              </w:rPr>
              <w:t>Manager — Programme Operations</w:t>
            </w:r>
          </w:p>
        </w:tc>
        <w:tc>
          <w:tcPr>
            <w:tcW w:type="dxa" w:w="1703"/>
            <w:shd w:val="clear" w:color="auto" w:fill="EAF1F4"/>
          </w:tcPr>
          <w:p>
            <w:pPr>
              <w:spacing w:after="50" w:before="50" w:line="252" w:lineRule="auto"/>
            </w:pPr>
            <w:r>
              <w:rPr>
                <w:sz w:val="17"/>
              </w:rPr>
              <w:t>Director</w:t>
            </w:r>
          </w:p>
        </w:tc>
        <w:tc>
          <w:tcPr>
            <w:tcW w:type="dxa" w:w="3734"/>
            <w:shd w:val="clear" w:color="auto" w:fill="EAF1F4"/>
          </w:tcPr>
          <w:p>
            <w:pPr>
              <w:spacing w:after="50" w:before="50" w:line="252" w:lineRule="auto"/>
            </w:pPr>
            <w:r>
              <w:rPr>
                <w:sz w:val="17"/>
              </w:rPr>
              <w:t>Delivery calendar, logistics, vendor management, event execution</w:t>
            </w:r>
          </w:p>
        </w:tc>
        <w:tc>
          <w:tcPr>
            <w:tcW w:type="dxa" w:w="1151"/>
            <w:shd w:val="clear" w:color="auto" w:fill="EAF1F4"/>
          </w:tcPr>
          <w:p>
            <w:pPr>
              <w:spacing w:after="50" w:before="50" w:line="252" w:lineRule="auto"/>
            </w:pPr>
            <w:r>
              <w:rPr>
                <w:sz w:val="17"/>
              </w:rPr>
              <w:t>1.0</w:t>
            </w:r>
          </w:p>
        </w:tc>
      </w:tr>
      <w:tr>
        <w:tc>
          <w:tcPr>
            <w:tcW w:type="dxa" w:w="2879"/>
          </w:tcPr>
          <w:p>
            <w:pPr>
              <w:spacing w:after="50" w:before="50" w:line="252" w:lineRule="auto"/>
            </w:pPr>
            <w:r>
              <w:rPr>
                <w:b/>
                <w:sz w:val="17"/>
              </w:rPr>
              <w:t>Competition Convenor</w:t>
            </w:r>
          </w:p>
        </w:tc>
        <w:tc>
          <w:tcPr>
            <w:tcW w:type="dxa" w:w="1703"/>
          </w:tcPr>
          <w:p>
            <w:pPr>
              <w:spacing w:after="50" w:before="50" w:line="252" w:lineRule="auto"/>
            </w:pPr>
            <w:r>
              <w:rPr>
                <w:sz w:val="17"/>
              </w:rPr>
              <w:t>Head of Curriculum</w:t>
            </w:r>
          </w:p>
        </w:tc>
        <w:tc>
          <w:tcPr>
            <w:tcW w:type="dxa" w:w="3734"/>
          </w:tcPr>
          <w:p>
            <w:pPr>
              <w:spacing w:after="50" w:before="50" w:line="252" w:lineRule="auto"/>
            </w:pPr>
            <w:r>
              <w:rPr>
                <w:sz w:val="17"/>
              </w:rPr>
              <w:t>Competition design, problem sets, rules, judges, integrity</w:t>
            </w:r>
          </w:p>
        </w:tc>
        <w:tc>
          <w:tcPr>
            <w:tcW w:type="dxa" w:w="1151"/>
          </w:tcPr>
          <w:p>
            <w:pPr>
              <w:spacing w:after="50" w:before="50" w:line="252" w:lineRule="auto"/>
            </w:pPr>
            <w:r>
              <w:rPr>
                <w:sz w:val="17"/>
              </w:rPr>
              <w:t>0.5, seasonal peak 1.0</w:t>
            </w:r>
          </w:p>
        </w:tc>
      </w:tr>
      <w:tr>
        <w:tc>
          <w:tcPr>
            <w:tcW w:type="dxa" w:w="2879"/>
            <w:shd w:val="clear" w:color="auto" w:fill="EAF1F4"/>
          </w:tcPr>
          <w:p>
            <w:pPr>
              <w:spacing w:after="50" w:before="50" w:line="252" w:lineRule="auto"/>
            </w:pPr>
            <w:r>
              <w:rPr>
                <w:b/>
                <w:sz w:val="17"/>
              </w:rPr>
              <w:t>Coordinator — Internships &amp; Clinics</w:t>
            </w:r>
          </w:p>
        </w:tc>
        <w:tc>
          <w:tcPr>
            <w:tcW w:type="dxa" w:w="1703"/>
            <w:shd w:val="clear" w:color="auto" w:fill="EAF1F4"/>
          </w:tcPr>
          <w:p>
            <w:pPr>
              <w:spacing w:after="50" w:before="50" w:line="252" w:lineRule="auto"/>
            </w:pPr>
            <w:r>
              <w:rPr>
                <w:sz w:val="17"/>
              </w:rPr>
              <w:t>Manager, Operations</w:t>
            </w:r>
          </w:p>
        </w:tc>
        <w:tc>
          <w:tcPr>
            <w:tcW w:type="dxa" w:w="3734"/>
            <w:shd w:val="clear" w:color="auto" w:fill="EAF1F4"/>
          </w:tcPr>
          <w:p>
            <w:pPr>
              <w:spacing w:after="50" w:before="50" w:line="252" w:lineRule="auto"/>
            </w:pPr>
            <w:r>
              <w:rPr>
                <w:sz w:val="17"/>
              </w:rPr>
              <w:t>Intern intake, supervision rota, clinic protocol, confidentiality compliance</w:t>
            </w:r>
          </w:p>
        </w:tc>
        <w:tc>
          <w:tcPr>
            <w:tcW w:type="dxa" w:w="1151"/>
            <w:shd w:val="clear" w:color="auto" w:fill="EAF1F4"/>
          </w:tcPr>
          <w:p>
            <w:pPr>
              <w:spacing w:after="50" w:before="50" w:line="252" w:lineRule="auto"/>
            </w:pPr>
            <w:r>
              <w:rPr>
                <w:sz w:val="17"/>
              </w:rPr>
              <w:t>1.0</w:t>
            </w:r>
          </w:p>
        </w:tc>
      </w:tr>
      <w:tr>
        <w:tc>
          <w:tcPr>
            <w:tcW w:type="dxa" w:w="2879"/>
          </w:tcPr>
          <w:p>
            <w:pPr>
              <w:spacing w:after="50" w:before="50" w:line="252" w:lineRule="auto"/>
            </w:pPr>
            <w:r>
              <w:rPr>
                <w:b/>
                <w:sz w:val="17"/>
              </w:rPr>
              <w:t>Research Lead</w:t>
            </w:r>
          </w:p>
        </w:tc>
        <w:tc>
          <w:tcPr>
            <w:tcW w:type="dxa" w:w="1703"/>
          </w:tcPr>
          <w:p>
            <w:pPr>
              <w:spacing w:after="50" w:before="50" w:line="252" w:lineRule="auto"/>
            </w:pPr>
            <w:r>
              <w:rPr>
                <w:sz w:val="17"/>
              </w:rPr>
              <w:t>Director</w:t>
            </w:r>
          </w:p>
        </w:tc>
        <w:tc>
          <w:tcPr>
            <w:tcW w:type="dxa" w:w="3734"/>
          </w:tcPr>
          <w:p>
            <w:pPr>
              <w:spacing w:after="50" w:before="50" w:line="252" w:lineRule="auto"/>
            </w:pPr>
            <w:r>
              <w:rPr>
                <w:sz w:val="17"/>
              </w:rPr>
              <w:t>Research framework, joint publications, annual report, data governance</w:t>
            </w:r>
          </w:p>
        </w:tc>
        <w:tc>
          <w:tcPr>
            <w:tcW w:type="dxa" w:w="1151"/>
          </w:tcPr>
          <w:p>
            <w:pPr>
              <w:spacing w:after="50" w:before="50" w:line="252" w:lineRule="auto"/>
            </w:pPr>
            <w:r>
              <w:rPr>
                <w:sz w:val="17"/>
              </w:rPr>
              <w:t>0.5</w:t>
            </w:r>
          </w:p>
        </w:tc>
      </w:tr>
      <w:tr>
        <w:tc>
          <w:tcPr>
            <w:tcW w:type="dxa" w:w="2879"/>
            <w:shd w:val="clear" w:color="auto" w:fill="EAF1F4"/>
          </w:tcPr>
          <w:p>
            <w:pPr>
              <w:spacing w:after="50" w:before="50" w:line="252" w:lineRule="auto"/>
            </w:pPr>
            <w:r>
              <w:rPr>
                <w:b/>
                <w:sz w:val="17"/>
              </w:rPr>
              <w:t>Marketing &amp; Communications Executive</w:t>
            </w:r>
          </w:p>
        </w:tc>
        <w:tc>
          <w:tcPr>
            <w:tcW w:type="dxa" w:w="1703"/>
            <w:shd w:val="clear" w:color="auto" w:fill="EAF1F4"/>
          </w:tcPr>
          <w:p>
            <w:pPr>
              <w:spacing w:after="50" w:before="50" w:line="252" w:lineRule="auto"/>
            </w:pPr>
            <w:r>
              <w:rPr>
                <w:sz w:val="17"/>
              </w:rPr>
              <w:t>Director (dotted to Group Marketing)</w:t>
            </w:r>
          </w:p>
        </w:tc>
        <w:tc>
          <w:tcPr>
            <w:tcW w:type="dxa" w:w="3734"/>
            <w:shd w:val="clear" w:color="auto" w:fill="EAF1F4"/>
          </w:tcPr>
          <w:p>
            <w:pPr>
              <w:spacing w:after="50" w:before="50" w:line="252" w:lineRule="auto"/>
            </w:pPr>
            <w:r>
              <w:rPr>
                <w:sz w:val="17"/>
              </w:rPr>
              <w:t>Co-branded content, social media, press, ambassador programme</w:t>
            </w:r>
          </w:p>
        </w:tc>
        <w:tc>
          <w:tcPr>
            <w:tcW w:type="dxa" w:w="1151"/>
            <w:shd w:val="clear" w:color="auto" w:fill="EAF1F4"/>
          </w:tcPr>
          <w:p>
            <w:pPr>
              <w:spacing w:after="50" w:before="50" w:line="252" w:lineRule="auto"/>
            </w:pPr>
            <w:r>
              <w:rPr>
                <w:sz w:val="17"/>
              </w:rPr>
              <w:t>0.5</w:t>
            </w:r>
          </w:p>
        </w:tc>
      </w:tr>
      <w:tr>
        <w:tc>
          <w:tcPr>
            <w:tcW w:type="dxa" w:w="2879"/>
          </w:tcPr>
          <w:p>
            <w:pPr>
              <w:spacing w:after="50" w:before="50" w:line="252" w:lineRule="auto"/>
            </w:pPr>
            <w:r>
              <w:rPr>
                <w:b/>
                <w:sz w:val="17"/>
              </w:rPr>
              <w:t>Finance Business Partner</w:t>
            </w:r>
          </w:p>
        </w:tc>
        <w:tc>
          <w:tcPr>
            <w:tcW w:type="dxa" w:w="1703"/>
          </w:tcPr>
          <w:p>
            <w:pPr>
              <w:spacing w:after="50" w:before="50" w:line="252" w:lineRule="auto"/>
            </w:pPr>
            <w:r>
              <w:rPr>
                <w:sz w:val="17"/>
              </w:rPr>
              <w:t>Finance Controller</w:t>
            </w:r>
          </w:p>
        </w:tc>
        <w:tc>
          <w:tcPr>
            <w:tcW w:type="dxa" w:w="3734"/>
          </w:tcPr>
          <w:p>
            <w:pPr>
              <w:spacing w:after="50" w:before="50" w:line="252" w:lineRule="auto"/>
            </w:pPr>
            <w:r>
              <w:rPr>
                <w:sz w:val="17"/>
              </w:rPr>
              <w:t>Pricing compliance, invoicing, revenue share, GST, collections</w:t>
            </w:r>
          </w:p>
        </w:tc>
        <w:tc>
          <w:tcPr>
            <w:tcW w:type="dxa" w:w="1151"/>
          </w:tcPr>
          <w:p>
            <w:pPr>
              <w:spacing w:after="50" w:before="50" w:line="252" w:lineRule="auto"/>
            </w:pPr>
            <w:r>
              <w:rPr>
                <w:sz w:val="17"/>
              </w:rPr>
              <w:t>0.3</w:t>
            </w:r>
          </w:p>
        </w:tc>
      </w:tr>
      <w:tr>
        <w:tc>
          <w:tcPr>
            <w:tcW w:type="dxa" w:w="2879"/>
            <w:shd w:val="clear" w:color="auto" w:fill="EAF1F4"/>
          </w:tcPr>
          <w:p>
            <w:pPr>
              <w:spacing w:after="50" w:before="50" w:line="252" w:lineRule="auto"/>
            </w:pPr>
            <w:r>
              <w:rPr>
                <w:b/>
                <w:sz w:val="17"/>
              </w:rPr>
              <w:t>Legal Counsel (shared)</w:t>
            </w:r>
          </w:p>
        </w:tc>
        <w:tc>
          <w:tcPr>
            <w:tcW w:type="dxa" w:w="1703"/>
            <w:shd w:val="clear" w:color="auto" w:fill="EAF1F4"/>
          </w:tcPr>
          <w:p>
            <w:pPr>
              <w:spacing w:after="50" w:before="50" w:line="252" w:lineRule="auto"/>
            </w:pPr>
            <w:r>
              <w:rPr>
                <w:sz w:val="17"/>
              </w:rPr>
              <w:t>General Counsel</w:t>
            </w:r>
          </w:p>
        </w:tc>
        <w:tc>
          <w:tcPr>
            <w:tcW w:type="dxa" w:w="3734"/>
            <w:shd w:val="clear" w:color="auto" w:fill="EAF1F4"/>
          </w:tcPr>
          <w:p>
            <w:pPr>
              <w:spacing w:after="50" w:before="50" w:line="252" w:lineRule="auto"/>
            </w:pPr>
            <w:r>
              <w:rPr>
                <w:sz w:val="17"/>
              </w:rPr>
              <w:t>MOU and schedule review, clause bank maintenance, IP, regulatory watch</w:t>
            </w:r>
          </w:p>
        </w:tc>
        <w:tc>
          <w:tcPr>
            <w:tcW w:type="dxa" w:w="1151"/>
            <w:shd w:val="clear" w:color="auto" w:fill="EAF1F4"/>
          </w:tcPr>
          <w:p>
            <w:pPr>
              <w:spacing w:after="50" w:before="50" w:line="252" w:lineRule="auto"/>
            </w:pPr>
            <w:r>
              <w:rPr>
                <w:sz w:val="17"/>
              </w:rPr>
              <w:t>0.3</w:t>
            </w:r>
          </w:p>
        </w:tc>
      </w:tr>
      <w:tr>
        <w:tc>
          <w:tcPr>
            <w:tcW w:type="dxa" w:w="2879"/>
          </w:tcPr>
          <w:p>
            <w:pPr>
              <w:spacing w:after="50" w:before="50" w:line="252" w:lineRule="auto"/>
            </w:pPr>
            <w:r>
              <w:rPr>
                <w:b/>
                <w:sz w:val="17"/>
              </w:rPr>
              <w:t>Data Protection Officer (shared)</w:t>
            </w:r>
          </w:p>
        </w:tc>
        <w:tc>
          <w:tcPr>
            <w:tcW w:type="dxa" w:w="1703"/>
          </w:tcPr>
          <w:p>
            <w:pPr>
              <w:spacing w:after="50" w:before="50" w:line="252" w:lineRule="auto"/>
            </w:pPr>
            <w:r>
              <w:rPr>
                <w:sz w:val="17"/>
              </w:rPr>
              <w:t>Group DPO</w:t>
            </w:r>
          </w:p>
        </w:tc>
        <w:tc>
          <w:tcPr>
            <w:tcW w:type="dxa" w:w="3734"/>
          </w:tcPr>
          <w:p>
            <w:pPr>
              <w:spacing w:after="50" w:before="50" w:line="252" w:lineRule="auto"/>
            </w:pPr>
            <w:r>
              <w:rPr>
                <w:sz w:val="17"/>
              </w:rPr>
              <w:t>DPDP compliance, consent architecture, breach response</w:t>
            </w:r>
          </w:p>
        </w:tc>
        <w:tc>
          <w:tcPr>
            <w:tcW w:type="dxa" w:w="1151"/>
          </w:tcPr>
          <w:p>
            <w:pPr>
              <w:spacing w:after="50" w:before="50" w:line="252" w:lineRule="auto"/>
            </w:pPr>
            <w:r>
              <w:rPr>
                <w:sz w:val="17"/>
              </w:rPr>
              <w:t>0.2</w:t>
            </w:r>
          </w:p>
        </w:tc>
      </w:tr>
      <w:tr>
        <w:tc>
          <w:tcPr>
            <w:tcW w:type="dxa" w:w="2879"/>
            <w:shd w:val="clear" w:color="auto" w:fill="EAF1F4"/>
          </w:tcPr>
          <w:p>
            <w:pPr>
              <w:spacing w:after="50" w:before="50" w:line="252" w:lineRule="auto"/>
            </w:pPr>
            <w:r>
              <w:rPr>
                <w:sz w:val="17"/>
              </w:rPr>
              <w:t>Trainer bench (contracted)</w:t>
            </w:r>
          </w:p>
        </w:tc>
        <w:tc>
          <w:tcPr>
            <w:tcW w:type="dxa" w:w="1703"/>
            <w:shd w:val="clear" w:color="auto" w:fill="EAF1F4"/>
          </w:tcPr>
          <w:p>
            <w:pPr>
              <w:spacing w:after="50" w:before="50" w:line="252" w:lineRule="auto"/>
            </w:pPr>
            <w:r>
              <w:rPr>
                <w:sz w:val="17"/>
              </w:rPr>
              <w:t>Head of Curriculum</w:t>
            </w:r>
          </w:p>
        </w:tc>
        <w:tc>
          <w:tcPr>
            <w:tcW w:type="dxa" w:w="3734"/>
            <w:shd w:val="clear" w:color="auto" w:fill="EAF1F4"/>
          </w:tcPr>
          <w:p>
            <w:pPr>
              <w:spacing w:after="50" w:before="50" w:line="252" w:lineRule="auto"/>
            </w:pPr>
            <w:r>
              <w:rPr>
                <w:sz w:val="17"/>
              </w:rPr>
              <w:t>Delivery</w:t>
            </w:r>
          </w:p>
        </w:tc>
        <w:tc>
          <w:tcPr>
            <w:tcW w:type="dxa" w:w="1151"/>
            <w:shd w:val="clear" w:color="auto" w:fill="EAF1F4"/>
          </w:tcPr>
          <w:p>
            <w:pPr>
              <w:spacing w:after="50" w:before="50" w:line="252" w:lineRule="auto"/>
            </w:pPr>
            <w:r>
              <w:rPr>
                <w:sz w:val="17"/>
              </w:rPr>
              <w:t>12+ certified trainers</w:t>
            </w:r>
          </w:p>
        </w:tc>
      </w:tr>
    </w:tbl>
    <w:p>
      <w:pPr>
        <w:spacing w:after="80" w:before="0"/>
      </w:pPr>
    </w:p>
    <w:p>
      <w:pPr>
        <w:pStyle w:val="Heading2"/>
      </w:pPr>
      <w:r>
        <w:t>2.2 Governance bodies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146"/>
            <w:shd w:val="clear" w:color="auto" w:fill="10375C"/>
          </w:tcPr>
          <w:p>
            <w:pPr>
              <w:spacing w:after="50" w:before="50"/>
            </w:pPr>
            <w:r>
              <w:rPr>
                <w:b/>
                <w:color w:val="FFFFFF"/>
                <w:sz w:val="17"/>
              </w:rPr>
              <w:t>Body</w:t>
            </w:r>
          </w:p>
        </w:tc>
        <w:tc>
          <w:tcPr>
            <w:tcW w:type="dxa" w:w="2976"/>
            <w:shd w:val="clear" w:color="auto" w:fill="10375C"/>
          </w:tcPr>
          <w:p>
            <w:pPr>
              <w:spacing w:after="50" w:before="50"/>
            </w:pPr>
            <w:r>
              <w:rPr>
                <w:b/>
                <w:color w:val="FFFFFF"/>
                <w:sz w:val="17"/>
              </w:rPr>
              <w:t>Composition</w:t>
            </w:r>
          </w:p>
        </w:tc>
        <w:tc>
          <w:tcPr>
            <w:tcW w:type="dxa" w:w="1368"/>
            <w:shd w:val="clear" w:color="auto" w:fill="10375C"/>
          </w:tcPr>
          <w:p>
            <w:pPr>
              <w:spacing w:after="50" w:before="50"/>
            </w:pPr>
            <w:r>
              <w:rPr>
                <w:b/>
                <w:color w:val="FFFFFF"/>
                <w:sz w:val="17"/>
              </w:rPr>
              <w:t>Frequency</w:t>
            </w:r>
          </w:p>
        </w:tc>
        <w:tc>
          <w:tcPr>
            <w:tcW w:type="dxa" w:w="2976"/>
            <w:shd w:val="clear" w:color="auto" w:fill="10375C"/>
          </w:tcPr>
          <w:p>
            <w:pPr>
              <w:spacing w:after="50" w:before="50"/>
            </w:pPr>
            <w:r>
              <w:rPr>
                <w:b/>
                <w:color w:val="FFFFFF"/>
                <w:sz w:val="17"/>
              </w:rPr>
              <w:t>Decision rights</w:t>
            </w:r>
          </w:p>
        </w:tc>
      </w:tr>
      <w:tr>
        <w:tc>
          <w:tcPr>
            <w:tcW w:type="dxa" w:w="2146"/>
          </w:tcPr>
          <w:p>
            <w:pPr>
              <w:spacing w:after="50" w:before="50" w:line="252" w:lineRule="auto"/>
            </w:pPr>
            <w:r>
              <w:rPr>
                <w:b/>
                <w:sz w:val="17"/>
              </w:rPr>
              <w:t>Programme Board</w:t>
            </w:r>
          </w:p>
        </w:tc>
        <w:tc>
          <w:tcPr>
            <w:tcW w:type="dxa" w:w="2976"/>
          </w:tcPr>
          <w:p>
            <w:pPr>
              <w:spacing w:after="50" w:before="50" w:line="252" w:lineRule="auto"/>
            </w:pPr>
            <w:r>
              <w:rPr>
                <w:sz w:val="17"/>
              </w:rPr>
              <w:t>Managing Director (chair), Programme Director, Finance Controller, General Counsel</w:t>
            </w:r>
          </w:p>
        </w:tc>
        <w:tc>
          <w:tcPr>
            <w:tcW w:type="dxa" w:w="1368"/>
          </w:tcPr>
          <w:p>
            <w:pPr>
              <w:spacing w:after="50" w:before="50" w:line="252" w:lineRule="auto"/>
            </w:pPr>
            <w:r>
              <w:rPr>
                <w:sz w:val="17"/>
              </w:rPr>
              <w:t>Quarterly</w:t>
            </w:r>
          </w:p>
        </w:tc>
        <w:tc>
          <w:tcPr>
            <w:tcW w:type="dxa" w:w="2976"/>
          </w:tcPr>
          <w:p>
            <w:pPr>
              <w:spacing w:after="50" w:before="50" w:line="252" w:lineRule="auto"/>
            </w:pPr>
            <w:r>
              <w:rPr>
                <w:sz w:val="17"/>
              </w:rPr>
              <w:t>Strategy, annual plan, budget, tier assignments above threshold, exclusivity, exceptions to pricing policy</w:t>
            </w:r>
          </w:p>
        </w:tc>
      </w:tr>
      <w:tr>
        <w:tc>
          <w:tcPr>
            <w:tcW w:type="dxa" w:w="2146"/>
            <w:shd w:val="clear" w:color="auto" w:fill="EAF1F4"/>
          </w:tcPr>
          <w:p>
            <w:pPr>
              <w:spacing w:after="50" w:before="50" w:line="252" w:lineRule="auto"/>
            </w:pPr>
            <w:r>
              <w:rPr>
                <w:b/>
                <w:sz w:val="17"/>
              </w:rPr>
              <w:t>Programme Management Team</w:t>
            </w:r>
          </w:p>
        </w:tc>
        <w:tc>
          <w:tcPr>
            <w:tcW w:type="dxa" w:w="2976"/>
            <w:shd w:val="clear" w:color="auto" w:fill="EAF1F4"/>
          </w:tcPr>
          <w:p>
            <w:pPr>
              <w:spacing w:after="50" w:before="50" w:line="252" w:lineRule="auto"/>
            </w:pPr>
            <w:r>
              <w:rPr>
                <w:sz w:val="17"/>
              </w:rPr>
              <w:t>Programme Director (chair) and all internal role-holders</w:t>
            </w:r>
          </w:p>
        </w:tc>
        <w:tc>
          <w:tcPr>
            <w:tcW w:type="dxa" w:w="1368"/>
            <w:shd w:val="clear" w:color="auto" w:fill="EAF1F4"/>
          </w:tcPr>
          <w:p>
            <w:pPr>
              <w:spacing w:after="50" w:before="50" w:line="252" w:lineRule="auto"/>
            </w:pPr>
            <w:r>
              <w:rPr>
                <w:sz w:val="17"/>
              </w:rPr>
              <w:t>Fortnightly</w:t>
            </w:r>
          </w:p>
        </w:tc>
        <w:tc>
          <w:tcPr>
            <w:tcW w:type="dxa" w:w="2976"/>
            <w:shd w:val="clear" w:color="auto" w:fill="EAF1F4"/>
          </w:tcPr>
          <w:p>
            <w:pPr>
              <w:spacing w:after="50" w:before="50" w:line="252" w:lineRule="auto"/>
            </w:pPr>
            <w:r>
              <w:rPr>
                <w:sz w:val="17"/>
              </w:rPr>
              <w:t>Delivery calendar, resourcing, escalations, pipeline progression</w:t>
            </w:r>
          </w:p>
        </w:tc>
      </w:tr>
      <w:tr>
        <w:tc>
          <w:tcPr>
            <w:tcW w:type="dxa" w:w="2146"/>
          </w:tcPr>
          <w:p>
            <w:pPr>
              <w:spacing w:after="50" w:before="50" w:line="252" w:lineRule="auto"/>
            </w:pPr>
            <w:r>
              <w:rPr>
                <w:b/>
                <w:sz w:val="17"/>
              </w:rPr>
              <w:t>Curriculum &amp; Certification Committee</w:t>
            </w:r>
          </w:p>
        </w:tc>
        <w:tc>
          <w:tcPr>
            <w:tcW w:type="dxa" w:w="2976"/>
          </w:tcPr>
          <w:p>
            <w:pPr>
              <w:spacing w:after="50" w:before="50" w:line="252" w:lineRule="auto"/>
            </w:pPr>
            <w:r>
              <w:rPr>
                <w:sz w:val="17"/>
              </w:rPr>
              <w:t>Head of Curriculum (chair), two senior trainers, one partner-institution academic, Research Lead</w:t>
            </w:r>
          </w:p>
        </w:tc>
        <w:tc>
          <w:tcPr>
            <w:tcW w:type="dxa" w:w="1368"/>
          </w:tcPr>
          <w:p>
            <w:pPr>
              <w:spacing w:after="50" w:before="50" w:line="252" w:lineRule="auto"/>
            </w:pPr>
            <w:r>
              <w:rPr>
                <w:sz w:val="17"/>
              </w:rPr>
              <w:t>Quarterly</w:t>
            </w:r>
          </w:p>
        </w:tc>
        <w:tc>
          <w:tcPr>
            <w:tcW w:type="dxa" w:w="2976"/>
          </w:tcPr>
          <w:p>
            <w:pPr>
              <w:spacing w:after="50" w:before="50" w:line="252" w:lineRule="auto"/>
            </w:pPr>
            <w:r>
              <w:rPr>
                <w:sz w:val="17"/>
              </w:rPr>
              <w:t>Curriculum changes, assessment standards, certification decisions, trainer certification</w:t>
            </w:r>
          </w:p>
        </w:tc>
      </w:tr>
      <w:tr>
        <w:tc>
          <w:tcPr>
            <w:tcW w:type="dxa" w:w="2146"/>
            <w:shd w:val="clear" w:color="auto" w:fill="EAF1F4"/>
          </w:tcPr>
          <w:p>
            <w:pPr>
              <w:spacing w:after="50" w:before="50" w:line="252" w:lineRule="auto"/>
            </w:pPr>
            <w:r>
              <w:rPr>
                <w:b/>
                <w:sz w:val="17"/>
              </w:rPr>
              <w:t>Competition Committee</w:t>
            </w:r>
          </w:p>
        </w:tc>
        <w:tc>
          <w:tcPr>
            <w:tcW w:type="dxa" w:w="2976"/>
            <w:shd w:val="clear" w:color="auto" w:fill="EAF1F4"/>
          </w:tcPr>
          <w:p>
            <w:pPr>
              <w:spacing w:after="50" w:before="50" w:line="252" w:lineRule="auto"/>
            </w:pPr>
            <w:r>
              <w:rPr>
                <w:sz w:val="17"/>
              </w:rPr>
              <w:t>Competition Convenor (chair), Head of Curriculum, two external practitioners, one host-institution representative</w:t>
            </w:r>
          </w:p>
        </w:tc>
        <w:tc>
          <w:tcPr>
            <w:tcW w:type="dxa" w:w="1368"/>
            <w:shd w:val="clear" w:color="auto" w:fill="EAF1F4"/>
          </w:tcPr>
          <w:p>
            <w:pPr>
              <w:spacing w:after="50" w:before="50" w:line="252" w:lineRule="auto"/>
            </w:pPr>
            <w:r>
              <w:rPr>
                <w:sz w:val="17"/>
              </w:rPr>
              <w:t>Per edition, minimum three meetings</w:t>
            </w:r>
          </w:p>
        </w:tc>
        <w:tc>
          <w:tcPr>
            <w:tcW w:type="dxa" w:w="2976"/>
            <w:shd w:val="clear" w:color="auto" w:fill="EAF1F4"/>
          </w:tcPr>
          <w:p>
            <w:pPr>
              <w:spacing w:after="50" w:before="50" w:line="252" w:lineRule="auto"/>
            </w:pPr>
            <w:r>
              <w:rPr>
                <w:sz w:val="17"/>
              </w:rPr>
              <w:t>Problem approval, rules, judge panel, integrity rulings, appeals</w:t>
            </w:r>
          </w:p>
        </w:tc>
      </w:tr>
      <w:tr>
        <w:tc>
          <w:tcPr>
            <w:tcW w:type="dxa" w:w="2146"/>
          </w:tcPr>
          <w:p>
            <w:pPr>
              <w:spacing w:after="50" w:before="50" w:line="252" w:lineRule="auto"/>
            </w:pPr>
            <w:r>
              <w:rPr>
                <w:b/>
                <w:sz w:val="17"/>
              </w:rPr>
              <w:t>Joint Steering Committee</w:t>
            </w:r>
            <w:r>
              <w:rPr>
                <w:sz w:val="17"/>
              </w:rPr>
              <w:t xml:space="preserve"> (per partnership)</w:t>
            </w:r>
          </w:p>
        </w:tc>
        <w:tc>
          <w:tcPr>
            <w:tcW w:type="dxa" w:w="2976"/>
          </w:tcPr>
          <w:p>
            <w:pPr>
              <w:spacing w:after="50" w:before="50" w:line="252" w:lineRule="auto"/>
            </w:pPr>
            <w:r>
              <w:rPr>
                <w:sz w:val="17"/>
              </w:rPr>
              <w:t>Two nominees from each party, chaired alternately</w:t>
            </w:r>
          </w:p>
        </w:tc>
        <w:tc>
          <w:tcPr>
            <w:tcW w:type="dxa" w:w="1368"/>
          </w:tcPr>
          <w:p>
            <w:pPr>
              <w:spacing w:after="50" w:before="50" w:line="252" w:lineRule="auto"/>
            </w:pPr>
            <w:r>
              <w:rPr>
                <w:sz w:val="17"/>
              </w:rPr>
              <w:t>Semi-annual minimum</w:t>
            </w:r>
          </w:p>
        </w:tc>
        <w:tc>
          <w:tcPr>
            <w:tcW w:type="dxa" w:w="2976"/>
          </w:tcPr>
          <w:p>
            <w:pPr>
              <w:spacing w:after="50" w:before="50" w:line="252" w:lineRule="auto"/>
            </w:pPr>
            <w:r>
              <w:rPr>
                <w:sz w:val="17"/>
              </w:rPr>
              <w:t>Partnership calendar, activity review, issue resolution, renewal recommendation</w:t>
            </w:r>
          </w:p>
        </w:tc>
      </w:tr>
    </w:tbl>
    <w:p>
      <w:pPr>
        <w:spacing w:after="80" w:before="0"/>
      </w:pPr>
    </w:p>
    <w:p>
      <w:r>
        <w:t>The Joint Steering Committee has no authority to vary the MOU, to agree pricing outside the rate card, or to commit Equator resources beyond the agreed calendar. Its charter is at 10.1.</w:t>
      </w:r>
    </w:p>
    <w:p>
      <w:pPr>
        <w:spacing w:before="80" w:after="160"/>
        <w:pBdr>
          <w:bottom w:val="single" w:sz="6" w:space="1" w:color="C9D6DE"/>
        </w:pBdr>
      </w:pPr>
    </w:p>
    <w:p>
      <w:pPr>
        <w:pStyle w:val="Heading1"/>
        <w:pBdr>
          <w:bottom w:val="single" w:sz="8" w:space="4" w:color="C9D6DE"/>
        </w:pBdr>
      </w:pPr>
      <w:r>
        <w:t>3. RACI</w:t>
      </w:r>
    </w:p>
    <w:p>
      <w:r>
        <w:t>R = responsible, A = accountable, C = consulted, I = informed.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183"/>
        <w:gridCol w:w="1183"/>
        <w:gridCol w:w="1183"/>
        <w:gridCol w:w="1183"/>
        <w:gridCol w:w="1183"/>
        <w:gridCol w:w="1183"/>
        <w:gridCol w:w="1183"/>
        <w:gridCol w:w="1183"/>
      </w:tblGrid>
      <w:tr>
        <w:trPr>
          <w:tblHeader w:val="true"/>
        </w:trPr>
        <w:tc>
          <w:tcPr>
            <w:tcW w:type="dxa" w:w="4487"/>
            <w:shd w:val="clear" w:color="auto" w:fill="10375C"/>
          </w:tcPr>
          <w:p>
            <w:pPr>
              <w:spacing w:after="50" w:before="50"/>
            </w:pPr>
            <w:r>
              <w:rPr>
                <w:b/>
                <w:color w:val="FFFFFF"/>
                <w:sz w:val="17"/>
              </w:rPr>
              <w:t>Activity</w:t>
            </w:r>
          </w:p>
        </w:tc>
        <w:tc>
          <w:tcPr>
            <w:tcW w:type="dxa" w:w="850"/>
            <w:shd w:val="clear" w:color="auto" w:fill="10375C"/>
          </w:tcPr>
          <w:p>
            <w:pPr>
              <w:spacing w:after="50" w:before="50"/>
            </w:pPr>
            <w:r>
              <w:rPr>
                <w:b/>
                <w:color w:val="FFFFFF"/>
                <w:sz w:val="17"/>
              </w:rPr>
              <w:t>Director</w:t>
            </w:r>
          </w:p>
        </w:tc>
        <w:tc>
          <w:tcPr>
            <w:tcW w:type="dxa" w:w="850"/>
            <w:shd w:val="clear" w:color="auto" w:fill="10375C"/>
          </w:tcPr>
          <w:p>
            <w:pPr>
              <w:spacing w:after="50" w:before="50"/>
            </w:pPr>
            <w:r>
              <w:rPr>
                <w:b/>
                <w:color w:val="FFFFFF"/>
                <w:sz w:val="17"/>
              </w:rPr>
              <w:t>BD</w:t>
            </w:r>
          </w:p>
        </w:tc>
        <w:tc>
          <w:tcPr>
            <w:tcW w:type="dxa" w:w="850"/>
            <w:shd w:val="clear" w:color="auto" w:fill="10375C"/>
          </w:tcPr>
          <w:p>
            <w:pPr>
              <w:spacing w:after="50" w:before="50"/>
            </w:pPr>
            <w:r>
              <w:rPr>
                <w:b/>
                <w:color w:val="FFFFFF"/>
                <w:sz w:val="17"/>
              </w:rPr>
              <w:t>Curriculum</w:t>
            </w:r>
          </w:p>
        </w:tc>
        <w:tc>
          <w:tcPr>
            <w:tcW w:type="dxa" w:w="850"/>
            <w:shd w:val="clear" w:color="auto" w:fill="10375C"/>
          </w:tcPr>
          <w:p>
            <w:pPr>
              <w:spacing w:after="50" w:before="50"/>
            </w:pPr>
            <w:r>
              <w:rPr>
                <w:b/>
                <w:color w:val="FFFFFF"/>
                <w:sz w:val="17"/>
              </w:rPr>
              <w:t>Operations</w:t>
            </w:r>
          </w:p>
        </w:tc>
        <w:tc>
          <w:tcPr>
            <w:tcW w:type="dxa" w:w="850"/>
            <w:shd w:val="clear" w:color="auto" w:fill="10375C"/>
          </w:tcPr>
          <w:p>
            <w:pPr>
              <w:spacing w:after="50" w:before="50"/>
            </w:pPr>
            <w:r>
              <w:rPr>
                <w:b/>
                <w:color w:val="FFFFFF"/>
                <w:sz w:val="17"/>
              </w:rPr>
              <w:t>Finance</w:t>
            </w:r>
          </w:p>
        </w:tc>
        <w:tc>
          <w:tcPr>
            <w:tcW w:type="dxa" w:w="850"/>
            <w:shd w:val="clear" w:color="auto" w:fill="10375C"/>
          </w:tcPr>
          <w:p>
            <w:pPr>
              <w:spacing w:after="50" w:before="50"/>
            </w:pPr>
            <w:r>
              <w:rPr>
                <w:b/>
                <w:color w:val="FFFFFF"/>
                <w:sz w:val="17"/>
              </w:rPr>
              <w:t>Legal</w:t>
            </w:r>
          </w:p>
        </w:tc>
        <w:tc>
          <w:tcPr>
            <w:tcW w:type="dxa" w:w="850"/>
            <w:shd w:val="clear" w:color="auto" w:fill="10375C"/>
          </w:tcPr>
          <w:p>
            <w:pPr>
              <w:spacing w:after="50" w:before="50"/>
            </w:pPr>
            <w:r>
              <w:rPr>
                <w:b/>
                <w:color w:val="FFFFFF"/>
                <w:sz w:val="17"/>
              </w:rPr>
              <w:t>DPO</w:t>
            </w:r>
          </w:p>
        </w:tc>
      </w:tr>
      <w:tr>
        <w:tc>
          <w:tcPr>
            <w:tcW w:type="dxa" w:w="4487"/>
          </w:tcPr>
          <w:p>
            <w:pPr>
              <w:spacing w:after="50" w:before="50" w:line="252" w:lineRule="auto"/>
            </w:pPr>
            <w:r>
              <w:rPr>
                <w:sz w:val="17"/>
              </w:rPr>
              <w:t>Institution scoring and tiering</w:t>
            </w:r>
          </w:p>
        </w:tc>
        <w:tc>
          <w:tcPr>
            <w:tcW w:type="dxa" w:w="850"/>
          </w:tcPr>
          <w:p>
            <w:pPr>
              <w:spacing w:after="50" w:before="50" w:line="252" w:lineRule="auto"/>
            </w:pPr>
            <w:r>
              <w:rPr>
                <w:sz w:val="17"/>
              </w:rPr>
              <w:t>A</w:t>
            </w:r>
          </w:p>
        </w:tc>
        <w:tc>
          <w:tcPr>
            <w:tcW w:type="dxa" w:w="850"/>
          </w:tcPr>
          <w:p>
            <w:pPr>
              <w:spacing w:after="50" w:before="50" w:line="252" w:lineRule="auto"/>
            </w:pPr>
            <w:r>
              <w:rPr>
                <w:sz w:val="17"/>
              </w:rPr>
              <w:t>R</w:t>
            </w:r>
          </w:p>
        </w:tc>
        <w:tc>
          <w:tcPr>
            <w:tcW w:type="dxa" w:w="850"/>
          </w:tcPr>
          <w:p>
            <w:pPr>
              <w:spacing w:after="50" w:before="50" w:line="252" w:lineRule="auto"/>
            </w:pPr>
            <w:r>
              <w:rPr>
                <w:sz w:val="17"/>
              </w:rPr>
              <w:t>C</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r>
      <w:tr>
        <w:tc>
          <w:tcPr>
            <w:tcW w:type="dxa" w:w="4487"/>
            <w:shd w:val="clear" w:color="auto" w:fill="EAF1F4"/>
          </w:tcPr>
          <w:p>
            <w:pPr>
              <w:spacing w:after="50" w:before="50" w:line="252" w:lineRule="auto"/>
            </w:pPr>
            <w:r>
              <w:rPr>
                <w:sz w:val="17"/>
              </w:rPr>
              <w:t>Outreach and proposal</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w:t>
            </w:r>
          </w:p>
        </w:tc>
      </w:tr>
      <w:tr>
        <w:tc>
          <w:tcPr>
            <w:tcW w:type="dxa" w:w="4487"/>
          </w:tcPr>
          <w:p>
            <w:pPr>
              <w:spacing w:after="50" w:before="50" w:line="252" w:lineRule="auto"/>
            </w:pPr>
            <w:r>
              <w:rPr>
                <w:sz w:val="17"/>
              </w:rPr>
              <w:t>Pricing a proposal</w:t>
            </w:r>
          </w:p>
        </w:tc>
        <w:tc>
          <w:tcPr>
            <w:tcW w:type="dxa" w:w="850"/>
          </w:tcPr>
          <w:p>
            <w:pPr>
              <w:spacing w:after="50" w:before="50" w:line="252" w:lineRule="auto"/>
            </w:pPr>
            <w:r>
              <w:rPr>
                <w:sz w:val="17"/>
              </w:rPr>
              <w:t>A</w:t>
            </w:r>
          </w:p>
        </w:tc>
        <w:tc>
          <w:tcPr>
            <w:tcW w:type="dxa" w:w="850"/>
          </w:tcPr>
          <w:p>
            <w:pPr>
              <w:spacing w:after="50" w:before="50" w:line="252" w:lineRule="auto"/>
            </w:pPr>
            <w:r>
              <w:rPr>
                <w:sz w:val="17"/>
              </w:rPr>
              <w:t>C</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R</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r>
      <w:tr>
        <w:tc>
          <w:tcPr>
            <w:tcW w:type="dxa" w:w="4487"/>
            <w:shd w:val="clear" w:color="auto" w:fill="EAF1F4"/>
          </w:tcPr>
          <w:p>
            <w:pPr>
              <w:spacing w:after="50" w:before="50" w:line="252" w:lineRule="auto"/>
            </w:pPr>
            <w:r>
              <w:rPr>
                <w:sz w:val="17"/>
              </w:rPr>
              <w:t>MOU and schedule negotiation</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r>
      <w:tr>
        <w:tc>
          <w:tcPr>
            <w:tcW w:type="dxa" w:w="4487"/>
          </w:tcPr>
          <w:p>
            <w:pPr>
              <w:spacing w:after="50" w:before="50" w:line="252" w:lineRule="auto"/>
            </w:pPr>
            <w:r>
              <w:rPr>
                <w:sz w:val="17"/>
              </w:rPr>
              <w:t>Data protection clearance</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A/R</w:t>
            </w:r>
          </w:p>
        </w:tc>
      </w:tr>
      <w:tr>
        <w:tc>
          <w:tcPr>
            <w:tcW w:type="dxa" w:w="4487"/>
            <w:shd w:val="clear" w:color="auto" w:fill="EAF1F4"/>
          </w:tcPr>
          <w:p>
            <w:pPr>
              <w:spacing w:after="50" w:before="50" w:line="252" w:lineRule="auto"/>
            </w:pPr>
            <w:r>
              <w:rPr>
                <w:sz w:val="17"/>
              </w:rPr>
              <w:t>Partnership activation</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r>
      <w:tr>
        <w:tc>
          <w:tcPr>
            <w:tcW w:type="dxa" w:w="4487"/>
          </w:tcPr>
          <w:p>
            <w:pPr>
              <w:spacing w:after="50" w:before="50" w:line="252" w:lineRule="auto"/>
            </w:pPr>
            <w:r>
              <w:rPr>
                <w:sz w:val="17"/>
              </w:rPr>
              <w:t>Curriculum design and change</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A/R</w:t>
            </w:r>
          </w:p>
        </w:tc>
        <w:tc>
          <w:tcPr>
            <w:tcW w:type="dxa" w:w="850"/>
          </w:tcPr>
          <w:p>
            <w:pPr>
              <w:spacing w:after="50" w:before="50" w:line="252" w:lineRule="auto"/>
            </w:pPr>
            <w:r>
              <w:rPr>
                <w:sz w:val="17"/>
              </w:rPr>
              <w:t>C</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w:t>
            </w:r>
          </w:p>
        </w:tc>
      </w:tr>
      <w:tr>
        <w:tc>
          <w:tcPr>
            <w:tcW w:type="dxa" w:w="4487"/>
            <w:shd w:val="clear" w:color="auto" w:fill="EAF1F4"/>
          </w:tcPr>
          <w:p>
            <w:pPr>
              <w:spacing w:after="50" w:before="50" w:line="252" w:lineRule="auto"/>
            </w:pPr>
            <w:r>
              <w:rPr>
                <w:sz w:val="17"/>
              </w:rPr>
              <w:t>Trainer certification and calibration</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A/R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4487"/>
          </w:tcPr>
          <w:p>
            <w:pPr>
              <w:spacing w:after="50" w:before="50" w:line="252" w:lineRule="auto"/>
            </w:pPr>
            <w:r>
              <w:rPr>
                <w:sz w:val="17"/>
              </w:rPr>
              <w:t>Programme delivery</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A/R</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4487"/>
            <w:shd w:val="clear" w:color="auto" w:fill="EAF1F4"/>
          </w:tcPr>
          <w:p>
            <w:pPr>
              <w:spacing w:after="50" w:before="50" w:line="252" w:lineRule="auto"/>
            </w:pPr>
            <w:r>
              <w:rPr>
                <w:sz w:val="17"/>
              </w:rPr>
              <w:t>Competition design and integrity</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r>
      <w:tr>
        <w:tc>
          <w:tcPr>
            <w:tcW w:type="dxa" w:w="4487"/>
          </w:tcPr>
          <w:p>
            <w:pPr>
              <w:spacing w:after="50" w:before="50" w:line="252" w:lineRule="auto"/>
            </w:pPr>
            <w:r>
              <w:rPr>
                <w:sz w:val="17"/>
              </w:rPr>
              <w:t>Internship intake and supervision</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A/R</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C</w:t>
            </w:r>
          </w:p>
        </w:tc>
      </w:tr>
      <w:tr>
        <w:tc>
          <w:tcPr>
            <w:tcW w:type="dxa" w:w="4487"/>
            <w:shd w:val="clear" w:color="auto" w:fill="EAF1F4"/>
          </w:tcPr>
          <w:p>
            <w:pPr>
              <w:spacing w:after="50" w:before="50" w:line="252" w:lineRule="auto"/>
            </w:pPr>
            <w:r>
              <w:rPr>
                <w:sz w:val="17"/>
              </w:rPr>
              <w:t>Live clinic authorisation</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r>
      <w:tr>
        <w:tc>
          <w:tcPr>
            <w:tcW w:type="dxa" w:w="4487"/>
          </w:tcPr>
          <w:p>
            <w:pPr>
              <w:spacing w:after="50" w:before="50" w:line="252" w:lineRule="auto"/>
            </w:pPr>
            <w:r>
              <w:rPr>
                <w:sz w:val="17"/>
              </w:rPr>
              <w:t>Invoicing and revenue share</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w:t>
            </w:r>
          </w:p>
        </w:tc>
        <w:tc>
          <w:tcPr>
            <w:tcW w:type="dxa" w:w="850"/>
          </w:tcPr>
          <w:p>
            <w:pPr>
              <w:spacing w:after="50" w:before="50" w:line="252" w:lineRule="auto"/>
            </w:pPr>
            <w:r>
              <w:rPr>
                <w:sz w:val="17"/>
              </w:rPr>
              <w:t>C</w:t>
            </w:r>
          </w:p>
        </w:tc>
        <w:tc>
          <w:tcPr>
            <w:tcW w:type="dxa" w:w="850"/>
          </w:tcPr>
          <w:p>
            <w:pPr>
              <w:spacing w:after="50" w:before="50" w:line="252" w:lineRule="auto"/>
            </w:pPr>
            <w:r>
              <w:rPr>
                <w:sz w:val="17"/>
              </w:rPr>
              <w:t>A/R</w:t>
            </w:r>
          </w:p>
        </w:tc>
        <w:tc>
          <w:tcPr>
            <w:tcW w:type="dxa" w:w="850"/>
          </w:tcPr>
          <w:p>
            <w:pPr>
              <w:spacing w:after="50" w:before="50" w:line="252" w:lineRule="auto"/>
            </w:pPr>
            <w:r>
              <w:rPr>
                <w:sz w:val="17"/>
              </w:rPr>
              <w:t>C</w:t>
            </w:r>
          </w:p>
        </w:tc>
        <w:tc>
          <w:tcPr>
            <w:tcW w:type="dxa" w:w="850"/>
          </w:tcPr>
          <w:p>
            <w:pPr>
              <w:spacing w:after="50" w:before="50" w:line="252" w:lineRule="auto"/>
            </w:pPr>
            <w:r>
              <w:rPr>
                <w:sz w:val="17"/>
              </w:rPr>
              <w:t>—</w:t>
            </w:r>
          </w:p>
        </w:tc>
      </w:tr>
      <w:tr>
        <w:tc>
          <w:tcPr>
            <w:tcW w:type="dxa" w:w="4487"/>
            <w:shd w:val="clear" w:color="auto" w:fill="EAF1F4"/>
          </w:tcPr>
          <w:p>
            <w:pPr>
              <w:spacing w:after="50" w:before="50" w:line="252" w:lineRule="auto"/>
            </w:pPr>
            <w:r>
              <w:rPr>
                <w:sz w:val="17"/>
              </w:rPr>
              <w:t>Co-branded publication</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I</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I</w:t>
            </w:r>
          </w:p>
        </w:tc>
      </w:tr>
      <w:tr>
        <w:tc>
          <w:tcPr>
            <w:tcW w:type="dxa" w:w="4487"/>
          </w:tcPr>
          <w:p>
            <w:pPr>
              <w:spacing w:after="50" w:before="50" w:line="252" w:lineRule="auto"/>
            </w:pPr>
            <w:r>
              <w:rPr>
                <w:sz w:val="17"/>
              </w:rPr>
              <w:t>Incident and escalation</w:t>
            </w:r>
          </w:p>
        </w:tc>
        <w:tc>
          <w:tcPr>
            <w:tcW w:type="dxa" w:w="850"/>
          </w:tcPr>
          <w:p>
            <w:pPr>
              <w:spacing w:after="50" w:before="50" w:line="252" w:lineRule="auto"/>
            </w:pPr>
            <w:r>
              <w:rPr>
                <w:sz w:val="17"/>
              </w:rPr>
              <w:t>A</w:t>
            </w:r>
          </w:p>
        </w:tc>
        <w:tc>
          <w:tcPr>
            <w:tcW w:type="dxa" w:w="850"/>
          </w:tcPr>
          <w:p>
            <w:pPr>
              <w:spacing w:after="50" w:before="50" w:line="252" w:lineRule="auto"/>
            </w:pPr>
            <w:r>
              <w:rPr>
                <w:sz w:val="17"/>
              </w:rPr>
              <w:t>I</w:t>
            </w:r>
          </w:p>
        </w:tc>
        <w:tc>
          <w:tcPr>
            <w:tcW w:type="dxa" w:w="850"/>
          </w:tcPr>
          <w:p>
            <w:pPr>
              <w:spacing w:after="50" w:before="50" w:line="252" w:lineRule="auto"/>
            </w:pPr>
            <w:r>
              <w:rPr>
                <w:sz w:val="17"/>
              </w:rPr>
              <w:t>I</w:t>
            </w:r>
          </w:p>
        </w:tc>
        <w:tc>
          <w:tcPr>
            <w:tcW w:type="dxa" w:w="850"/>
          </w:tcPr>
          <w:p>
            <w:pPr>
              <w:spacing w:after="50" w:before="50" w:line="252" w:lineRule="auto"/>
            </w:pPr>
            <w:r>
              <w:rPr>
                <w:sz w:val="17"/>
              </w:rPr>
              <w:t>R</w:t>
            </w:r>
          </w:p>
        </w:tc>
        <w:tc>
          <w:tcPr>
            <w:tcW w:type="dxa" w:w="850"/>
          </w:tcPr>
          <w:p>
            <w:pPr>
              <w:spacing w:after="50" w:before="50" w:line="252" w:lineRule="auto"/>
            </w:pPr>
            <w:r>
              <w:rPr>
                <w:sz w:val="17"/>
              </w:rPr>
              <w:t>I</w:t>
            </w:r>
          </w:p>
        </w:tc>
        <w:tc>
          <w:tcPr>
            <w:tcW w:type="dxa" w:w="850"/>
          </w:tcPr>
          <w:p>
            <w:pPr>
              <w:spacing w:after="50" w:before="50" w:line="252" w:lineRule="auto"/>
            </w:pPr>
            <w:r>
              <w:rPr>
                <w:sz w:val="17"/>
              </w:rPr>
              <w:t>C</w:t>
            </w:r>
          </w:p>
        </w:tc>
        <w:tc>
          <w:tcPr>
            <w:tcW w:type="dxa" w:w="850"/>
          </w:tcPr>
          <w:p>
            <w:pPr>
              <w:spacing w:after="50" w:before="50" w:line="252" w:lineRule="auto"/>
            </w:pPr>
            <w:r>
              <w:rPr>
                <w:sz w:val="17"/>
              </w:rPr>
              <w:t>C</w:t>
            </w:r>
          </w:p>
        </w:tc>
      </w:tr>
      <w:tr>
        <w:tc>
          <w:tcPr>
            <w:tcW w:type="dxa" w:w="4487"/>
            <w:shd w:val="clear" w:color="auto" w:fill="EAF1F4"/>
          </w:tcPr>
          <w:p>
            <w:pPr>
              <w:spacing w:after="50" w:before="50" w:line="252" w:lineRule="auto"/>
            </w:pPr>
            <w:r>
              <w:rPr>
                <w:sz w:val="17"/>
              </w:rPr>
              <w:t>Annual review and renewal</w:t>
            </w:r>
          </w:p>
        </w:tc>
        <w:tc>
          <w:tcPr>
            <w:tcW w:type="dxa" w:w="850"/>
            <w:shd w:val="clear" w:color="auto" w:fill="EAF1F4"/>
          </w:tcPr>
          <w:p>
            <w:pPr>
              <w:spacing w:after="50" w:before="50" w:line="252" w:lineRule="auto"/>
            </w:pPr>
            <w:r>
              <w:rPr>
                <w:sz w:val="17"/>
              </w:rPr>
              <w:t>A</w:t>
            </w:r>
          </w:p>
        </w:tc>
        <w:tc>
          <w:tcPr>
            <w:tcW w:type="dxa" w:w="850"/>
            <w:shd w:val="clear" w:color="auto" w:fill="EAF1F4"/>
          </w:tcPr>
          <w:p>
            <w:pPr>
              <w:spacing w:after="50" w:before="50" w:line="252" w:lineRule="auto"/>
            </w:pPr>
            <w:r>
              <w:rPr>
                <w:sz w:val="17"/>
              </w:rPr>
              <w:t>R</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C</w:t>
            </w:r>
          </w:p>
        </w:tc>
        <w:tc>
          <w:tcPr>
            <w:tcW w:type="dxa" w:w="850"/>
            <w:shd w:val="clear" w:color="auto" w:fill="EAF1F4"/>
          </w:tcPr>
          <w:p>
            <w:pPr>
              <w:spacing w:after="50" w:before="50" w:line="252" w:lineRule="auto"/>
            </w:pPr>
            <w:r>
              <w:rPr>
                <w:sz w:val="17"/>
              </w:rPr>
              <w:t>I</w:t>
            </w:r>
          </w:p>
        </w:tc>
      </w:tr>
    </w:tbl>
    <w:p>
      <w:pPr>
        <w:spacing w:after="80" w:before="0"/>
      </w:pPr>
    </w:p>
    <w:p>
      <w:pPr>
        <w:spacing w:before="80" w:after="160"/>
        <w:pBdr>
          <w:bottom w:val="single" w:sz="6" w:space="1" w:color="C9D6DE"/>
        </w:pBdr>
      </w:pPr>
    </w:p>
    <w:p>
      <w:pPr>
        <w:pStyle w:val="Heading1"/>
        <w:pBdr>
          <w:bottom w:val="single" w:sz="8" w:space="4" w:color="C9D6DE"/>
        </w:pBdr>
      </w:pPr>
      <w:r>
        <w:t>4. Decision rights and escalation</w:t>
      </w:r>
    </w:p>
    <w:p>
      <w:pPr>
        <w:pStyle w:val="Heading2"/>
      </w:pPr>
      <w:r>
        <w:t>4.1 Escalation ladder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Level</w:t>
            </w:r>
          </w:p>
        </w:tc>
        <w:tc>
          <w:tcPr>
            <w:tcW w:type="dxa" w:w="4228"/>
            <w:shd w:val="clear" w:color="auto" w:fill="10375C"/>
          </w:tcPr>
          <w:p>
            <w:pPr>
              <w:spacing w:after="50" w:before="50"/>
            </w:pPr>
            <w:r>
              <w:rPr>
                <w:b/>
                <w:color w:val="FFFFFF"/>
                <w:sz w:val="17"/>
              </w:rPr>
              <w:t>Trigger</w:t>
            </w:r>
          </w:p>
        </w:tc>
        <w:tc>
          <w:tcPr>
            <w:tcW w:type="dxa" w:w="3545"/>
            <w:shd w:val="clear" w:color="auto" w:fill="10375C"/>
          </w:tcPr>
          <w:p>
            <w:pPr>
              <w:spacing w:after="50" w:before="50"/>
            </w:pPr>
            <w:r>
              <w:rPr>
                <w:b/>
                <w:color w:val="FFFFFF"/>
                <w:sz w:val="17"/>
              </w:rPr>
              <w:t>Resolver</w:t>
            </w:r>
          </w:p>
        </w:tc>
        <w:tc>
          <w:tcPr>
            <w:tcW w:type="dxa" w:w="1272"/>
            <w:shd w:val="clear" w:color="auto" w:fill="10375C"/>
          </w:tcPr>
          <w:p>
            <w:pPr>
              <w:spacing w:after="50" w:before="50"/>
            </w:pPr>
            <w:r>
              <w:rPr>
                <w:b/>
                <w:color w:val="FFFFFF"/>
                <w:sz w:val="17"/>
              </w:rPr>
              <w:t>Response time</w:t>
            </w:r>
          </w:p>
        </w:tc>
      </w:tr>
      <w:tr>
        <w:tc>
          <w:tcPr>
            <w:tcW w:type="dxa" w:w="850"/>
          </w:tcPr>
          <w:p>
            <w:pPr>
              <w:spacing w:after="50" w:before="50" w:line="252" w:lineRule="auto"/>
            </w:pPr>
            <w:r>
              <w:rPr>
                <w:sz w:val="17"/>
              </w:rPr>
              <w:t>L1</w:t>
            </w:r>
          </w:p>
        </w:tc>
        <w:tc>
          <w:tcPr>
            <w:tcW w:type="dxa" w:w="4228"/>
          </w:tcPr>
          <w:p>
            <w:pPr>
              <w:spacing w:after="50" w:before="50" w:line="252" w:lineRule="auto"/>
            </w:pPr>
            <w:r>
              <w:rPr>
                <w:sz w:val="17"/>
              </w:rPr>
              <w:t>Routine delivery issue — scheduling, logistics, materials</w:t>
            </w:r>
          </w:p>
        </w:tc>
        <w:tc>
          <w:tcPr>
            <w:tcW w:type="dxa" w:w="3545"/>
          </w:tcPr>
          <w:p>
            <w:pPr>
              <w:spacing w:after="50" w:before="50" w:line="252" w:lineRule="auto"/>
            </w:pPr>
            <w:r>
              <w:rPr>
                <w:sz w:val="17"/>
              </w:rPr>
              <w:t>Manager, Programme Operations</w:t>
            </w:r>
          </w:p>
        </w:tc>
        <w:tc>
          <w:tcPr>
            <w:tcW w:type="dxa" w:w="1272"/>
          </w:tcPr>
          <w:p>
            <w:pPr>
              <w:spacing w:after="50" w:before="50" w:line="252" w:lineRule="auto"/>
            </w:pPr>
            <w:r>
              <w:rPr>
                <w:sz w:val="17"/>
              </w:rPr>
              <w:t>2 working days</w:t>
            </w:r>
          </w:p>
        </w:tc>
      </w:tr>
      <w:tr>
        <w:tc>
          <w:tcPr>
            <w:tcW w:type="dxa" w:w="850"/>
            <w:shd w:val="clear" w:color="auto" w:fill="EAF1F4"/>
          </w:tcPr>
          <w:p>
            <w:pPr>
              <w:spacing w:after="50" w:before="50" w:line="252" w:lineRule="auto"/>
            </w:pPr>
            <w:r>
              <w:rPr>
                <w:sz w:val="17"/>
              </w:rPr>
              <w:t>L2</w:t>
            </w:r>
          </w:p>
        </w:tc>
        <w:tc>
          <w:tcPr>
            <w:tcW w:type="dxa" w:w="4228"/>
            <w:shd w:val="clear" w:color="auto" w:fill="EAF1F4"/>
          </w:tcPr>
          <w:p>
            <w:pPr>
              <w:spacing w:after="50" w:before="50" w:line="252" w:lineRule="auto"/>
            </w:pPr>
            <w:r>
              <w:rPr>
                <w:sz w:val="17"/>
              </w:rPr>
              <w:t>Partner dissatisfaction; assessment dispute; minor deviation from the agreed calendar</w:t>
            </w:r>
          </w:p>
        </w:tc>
        <w:tc>
          <w:tcPr>
            <w:tcW w:type="dxa" w:w="3545"/>
            <w:shd w:val="clear" w:color="auto" w:fill="EAF1F4"/>
          </w:tcPr>
          <w:p>
            <w:pPr>
              <w:spacing w:after="50" w:before="50" w:line="252" w:lineRule="auto"/>
            </w:pPr>
            <w:r>
              <w:rPr>
                <w:sz w:val="17"/>
              </w:rPr>
              <w:t>Programme Director</w:t>
            </w:r>
          </w:p>
        </w:tc>
        <w:tc>
          <w:tcPr>
            <w:tcW w:type="dxa" w:w="1272"/>
            <w:shd w:val="clear" w:color="auto" w:fill="EAF1F4"/>
          </w:tcPr>
          <w:p>
            <w:pPr>
              <w:spacing w:after="50" w:before="50" w:line="252" w:lineRule="auto"/>
            </w:pPr>
            <w:r>
              <w:rPr>
                <w:sz w:val="17"/>
              </w:rPr>
              <w:t>5 working days</w:t>
            </w:r>
          </w:p>
        </w:tc>
      </w:tr>
      <w:tr>
        <w:tc>
          <w:tcPr>
            <w:tcW w:type="dxa" w:w="850"/>
          </w:tcPr>
          <w:p>
            <w:pPr>
              <w:spacing w:after="50" w:before="50" w:line="252" w:lineRule="auto"/>
            </w:pPr>
            <w:r>
              <w:rPr>
                <w:sz w:val="17"/>
              </w:rPr>
              <w:t>L3</w:t>
            </w:r>
          </w:p>
        </w:tc>
        <w:tc>
          <w:tcPr>
            <w:tcW w:type="dxa" w:w="4228"/>
          </w:tcPr>
          <w:p>
            <w:pPr>
              <w:spacing w:after="50" w:before="50" w:line="252" w:lineRule="auto"/>
            </w:pPr>
            <w:r>
              <w:rPr>
                <w:sz w:val="17"/>
              </w:rPr>
              <w:t>Contractual dispute; pricing concession sought; competition integrity challenge; media enquiry</w:t>
            </w:r>
          </w:p>
        </w:tc>
        <w:tc>
          <w:tcPr>
            <w:tcW w:type="dxa" w:w="3545"/>
          </w:tcPr>
          <w:p>
            <w:pPr>
              <w:spacing w:after="50" w:before="50" w:line="252" w:lineRule="auto"/>
            </w:pPr>
            <w:r>
              <w:rPr>
                <w:sz w:val="17"/>
              </w:rPr>
              <w:t>Programme Board</w:t>
            </w:r>
          </w:p>
        </w:tc>
        <w:tc>
          <w:tcPr>
            <w:tcW w:type="dxa" w:w="1272"/>
          </w:tcPr>
          <w:p>
            <w:pPr>
              <w:spacing w:after="50" w:before="50" w:line="252" w:lineRule="auto"/>
            </w:pPr>
            <w:r>
              <w:rPr>
                <w:sz w:val="17"/>
              </w:rPr>
              <w:t>10 working days</w:t>
            </w:r>
          </w:p>
        </w:tc>
      </w:tr>
      <w:tr>
        <w:tc>
          <w:tcPr>
            <w:tcW w:type="dxa" w:w="850"/>
            <w:shd w:val="clear" w:color="auto" w:fill="EAF1F4"/>
          </w:tcPr>
          <w:p>
            <w:pPr>
              <w:spacing w:after="50" w:before="50" w:line="252" w:lineRule="auto"/>
            </w:pPr>
            <w:r>
              <w:rPr>
                <w:sz w:val="17"/>
              </w:rPr>
              <w:t>L4</w:t>
            </w:r>
          </w:p>
        </w:tc>
        <w:tc>
          <w:tcPr>
            <w:tcW w:type="dxa" w:w="4228"/>
            <w:shd w:val="clear" w:color="auto" w:fill="EAF1F4"/>
          </w:tcPr>
          <w:p>
            <w:pPr>
              <w:spacing w:after="50" w:before="50" w:line="252" w:lineRule="auto"/>
            </w:pPr>
            <w:r>
              <w:rPr>
                <w:sz w:val="17"/>
              </w:rPr>
              <w:t>Safeguarding incident; data breach; regulatory contact; litigation threat</w:t>
            </w:r>
          </w:p>
        </w:tc>
        <w:tc>
          <w:tcPr>
            <w:tcW w:type="dxa" w:w="3545"/>
            <w:shd w:val="clear" w:color="auto" w:fill="EAF1F4"/>
          </w:tcPr>
          <w:p>
            <w:pPr>
              <w:spacing w:after="50" w:before="50" w:line="252" w:lineRule="auto"/>
            </w:pPr>
            <w:r>
              <w:rPr>
                <w:sz w:val="17"/>
              </w:rPr>
              <w:t>Managing Director and General Counsel, immediately; Board notified</w:t>
            </w:r>
          </w:p>
        </w:tc>
        <w:tc>
          <w:tcPr>
            <w:tcW w:type="dxa" w:w="1272"/>
            <w:shd w:val="clear" w:color="auto" w:fill="EAF1F4"/>
          </w:tcPr>
          <w:p>
            <w:pPr>
              <w:spacing w:after="50" w:before="50" w:line="252" w:lineRule="auto"/>
            </w:pPr>
            <w:r>
              <w:rPr>
                <w:sz w:val="17"/>
              </w:rPr>
              <w:t>Same day</w:t>
            </w:r>
          </w:p>
        </w:tc>
      </w:tr>
    </w:tbl>
    <w:p>
      <w:pPr>
        <w:spacing w:after="80" w:before="0"/>
      </w:pPr>
    </w:p>
    <w:p>
      <w:pPr>
        <w:pStyle w:val="Heading2"/>
      </w:pPr>
      <w:r>
        <w:t>4.2 Matters reserved to the Programme Board</w:t>
      </w:r>
    </w:p>
    <w:p>
      <w:pPr>
        <w:pStyle w:val="ListBullet"/>
      </w:pPr>
      <w:r>
        <w:rPr>
          <w:sz w:val="21"/>
        </w:rPr>
        <w:t>Any exclusivity commitment.</w:t>
      </w:r>
    </w:p>
    <w:p>
      <w:pPr>
        <w:pStyle w:val="ListBullet"/>
      </w:pPr>
      <w:r>
        <w:rPr>
          <w:sz w:val="21"/>
        </w:rPr>
        <w:t>Any partnership with a term exceeding five years.</w:t>
      </w:r>
    </w:p>
    <w:p>
      <w:pPr>
        <w:pStyle w:val="ListBullet"/>
      </w:pPr>
      <w:r>
        <w:rPr>
          <w:sz w:val="21"/>
        </w:rPr>
        <w:t>Any pricing below the floor in the rate card.</w:t>
      </w:r>
    </w:p>
    <w:p>
      <w:pPr>
        <w:pStyle w:val="ListBullet"/>
      </w:pPr>
      <w:r>
        <w:rPr>
          <w:sz w:val="21"/>
        </w:rPr>
        <w:t>Any commitment of capital expenditure to a campus facility.</w:t>
      </w:r>
    </w:p>
    <w:p>
      <w:pPr>
        <w:pStyle w:val="ListBullet"/>
      </w:pPr>
      <w:r>
        <w:rPr>
          <w:sz w:val="21"/>
        </w:rPr>
        <w:t>Entry into any partnership outside India.</w:t>
      </w:r>
    </w:p>
    <w:p>
      <w:pPr>
        <w:pStyle w:val="ListBullet"/>
      </w:pPr>
      <w:r>
        <w:rPr>
          <w:sz w:val="21"/>
        </w:rPr>
        <w:t>Any variation to the Master MOU body text as distinct from its schedules.</w:t>
      </w:r>
    </w:p>
    <w:p>
      <w:pPr>
        <w:pStyle w:val="ListBullet"/>
      </w:pPr>
      <w:r>
        <w:rPr>
          <w:sz w:val="21"/>
        </w:rPr>
        <w:t>Termination of a Tier 1 partnership.</w:t>
      </w:r>
    </w:p>
    <w:p>
      <w:pPr>
        <w:spacing w:before="80" w:after="160"/>
        <w:pBdr>
          <w:bottom w:val="single" w:sz="6" w:space="1" w:color="C9D6DE"/>
        </w:pBdr>
      </w:pPr>
    </w:p>
    <w:p>
      <w:pPr>
        <w:pStyle w:val="Heading1"/>
        <w:pBdr>
          <w:bottom w:val="single" w:sz="8" w:space="4" w:color="C9D6DE"/>
        </w:pBdr>
      </w:pPr>
      <w:r>
        <w:t>5. Reporting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633"/>
            <w:shd w:val="clear" w:color="auto" w:fill="10375C"/>
          </w:tcPr>
          <w:p>
            <w:pPr>
              <w:spacing w:after="50" w:before="50"/>
            </w:pPr>
            <w:r>
              <w:rPr>
                <w:b/>
                <w:color w:val="FFFFFF"/>
                <w:sz w:val="17"/>
              </w:rPr>
              <w:t>Report</w:t>
            </w:r>
          </w:p>
        </w:tc>
        <w:tc>
          <w:tcPr>
            <w:tcW w:type="dxa" w:w="850"/>
            <w:shd w:val="clear" w:color="auto" w:fill="10375C"/>
          </w:tcPr>
          <w:p>
            <w:pPr>
              <w:spacing w:after="50" w:before="50"/>
            </w:pPr>
            <w:r>
              <w:rPr>
                <w:b/>
                <w:color w:val="FFFFFF"/>
                <w:sz w:val="17"/>
              </w:rPr>
              <w:t>Prepared by</w:t>
            </w:r>
          </w:p>
        </w:tc>
        <w:tc>
          <w:tcPr>
            <w:tcW w:type="dxa" w:w="1782"/>
            <w:shd w:val="clear" w:color="auto" w:fill="10375C"/>
          </w:tcPr>
          <w:p>
            <w:pPr>
              <w:spacing w:after="50" w:before="50"/>
            </w:pPr>
            <w:r>
              <w:rPr>
                <w:b/>
                <w:color w:val="FFFFFF"/>
                <w:sz w:val="17"/>
              </w:rPr>
              <w:t>Audience</w:t>
            </w:r>
          </w:p>
        </w:tc>
        <w:tc>
          <w:tcPr>
            <w:tcW w:type="dxa" w:w="1502"/>
            <w:shd w:val="clear" w:color="auto" w:fill="10375C"/>
          </w:tcPr>
          <w:p>
            <w:pPr>
              <w:spacing w:after="50" w:before="50"/>
            </w:pPr>
            <w:r>
              <w:rPr>
                <w:b/>
                <w:color w:val="FFFFFF"/>
                <w:sz w:val="17"/>
              </w:rPr>
              <w:t>Frequency</w:t>
            </w:r>
          </w:p>
        </w:tc>
        <w:tc>
          <w:tcPr>
            <w:tcW w:type="dxa" w:w="3815"/>
            <w:shd w:val="clear" w:color="auto" w:fill="10375C"/>
          </w:tcPr>
          <w:p>
            <w:pPr>
              <w:spacing w:after="50" w:before="50"/>
            </w:pPr>
            <w:r>
              <w:rPr>
                <w:b/>
                <w:color w:val="FFFFFF"/>
                <w:sz w:val="17"/>
              </w:rPr>
              <w:t>Content</w:t>
            </w:r>
          </w:p>
        </w:tc>
      </w:tr>
      <w:tr>
        <w:tc>
          <w:tcPr>
            <w:tcW w:type="dxa" w:w="1633"/>
          </w:tcPr>
          <w:p>
            <w:pPr>
              <w:spacing w:after="50" w:before="50" w:line="252" w:lineRule="auto"/>
            </w:pPr>
            <w:r>
              <w:rPr>
                <w:sz w:val="17"/>
              </w:rPr>
              <w:t>Delivery dashboard</w:t>
            </w:r>
          </w:p>
        </w:tc>
        <w:tc>
          <w:tcPr>
            <w:tcW w:type="dxa" w:w="850"/>
          </w:tcPr>
          <w:p>
            <w:pPr>
              <w:spacing w:after="50" w:before="50" w:line="252" w:lineRule="auto"/>
            </w:pPr>
            <w:r>
              <w:rPr>
                <w:sz w:val="17"/>
              </w:rPr>
              <w:t>Operations</w:t>
            </w:r>
          </w:p>
        </w:tc>
        <w:tc>
          <w:tcPr>
            <w:tcW w:type="dxa" w:w="1782"/>
          </w:tcPr>
          <w:p>
            <w:pPr>
              <w:spacing w:after="50" w:before="50" w:line="252" w:lineRule="auto"/>
            </w:pPr>
            <w:r>
              <w:rPr>
                <w:sz w:val="17"/>
              </w:rPr>
              <w:t>Programme Management Team</w:t>
            </w:r>
          </w:p>
        </w:tc>
        <w:tc>
          <w:tcPr>
            <w:tcW w:type="dxa" w:w="1502"/>
          </w:tcPr>
          <w:p>
            <w:pPr>
              <w:spacing w:after="50" w:before="50" w:line="252" w:lineRule="auto"/>
            </w:pPr>
            <w:r>
              <w:rPr>
                <w:sz w:val="17"/>
              </w:rPr>
              <w:t>Fortnightly</w:t>
            </w:r>
          </w:p>
        </w:tc>
        <w:tc>
          <w:tcPr>
            <w:tcW w:type="dxa" w:w="3815"/>
          </w:tcPr>
          <w:p>
            <w:pPr>
              <w:spacing w:after="50" w:before="50" w:line="252" w:lineRule="auto"/>
            </w:pPr>
            <w:r>
              <w:rPr>
                <w:sz w:val="17"/>
              </w:rPr>
              <w:t>Calendar status, attendance, issues, next-period readiness</w:t>
            </w:r>
          </w:p>
        </w:tc>
      </w:tr>
      <w:tr>
        <w:tc>
          <w:tcPr>
            <w:tcW w:type="dxa" w:w="1633"/>
            <w:shd w:val="clear" w:color="auto" w:fill="EAF1F4"/>
          </w:tcPr>
          <w:p>
            <w:pPr>
              <w:spacing w:after="50" w:before="50" w:line="252" w:lineRule="auto"/>
            </w:pPr>
            <w:r>
              <w:rPr>
                <w:sz w:val="17"/>
              </w:rPr>
              <w:t>Pipeline report</w:t>
            </w:r>
          </w:p>
        </w:tc>
        <w:tc>
          <w:tcPr>
            <w:tcW w:type="dxa" w:w="850"/>
            <w:shd w:val="clear" w:color="auto" w:fill="EAF1F4"/>
          </w:tcPr>
          <w:p>
            <w:pPr>
              <w:spacing w:after="50" w:before="50" w:line="252" w:lineRule="auto"/>
            </w:pPr>
            <w:r>
              <w:rPr>
                <w:sz w:val="17"/>
              </w:rPr>
              <w:t>BD</w:t>
            </w:r>
          </w:p>
        </w:tc>
        <w:tc>
          <w:tcPr>
            <w:tcW w:type="dxa" w:w="1782"/>
            <w:shd w:val="clear" w:color="auto" w:fill="EAF1F4"/>
          </w:tcPr>
          <w:p>
            <w:pPr>
              <w:spacing w:after="50" w:before="50" w:line="252" w:lineRule="auto"/>
            </w:pPr>
            <w:r>
              <w:rPr>
                <w:sz w:val="17"/>
              </w:rPr>
              <w:t>Programme Management Team</w:t>
            </w:r>
          </w:p>
        </w:tc>
        <w:tc>
          <w:tcPr>
            <w:tcW w:type="dxa" w:w="1502"/>
            <w:shd w:val="clear" w:color="auto" w:fill="EAF1F4"/>
          </w:tcPr>
          <w:p>
            <w:pPr>
              <w:spacing w:after="50" w:before="50" w:line="252" w:lineRule="auto"/>
            </w:pPr>
            <w:r>
              <w:rPr>
                <w:sz w:val="17"/>
              </w:rPr>
              <w:t>Fortnightly</w:t>
            </w:r>
          </w:p>
        </w:tc>
        <w:tc>
          <w:tcPr>
            <w:tcW w:type="dxa" w:w="3815"/>
            <w:shd w:val="clear" w:color="auto" w:fill="EAF1F4"/>
          </w:tcPr>
          <w:p>
            <w:pPr>
              <w:spacing w:after="50" w:before="50" w:line="252" w:lineRule="auto"/>
            </w:pPr>
            <w:r>
              <w:rPr>
                <w:sz w:val="17"/>
              </w:rPr>
              <w:t>Stage-by-stage pipeline against capacity ceiling</w:t>
            </w:r>
          </w:p>
        </w:tc>
      </w:tr>
      <w:tr>
        <w:tc>
          <w:tcPr>
            <w:tcW w:type="dxa" w:w="1633"/>
          </w:tcPr>
          <w:p>
            <w:pPr>
              <w:spacing w:after="50" w:before="50" w:line="252" w:lineRule="auto"/>
            </w:pPr>
            <w:r>
              <w:rPr>
                <w:sz w:val="17"/>
              </w:rPr>
              <w:t>Partnership scorecard</w:t>
            </w:r>
          </w:p>
        </w:tc>
        <w:tc>
          <w:tcPr>
            <w:tcW w:type="dxa" w:w="850"/>
          </w:tcPr>
          <w:p>
            <w:pPr>
              <w:spacing w:after="50" w:before="50" w:line="252" w:lineRule="auto"/>
            </w:pPr>
            <w:r>
              <w:rPr>
                <w:sz w:val="17"/>
              </w:rPr>
              <w:t>Director</w:t>
            </w:r>
          </w:p>
        </w:tc>
        <w:tc>
          <w:tcPr>
            <w:tcW w:type="dxa" w:w="1782"/>
          </w:tcPr>
          <w:p>
            <w:pPr>
              <w:spacing w:after="50" w:before="50" w:line="252" w:lineRule="auto"/>
            </w:pPr>
            <w:r>
              <w:rPr>
                <w:sz w:val="17"/>
              </w:rPr>
              <w:t>Programme Board</w:t>
            </w:r>
          </w:p>
        </w:tc>
        <w:tc>
          <w:tcPr>
            <w:tcW w:type="dxa" w:w="1502"/>
          </w:tcPr>
          <w:p>
            <w:pPr>
              <w:spacing w:after="50" w:before="50" w:line="252" w:lineRule="auto"/>
            </w:pPr>
            <w:r>
              <w:rPr>
                <w:sz w:val="17"/>
              </w:rPr>
              <w:t>Quarterly</w:t>
            </w:r>
          </w:p>
        </w:tc>
        <w:tc>
          <w:tcPr>
            <w:tcW w:type="dxa" w:w="3815"/>
          </w:tcPr>
          <w:p>
            <w:pPr>
              <w:spacing w:after="50" w:before="50" w:line="252" w:lineRule="auto"/>
            </w:pPr>
            <w:r>
              <w:rPr>
                <w:sz w:val="17"/>
              </w:rPr>
              <w:t>Per-partnership activity, revenue, KPI status, renewal signal</w:t>
            </w:r>
          </w:p>
        </w:tc>
      </w:tr>
      <w:tr>
        <w:tc>
          <w:tcPr>
            <w:tcW w:type="dxa" w:w="1633"/>
            <w:shd w:val="clear" w:color="auto" w:fill="EAF1F4"/>
          </w:tcPr>
          <w:p>
            <w:pPr>
              <w:spacing w:after="50" w:before="50" w:line="252" w:lineRule="auto"/>
            </w:pPr>
            <w:r>
              <w:rPr>
                <w:sz w:val="17"/>
              </w:rPr>
              <w:t>Financial pack</w:t>
            </w:r>
          </w:p>
        </w:tc>
        <w:tc>
          <w:tcPr>
            <w:tcW w:type="dxa" w:w="850"/>
            <w:shd w:val="clear" w:color="auto" w:fill="EAF1F4"/>
          </w:tcPr>
          <w:p>
            <w:pPr>
              <w:spacing w:after="50" w:before="50" w:line="252" w:lineRule="auto"/>
            </w:pPr>
            <w:r>
              <w:rPr>
                <w:sz w:val="17"/>
              </w:rPr>
              <w:t>Finance</w:t>
            </w:r>
          </w:p>
        </w:tc>
        <w:tc>
          <w:tcPr>
            <w:tcW w:type="dxa" w:w="1782"/>
            <w:shd w:val="clear" w:color="auto" w:fill="EAF1F4"/>
          </w:tcPr>
          <w:p>
            <w:pPr>
              <w:spacing w:after="50" w:before="50" w:line="252" w:lineRule="auto"/>
            </w:pPr>
            <w:r>
              <w:rPr>
                <w:sz w:val="17"/>
              </w:rPr>
              <w:t>Programme Board</w:t>
            </w:r>
          </w:p>
        </w:tc>
        <w:tc>
          <w:tcPr>
            <w:tcW w:type="dxa" w:w="1502"/>
            <w:shd w:val="clear" w:color="auto" w:fill="EAF1F4"/>
          </w:tcPr>
          <w:p>
            <w:pPr>
              <w:spacing w:after="50" w:before="50" w:line="252" w:lineRule="auto"/>
            </w:pPr>
            <w:r>
              <w:rPr>
                <w:sz w:val="17"/>
              </w:rPr>
              <w:t>Quarterly</w:t>
            </w:r>
          </w:p>
        </w:tc>
        <w:tc>
          <w:tcPr>
            <w:tcW w:type="dxa" w:w="3815"/>
            <w:shd w:val="clear" w:color="auto" w:fill="EAF1F4"/>
          </w:tcPr>
          <w:p>
            <w:pPr>
              <w:spacing w:after="50" w:before="50" w:line="252" w:lineRule="auto"/>
            </w:pPr>
            <w:r>
              <w:rPr>
                <w:sz w:val="17"/>
              </w:rPr>
              <w:t>Revenue by line, contribution margin, receivables, revenue-share settlements</w:t>
            </w:r>
          </w:p>
        </w:tc>
      </w:tr>
      <w:tr>
        <w:tc>
          <w:tcPr>
            <w:tcW w:type="dxa" w:w="1633"/>
          </w:tcPr>
          <w:p>
            <w:pPr>
              <w:spacing w:after="50" w:before="50" w:line="252" w:lineRule="auto"/>
            </w:pPr>
            <w:r>
              <w:rPr>
                <w:sz w:val="17"/>
              </w:rPr>
              <w:t>Risk and incident report</w:t>
            </w:r>
          </w:p>
        </w:tc>
        <w:tc>
          <w:tcPr>
            <w:tcW w:type="dxa" w:w="850"/>
          </w:tcPr>
          <w:p>
            <w:pPr>
              <w:spacing w:after="50" w:before="50" w:line="252" w:lineRule="auto"/>
            </w:pPr>
            <w:r>
              <w:rPr>
                <w:sz w:val="17"/>
              </w:rPr>
              <w:t>Director</w:t>
            </w:r>
          </w:p>
        </w:tc>
        <w:tc>
          <w:tcPr>
            <w:tcW w:type="dxa" w:w="1782"/>
          </w:tcPr>
          <w:p>
            <w:pPr>
              <w:spacing w:after="50" w:before="50" w:line="252" w:lineRule="auto"/>
            </w:pPr>
            <w:r>
              <w:rPr>
                <w:sz w:val="17"/>
              </w:rPr>
              <w:t>Programme Board</w:t>
            </w:r>
          </w:p>
        </w:tc>
        <w:tc>
          <w:tcPr>
            <w:tcW w:type="dxa" w:w="1502"/>
          </w:tcPr>
          <w:p>
            <w:pPr>
              <w:spacing w:after="50" w:before="50" w:line="252" w:lineRule="auto"/>
            </w:pPr>
            <w:r>
              <w:rPr>
                <w:sz w:val="17"/>
              </w:rPr>
              <w:t>Quarterly, and immediately on L4</w:t>
            </w:r>
          </w:p>
        </w:tc>
        <w:tc>
          <w:tcPr>
            <w:tcW w:type="dxa" w:w="3815"/>
          </w:tcPr>
          <w:p>
            <w:pPr>
              <w:spacing w:after="50" w:before="50" w:line="252" w:lineRule="auto"/>
            </w:pPr>
            <w:r>
              <w:rPr>
                <w:sz w:val="17"/>
              </w:rPr>
              <w:t>Risk register movement, incidents, open [verify] items</w:t>
            </w:r>
          </w:p>
        </w:tc>
      </w:tr>
      <w:tr>
        <w:tc>
          <w:tcPr>
            <w:tcW w:type="dxa" w:w="1633"/>
            <w:shd w:val="clear" w:color="auto" w:fill="EAF1F4"/>
          </w:tcPr>
          <w:p>
            <w:pPr>
              <w:spacing w:after="50" w:before="50" w:line="252" w:lineRule="auto"/>
            </w:pPr>
            <w:r>
              <w:rPr>
                <w:sz w:val="17"/>
              </w:rPr>
              <w:t>Annual programme review</w:t>
            </w:r>
          </w:p>
        </w:tc>
        <w:tc>
          <w:tcPr>
            <w:tcW w:type="dxa" w:w="850"/>
            <w:shd w:val="clear" w:color="auto" w:fill="EAF1F4"/>
          </w:tcPr>
          <w:p>
            <w:pPr>
              <w:spacing w:after="50" w:before="50" w:line="252" w:lineRule="auto"/>
            </w:pPr>
            <w:r>
              <w:rPr>
                <w:sz w:val="17"/>
              </w:rPr>
              <w:t>Director</w:t>
            </w:r>
          </w:p>
        </w:tc>
        <w:tc>
          <w:tcPr>
            <w:tcW w:type="dxa" w:w="1782"/>
            <w:shd w:val="clear" w:color="auto" w:fill="EAF1F4"/>
          </w:tcPr>
          <w:p>
            <w:pPr>
              <w:spacing w:after="50" w:before="50" w:line="252" w:lineRule="auto"/>
            </w:pPr>
            <w:r>
              <w:rPr>
                <w:sz w:val="17"/>
              </w:rPr>
              <w:t>Board of Equator Resolution</w:t>
            </w:r>
          </w:p>
        </w:tc>
        <w:tc>
          <w:tcPr>
            <w:tcW w:type="dxa" w:w="1502"/>
            <w:shd w:val="clear" w:color="auto" w:fill="EAF1F4"/>
          </w:tcPr>
          <w:p>
            <w:pPr>
              <w:spacing w:after="50" w:before="50" w:line="252" w:lineRule="auto"/>
            </w:pPr>
            <w:r>
              <w:rPr>
                <w:sz w:val="17"/>
              </w:rPr>
              <w:t>Annual</w:t>
            </w:r>
          </w:p>
        </w:tc>
        <w:tc>
          <w:tcPr>
            <w:tcW w:type="dxa" w:w="3815"/>
            <w:shd w:val="clear" w:color="auto" w:fill="EAF1F4"/>
          </w:tcPr>
          <w:p>
            <w:pPr>
              <w:spacing w:after="50" w:before="50" w:line="252" w:lineRule="auto"/>
            </w:pPr>
            <w:r>
              <w:rPr>
                <w:sz w:val="17"/>
              </w:rPr>
              <w:t>Full-year performance, renewals, strategy re-base</w:t>
            </w:r>
          </w:p>
        </w:tc>
      </w:tr>
    </w:tbl>
    <w:p>
      <w:pPr>
        <w:spacing w:after="80" w:before="0"/>
      </w:pPr>
    </w:p>
    <w:p>
      <w:pPr>
        <w:spacing w:before="80" w:after="160"/>
        <w:pBdr>
          <w:bottom w:val="single" w:sz="6" w:space="1" w:color="C9D6DE"/>
        </w:pBdr>
      </w:pPr>
    </w:p>
    <w:p>
      <w:pPr>
        <w:pStyle w:val="Heading1"/>
        <w:pBdr>
          <w:bottom w:val="single" w:sz="8" w:space="4" w:color="C9D6DE"/>
        </w:pBdr>
      </w:pPr>
      <w:r>
        <w:t>6. Programme principles</w:t>
      </w:r>
    </w:p>
    <w:p>
      <w:pPr>
        <w:pStyle w:val="ListNumber"/>
      </w:pPr>
      <w:r>
        <w:rPr>
          <w:b/>
          <w:sz w:val="21"/>
        </w:rPr>
        <w:t>The three-outcome test governs.</w:t>
      </w:r>
      <w:r>
        <w:rPr>
          <w:sz w:val="21"/>
        </w:rPr>
        <w:t xml:space="preserve"> Pipeline, credibility or revenue — or the activity does not happen.</w:t>
      </w:r>
    </w:p>
    <w:p>
      <w:pPr>
        <w:pStyle w:val="ListNumber"/>
      </w:pPr>
      <w:r>
        <w:rPr>
          <w:b/>
          <w:sz w:val="21"/>
        </w:rPr>
        <w:t>Standardise, then customise for a fee.</w:t>
      </w:r>
      <w:r>
        <w:rPr>
          <w:sz w:val="21"/>
        </w:rPr>
        <w:t xml:space="preserve"> Bespoke delivery destroys the margin that funds the programme.</w:t>
      </w:r>
    </w:p>
    <w:p>
      <w:pPr>
        <w:pStyle w:val="ListNumber"/>
      </w:pPr>
      <w:r>
        <w:rPr>
          <w:b/>
          <w:sz w:val="21"/>
        </w:rPr>
        <w:t>Document everything.</w:t>
      </w:r>
      <w:r>
        <w:rPr>
          <w:sz w:val="21"/>
        </w:rPr>
        <w:t xml:space="preserve"> An activity without attendance records, assessment data, feedback and photographs cannot be evidenced to the partner, to an accreditor, or to the Board.</w:t>
      </w:r>
    </w:p>
    <w:p>
      <w:pPr>
        <w:pStyle w:val="ListNumber"/>
      </w:pPr>
      <w:r>
        <w:rPr>
          <w:b/>
          <w:sz w:val="21"/>
        </w:rPr>
        <w:t>Never trade neutrality for revenue.</w:t>
      </w:r>
      <w:r>
        <w:rPr>
          <w:sz w:val="21"/>
        </w:rPr>
        <w:t xml:space="preserve"> The conflict protocol is not negotiable.</w:t>
      </w:r>
    </w:p>
    <w:p>
      <w:pPr>
        <w:pStyle w:val="ListNumber"/>
      </w:pPr>
      <w:r>
        <w:rPr>
          <w:b/>
          <w:sz w:val="21"/>
        </w:rPr>
        <w:t>Protect students first.</w:t>
      </w:r>
      <w:r>
        <w:rPr>
          <w:sz w:val="21"/>
        </w:rPr>
        <w:t xml:space="preserve"> Safeguarding and confidentiality obligations override commercial and reputational considerations without exception.</w:t>
      </w:r>
    </w:p>
    <w:p>
      <w:pPr>
        <w:pStyle w:val="ListNumber"/>
      </w:pPr>
      <w:r>
        <w:rPr>
          <w:b/>
          <w:sz w:val="21"/>
        </w:rPr>
        <w:t>Let weak partnerships lapse.</w:t>
      </w:r>
      <w:r>
        <w:rPr>
          <w:sz w:val="21"/>
        </w:rPr>
        <w:t xml:space="preserve"> Renewal is earned on the scorecard.</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EQ-UAP-014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Programme Charter &amp; Governance Framework</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858F023-64E1-4A9C-94C3-2E4CB6CA70DE}"/>
</file>

<file path=customXml/itemProps3.xml><?xml version="1.0" encoding="utf-8"?>
<ds:datastoreItem xmlns:ds="http://schemas.openxmlformats.org/officeDocument/2006/customXml" ds:itemID="{16B25D34-6A5B-43E6-9720-91E75865F8BD}"/>
</file>

<file path=customXml/itemProps4.xml><?xml version="1.0" encoding="utf-8"?>
<ds:datastoreItem xmlns:ds="http://schemas.openxmlformats.org/officeDocument/2006/customXml" ds:itemID="{32124704-FBEF-4855-AC50-EC6448F67F6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