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Delegation of Authority &amp; Approval Matrix</w:t>
      </w:r>
    </w:p>
    <w:p>
      <w:pPr>
        <w:spacing w:after="280" w:line="276" w:lineRule="auto"/>
      </w:pPr>
      <w:r>
        <w:rPr>
          <w:rFonts w:ascii="Calibri" w:hAnsi="Calibri"/>
          <w:i/>
          <w:color w:val="3E6B8A"/>
          <w:sz w:val="25"/>
        </w:rPr>
        <w:t>Who may commit Equator to what, at what value, and with whose written approval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EQ-UAP-015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Governance</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Purpose and application</w:t>
      </w:r>
    </w:p>
    <w:p>
      <w:r>
        <w:t>This instrument states the limits within which named role-holders may bind Equator Resolution and Equator ADR Institute in connection with the University &amp; Academic Partnership Programme. It applies to every commitment — contractual, financial, reputational or operational — arising under the Programme.</w:t>
      </w:r>
    </w:p>
    <w:p>
      <w:r>
        <w:rPr>
          <w:b/>
        </w:rPr>
        <w:t>No commitment outside these limits is valid without prior written approval from the authority stated.</w:t>
      </w:r>
      <w:r>
        <w:t xml:space="preserve"> Verbal assurances given to an institution are not commitments and must be corrected in writing within two working days.</w:t>
      </w:r>
    </w:p>
    <w:p>
      <w:pPr>
        <w:spacing w:before="80" w:after="160"/>
        <w:pBdr>
          <w:bottom w:val="single" w:sz="6" w:space="1" w:color="C9D6DE"/>
        </w:pBdr>
      </w:pPr>
    </w:p>
    <w:p>
      <w:pPr>
        <w:pStyle w:val="Heading1"/>
        <w:pBdr>
          <w:bottom w:val="single" w:sz="8" w:space="4" w:color="C9D6DE"/>
        </w:pBdr>
      </w:pPr>
      <w:r>
        <w:t>2. Approval authorities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34"/>
            <w:shd w:val="clear" w:color="auto" w:fill="10375C"/>
          </w:tcPr>
          <w:p>
            <w:pPr>
              <w:spacing w:after="50" w:before="50"/>
            </w:pPr>
            <w:r>
              <w:rPr>
                <w:b/>
                <w:color w:val="FFFFFF"/>
                <w:sz w:val="17"/>
              </w:rPr>
              <w:t>Code</w:t>
            </w:r>
          </w:p>
        </w:tc>
        <w:tc>
          <w:tcPr>
            <w:tcW w:type="dxa" w:w="7734"/>
            <w:shd w:val="clear" w:color="auto" w:fill="10375C"/>
          </w:tcPr>
          <w:p>
            <w:pPr>
              <w:spacing w:after="50" w:before="50"/>
            </w:pPr>
            <w:r>
              <w:rPr>
                <w:b/>
                <w:color w:val="FFFFFF"/>
                <w:sz w:val="17"/>
              </w:rPr>
              <w:t>Authority</w:t>
            </w:r>
          </w:p>
        </w:tc>
      </w:tr>
      <w:tr>
        <w:tc>
          <w:tcPr>
            <w:tcW w:type="dxa" w:w="1734"/>
          </w:tcPr>
          <w:p>
            <w:pPr>
              <w:spacing w:after="50" w:before="50" w:line="252" w:lineRule="auto"/>
            </w:pPr>
            <w:r>
              <w:rPr>
                <w:b/>
                <w:sz w:val="17"/>
              </w:rPr>
              <w:t>BD</w:t>
            </w:r>
          </w:p>
        </w:tc>
        <w:tc>
          <w:tcPr>
            <w:tcW w:type="dxa" w:w="7734"/>
          </w:tcPr>
          <w:p>
            <w:pPr>
              <w:spacing w:after="50" w:before="50" w:line="252" w:lineRule="auto"/>
            </w:pPr>
            <w:r>
              <w:rPr>
                <w:sz w:val="17"/>
              </w:rPr>
              <w:t>Manager — Business Development</w:t>
            </w:r>
          </w:p>
        </w:tc>
      </w:tr>
      <w:tr>
        <w:tc>
          <w:tcPr>
            <w:tcW w:type="dxa" w:w="1734"/>
            <w:shd w:val="clear" w:color="auto" w:fill="EAF1F4"/>
          </w:tcPr>
          <w:p>
            <w:pPr>
              <w:spacing w:after="50" w:before="50" w:line="252" w:lineRule="auto"/>
            </w:pPr>
            <w:r>
              <w:rPr>
                <w:b/>
                <w:sz w:val="17"/>
              </w:rPr>
              <w:t>PD</w:t>
            </w:r>
          </w:p>
        </w:tc>
        <w:tc>
          <w:tcPr>
            <w:tcW w:type="dxa" w:w="7734"/>
            <w:shd w:val="clear" w:color="auto" w:fill="EAF1F4"/>
          </w:tcPr>
          <w:p>
            <w:pPr>
              <w:spacing w:after="50" w:before="50" w:line="252" w:lineRule="auto"/>
            </w:pPr>
            <w:r>
              <w:rPr>
                <w:sz w:val="17"/>
              </w:rPr>
              <w:t>Programme Director — Academic Partnerships</w:t>
            </w:r>
          </w:p>
        </w:tc>
      </w:tr>
      <w:tr>
        <w:tc>
          <w:tcPr>
            <w:tcW w:type="dxa" w:w="1734"/>
          </w:tcPr>
          <w:p>
            <w:pPr>
              <w:spacing w:after="50" w:before="50" w:line="252" w:lineRule="auto"/>
            </w:pPr>
            <w:r>
              <w:rPr>
                <w:b/>
                <w:sz w:val="17"/>
              </w:rPr>
              <w:t>HC</w:t>
            </w:r>
          </w:p>
        </w:tc>
        <w:tc>
          <w:tcPr>
            <w:tcW w:type="dxa" w:w="7734"/>
          </w:tcPr>
          <w:p>
            <w:pPr>
              <w:spacing w:after="50" w:before="50" w:line="252" w:lineRule="auto"/>
            </w:pPr>
            <w:r>
              <w:rPr>
                <w:sz w:val="17"/>
              </w:rPr>
              <w:t>Head of Curriculum &amp; Certification</w:t>
            </w:r>
          </w:p>
        </w:tc>
      </w:tr>
      <w:tr>
        <w:tc>
          <w:tcPr>
            <w:tcW w:type="dxa" w:w="1734"/>
            <w:shd w:val="clear" w:color="auto" w:fill="EAF1F4"/>
          </w:tcPr>
          <w:p>
            <w:pPr>
              <w:spacing w:after="50" w:before="50" w:line="252" w:lineRule="auto"/>
            </w:pPr>
            <w:r>
              <w:rPr>
                <w:b/>
                <w:sz w:val="17"/>
              </w:rPr>
              <w:t>FC</w:t>
            </w:r>
          </w:p>
        </w:tc>
        <w:tc>
          <w:tcPr>
            <w:tcW w:type="dxa" w:w="7734"/>
            <w:shd w:val="clear" w:color="auto" w:fill="EAF1F4"/>
          </w:tcPr>
          <w:p>
            <w:pPr>
              <w:spacing w:after="50" w:before="50" w:line="252" w:lineRule="auto"/>
            </w:pPr>
            <w:r>
              <w:rPr>
                <w:sz w:val="17"/>
              </w:rPr>
              <w:t>Finance Controller</w:t>
            </w:r>
          </w:p>
        </w:tc>
      </w:tr>
      <w:tr>
        <w:tc>
          <w:tcPr>
            <w:tcW w:type="dxa" w:w="1734"/>
          </w:tcPr>
          <w:p>
            <w:pPr>
              <w:spacing w:after="50" w:before="50" w:line="252" w:lineRule="auto"/>
            </w:pPr>
            <w:r>
              <w:rPr>
                <w:b/>
                <w:sz w:val="17"/>
              </w:rPr>
              <w:t>GC</w:t>
            </w:r>
          </w:p>
        </w:tc>
        <w:tc>
          <w:tcPr>
            <w:tcW w:type="dxa" w:w="7734"/>
          </w:tcPr>
          <w:p>
            <w:pPr>
              <w:spacing w:after="50" w:before="50" w:line="252" w:lineRule="auto"/>
            </w:pPr>
            <w:r>
              <w:rPr>
                <w:sz w:val="17"/>
              </w:rPr>
              <w:t>General Counsel</w:t>
            </w:r>
          </w:p>
        </w:tc>
      </w:tr>
      <w:tr>
        <w:tc>
          <w:tcPr>
            <w:tcW w:type="dxa" w:w="1734"/>
            <w:shd w:val="clear" w:color="auto" w:fill="EAF1F4"/>
          </w:tcPr>
          <w:p>
            <w:pPr>
              <w:spacing w:after="50" w:before="50" w:line="252" w:lineRule="auto"/>
            </w:pPr>
            <w:r>
              <w:rPr>
                <w:b/>
                <w:sz w:val="17"/>
              </w:rPr>
              <w:t>DPO</w:t>
            </w:r>
          </w:p>
        </w:tc>
        <w:tc>
          <w:tcPr>
            <w:tcW w:type="dxa" w:w="7734"/>
            <w:shd w:val="clear" w:color="auto" w:fill="EAF1F4"/>
          </w:tcPr>
          <w:p>
            <w:pPr>
              <w:spacing w:after="50" w:before="50" w:line="252" w:lineRule="auto"/>
            </w:pPr>
            <w:r>
              <w:rPr>
                <w:sz w:val="17"/>
              </w:rPr>
              <w:t>Data Protection Officer</w:t>
            </w:r>
          </w:p>
        </w:tc>
      </w:tr>
      <w:tr>
        <w:tc>
          <w:tcPr>
            <w:tcW w:type="dxa" w:w="1734"/>
          </w:tcPr>
          <w:p>
            <w:pPr>
              <w:spacing w:after="50" w:before="50" w:line="252" w:lineRule="auto"/>
            </w:pPr>
            <w:r>
              <w:rPr>
                <w:b/>
                <w:sz w:val="17"/>
              </w:rPr>
              <w:t>MD</w:t>
            </w:r>
          </w:p>
        </w:tc>
        <w:tc>
          <w:tcPr>
            <w:tcW w:type="dxa" w:w="7734"/>
          </w:tcPr>
          <w:p>
            <w:pPr>
              <w:spacing w:after="50" w:before="50" w:line="252" w:lineRule="auto"/>
            </w:pPr>
            <w:r>
              <w:rPr>
                <w:sz w:val="17"/>
              </w:rPr>
              <w:t>Managing Director</w:t>
            </w:r>
          </w:p>
        </w:tc>
      </w:tr>
      <w:tr>
        <w:tc>
          <w:tcPr>
            <w:tcW w:type="dxa" w:w="1734"/>
            <w:shd w:val="clear" w:color="auto" w:fill="EAF1F4"/>
          </w:tcPr>
          <w:p>
            <w:pPr>
              <w:spacing w:after="50" w:before="50" w:line="252" w:lineRule="auto"/>
            </w:pPr>
            <w:r>
              <w:rPr>
                <w:b/>
                <w:sz w:val="17"/>
              </w:rPr>
              <w:t>PB</w:t>
            </w:r>
          </w:p>
        </w:tc>
        <w:tc>
          <w:tcPr>
            <w:tcW w:type="dxa" w:w="7734"/>
            <w:shd w:val="clear" w:color="auto" w:fill="EAF1F4"/>
          </w:tcPr>
          <w:p>
            <w:pPr>
              <w:spacing w:after="50" w:before="50" w:line="252" w:lineRule="auto"/>
            </w:pPr>
            <w:r>
              <w:rPr>
                <w:sz w:val="17"/>
              </w:rPr>
              <w:t>Programme Board</w:t>
            </w:r>
          </w:p>
        </w:tc>
      </w:tr>
      <w:tr>
        <w:tc>
          <w:tcPr>
            <w:tcW w:type="dxa" w:w="1734"/>
          </w:tcPr>
          <w:p>
            <w:pPr>
              <w:spacing w:after="50" w:before="50" w:line="252" w:lineRule="auto"/>
            </w:pPr>
            <w:r>
              <w:rPr>
                <w:b/>
                <w:sz w:val="17"/>
              </w:rPr>
              <w:t>BRD</w:t>
            </w:r>
          </w:p>
        </w:tc>
        <w:tc>
          <w:tcPr>
            <w:tcW w:type="dxa" w:w="7734"/>
          </w:tcPr>
          <w:p>
            <w:pPr>
              <w:spacing w:after="50" w:before="50" w:line="252" w:lineRule="auto"/>
            </w:pPr>
            <w:r>
              <w:rPr>
                <w:sz w:val="17"/>
              </w:rPr>
              <w:t>Board of Equator Resolution</w:t>
            </w:r>
          </w:p>
        </w:tc>
      </w:tr>
    </w:tbl>
    <w:p>
      <w:pPr>
        <w:spacing w:after="80" w:before="0"/>
      </w:pPr>
    </w:p>
    <w:p>
      <w:pPr>
        <w:spacing w:before="80" w:after="160"/>
        <w:pBdr>
          <w:bottom w:val="single" w:sz="6" w:space="1" w:color="C9D6DE"/>
        </w:pBdr>
      </w:pPr>
    </w:p>
    <w:p>
      <w:pPr>
        <w:pStyle w:val="Heading1"/>
        <w:pBdr>
          <w:bottom w:val="single" w:sz="8" w:space="4" w:color="C9D6DE"/>
        </w:pBdr>
      </w:pPr>
      <w:r>
        <w:t>3. Contracting authority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5726"/>
            <w:shd w:val="clear" w:color="auto" w:fill="10375C"/>
          </w:tcPr>
          <w:p>
            <w:pPr>
              <w:spacing w:after="50" w:before="50"/>
            </w:pPr>
            <w:r>
              <w:rPr>
                <w:b/>
                <w:color w:val="FFFFFF"/>
                <w:sz w:val="17"/>
              </w:rPr>
              <w:t>Matter</w:t>
            </w:r>
          </w:p>
        </w:tc>
        <w:tc>
          <w:tcPr>
            <w:tcW w:type="dxa" w:w="850"/>
            <w:shd w:val="clear" w:color="auto" w:fill="10375C"/>
          </w:tcPr>
          <w:p>
            <w:pPr>
              <w:spacing w:after="50" w:before="50"/>
            </w:pPr>
            <w:r>
              <w:rPr>
                <w:b/>
                <w:color w:val="FFFFFF"/>
                <w:sz w:val="17"/>
              </w:rPr>
              <w:t>BD</w:t>
            </w:r>
          </w:p>
        </w:tc>
        <w:tc>
          <w:tcPr>
            <w:tcW w:type="dxa" w:w="850"/>
            <w:shd w:val="clear" w:color="auto" w:fill="10375C"/>
          </w:tcPr>
          <w:p>
            <w:pPr>
              <w:spacing w:after="50" w:before="50"/>
            </w:pPr>
            <w:r>
              <w:rPr>
                <w:b/>
                <w:color w:val="FFFFFF"/>
                <w:sz w:val="17"/>
              </w:rPr>
              <w:t>PD</w:t>
            </w:r>
          </w:p>
        </w:tc>
        <w:tc>
          <w:tcPr>
            <w:tcW w:type="dxa" w:w="850"/>
            <w:shd w:val="clear" w:color="auto" w:fill="10375C"/>
          </w:tcPr>
          <w:p>
            <w:pPr>
              <w:spacing w:after="50" w:before="50"/>
            </w:pPr>
            <w:r>
              <w:rPr>
                <w:b/>
                <w:color w:val="FFFFFF"/>
                <w:sz w:val="17"/>
              </w:rPr>
              <w:t>GC</w:t>
            </w:r>
          </w:p>
        </w:tc>
        <w:tc>
          <w:tcPr>
            <w:tcW w:type="dxa" w:w="850"/>
            <w:shd w:val="clear" w:color="auto" w:fill="10375C"/>
          </w:tcPr>
          <w:p>
            <w:pPr>
              <w:spacing w:after="50" w:before="50"/>
            </w:pPr>
            <w:r>
              <w:rPr>
                <w:b/>
                <w:color w:val="FFFFFF"/>
                <w:sz w:val="17"/>
              </w:rPr>
              <w:t>MD</w:t>
            </w:r>
          </w:p>
        </w:tc>
        <w:tc>
          <w:tcPr>
            <w:tcW w:type="dxa" w:w="850"/>
            <w:shd w:val="clear" w:color="auto" w:fill="10375C"/>
          </w:tcPr>
          <w:p>
            <w:pPr>
              <w:spacing w:after="50" w:before="50"/>
            </w:pPr>
            <w:r>
              <w:rPr>
                <w:b/>
                <w:color w:val="FFFFFF"/>
                <w:sz w:val="17"/>
              </w:rPr>
              <w:t>PB</w:t>
            </w:r>
          </w:p>
        </w:tc>
        <w:tc>
          <w:tcPr>
            <w:tcW w:type="dxa" w:w="850"/>
            <w:shd w:val="clear" w:color="auto" w:fill="10375C"/>
          </w:tcPr>
          <w:p>
            <w:pPr>
              <w:spacing w:after="50" w:before="50"/>
            </w:pPr>
            <w:r>
              <w:rPr>
                <w:b/>
                <w:color w:val="FFFFFF"/>
                <w:sz w:val="17"/>
              </w:rPr>
              <w:t>BRD</w:t>
            </w:r>
          </w:p>
        </w:tc>
      </w:tr>
      <w:tr>
        <w:tc>
          <w:tcPr>
            <w:tcW w:type="dxa" w:w="5726"/>
          </w:tcPr>
          <w:p>
            <w:pPr>
              <w:spacing w:after="50" w:before="50" w:line="252" w:lineRule="auto"/>
            </w:pPr>
            <w:r>
              <w:rPr>
                <w:sz w:val="17"/>
              </w:rPr>
              <w:t>Issue outreach letter or standard proposal</w:t>
            </w:r>
          </w:p>
        </w:tc>
        <w:tc>
          <w:tcPr>
            <w:tcW w:type="dxa" w:w="850"/>
          </w:tcPr>
          <w:p>
            <w:pPr>
              <w:spacing w:after="50" w:before="50" w:line="252" w:lineRule="auto"/>
            </w:pPr>
            <w:r>
              <w:rPr>
                <w:sz w:val="17"/>
              </w:rPr>
              <w:t>✔</w:t>
            </w:r>
          </w:p>
        </w:tc>
        <w:tc>
          <w:tcPr>
            <w:tcW w:type="dxa" w:w="850"/>
          </w:tcPr>
          <w:p>
            <w:pPr>
              <w:spacing w:after="50" w:before="50" w:line="252" w:lineRule="auto"/>
            </w:pPr>
            <w:r>
              <w:rPr>
                <w:sz w:val="17"/>
              </w:rPr>
              <w:t>I</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5726"/>
            <w:shd w:val="clear" w:color="auto" w:fill="EAF1F4"/>
          </w:tcPr>
          <w:p>
            <w:pPr>
              <w:spacing w:after="50" w:before="50" w:line="252" w:lineRule="auto"/>
            </w:pPr>
            <w:r>
              <w:rPr>
                <w:sz w:val="17"/>
              </w:rPr>
              <w:t>Issue mutual NDA in standard form</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5726"/>
          </w:tcPr>
          <w:p>
            <w:pPr>
              <w:spacing w:after="50" w:before="50" w:line="252" w:lineRule="auto"/>
            </w:pPr>
            <w:r>
              <w:rPr>
                <w:sz w:val="17"/>
              </w:rPr>
              <w:t>Negotiate NDA departing from standard form</w:t>
            </w:r>
          </w:p>
        </w:tc>
        <w:tc>
          <w:tcPr>
            <w:tcW w:type="dxa" w:w="850"/>
          </w:tcPr>
          <w:p>
            <w:pPr>
              <w:spacing w:after="50" w:before="50" w:line="252" w:lineRule="auto"/>
            </w:pPr>
            <w:r>
              <w:rPr>
                <w:sz w:val="17"/>
              </w:rPr>
              <w:t>—</w:t>
            </w:r>
          </w:p>
        </w:tc>
        <w:tc>
          <w:tcPr>
            <w:tcW w:type="dxa" w:w="850"/>
          </w:tcPr>
          <w:p>
            <w:pPr>
              <w:spacing w:after="50" w:before="50" w:line="252" w:lineRule="auto"/>
            </w:pPr>
            <w:r>
              <w:rPr>
                <w:sz w:val="17"/>
              </w:rPr>
              <w:t>C</w:t>
            </w:r>
          </w:p>
        </w:tc>
        <w:tc>
          <w:tcPr>
            <w:tcW w:type="dxa" w:w="850"/>
          </w:tcPr>
          <w:p>
            <w:pPr>
              <w:spacing w:after="50" w:before="50" w:line="252" w:lineRule="auto"/>
            </w:pPr>
            <w:r>
              <w:rPr>
                <w:sz w:val="17"/>
              </w:rPr>
              <w:t>✔</w:t>
            </w:r>
          </w:p>
        </w:tc>
        <w:tc>
          <w:tcPr>
            <w:tcW w:type="dxa" w:w="850"/>
          </w:tcPr>
          <w:p>
            <w:pPr>
              <w:spacing w:after="50" w:before="50" w:line="252" w:lineRule="auto"/>
            </w:pPr>
            <w:r>
              <w:rPr>
                <w:sz w:val="17"/>
              </w:rPr>
              <w:t>I</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5726"/>
            <w:shd w:val="clear" w:color="auto" w:fill="EAF1F4"/>
          </w:tcPr>
          <w:p>
            <w:pPr>
              <w:spacing w:after="50" w:before="50" w:line="252" w:lineRule="auto"/>
            </w:pPr>
            <w:r>
              <w:rPr>
                <w:sz w:val="17"/>
              </w:rPr>
              <w:t>Sign Tier 3 MOU, standard form, no financial commitment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5726"/>
          </w:tcPr>
          <w:p>
            <w:pPr>
              <w:spacing w:after="50" w:before="50" w:line="252" w:lineRule="auto"/>
            </w:pPr>
            <w:r>
              <w:rPr>
                <w:sz w:val="17"/>
              </w:rPr>
              <w:t>Sign Tier 2 MOU, standard form and standard schedules</w:t>
            </w:r>
          </w:p>
        </w:tc>
        <w:tc>
          <w:tcPr>
            <w:tcW w:type="dxa" w:w="850"/>
          </w:tcPr>
          <w:p>
            <w:pPr>
              <w:spacing w:after="50" w:before="50" w:line="252" w:lineRule="auto"/>
            </w:pPr>
            <w:r>
              <w:rPr>
                <w:sz w:val="17"/>
              </w:rPr>
              <w:t>—</w:t>
            </w:r>
          </w:p>
        </w:tc>
        <w:tc>
          <w:tcPr>
            <w:tcW w:type="dxa" w:w="850"/>
          </w:tcPr>
          <w:p>
            <w:pPr>
              <w:spacing w:after="50" w:before="50" w:line="252" w:lineRule="auto"/>
            </w:pPr>
            <w:r>
              <w:rPr>
                <w:sz w:val="17"/>
              </w:rPr>
              <w:t>R</w:t>
            </w:r>
          </w:p>
        </w:tc>
        <w:tc>
          <w:tcPr>
            <w:tcW w:type="dxa" w:w="850"/>
          </w:tcPr>
          <w:p>
            <w:pPr>
              <w:spacing w:after="50" w:before="50" w:line="252" w:lineRule="auto"/>
            </w:pPr>
            <w:r>
              <w:rPr>
                <w:sz w:val="17"/>
              </w:rPr>
              <w:t>C</w:t>
            </w:r>
          </w:p>
        </w:tc>
        <w:tc>
          <w:tcPr>
            <w:tcW w:type="dxa" w:w="850"/>
          </w:tcPr>
          <w:p>
            <w:pPr>
              <w:spacing w:after="50" w:before="50" w:line="252" w:lineRule="auto"/>
            </w:pPr>
            <w:r>
              <w:rPr>
                <w:sz w:val="17"/>
              </w:rPr>
              <w:t>✔</w:t>
            </w:r>
          </w:p>
        </w:tc>
        <w:tc>
          <w:tcPr>
            <w:tcW w:type="dxa" w:w="850"/>
          </w:tcPr>
          <w:p>
            <w:pPr>
              <w:spacing w:after="50" w:before="50" w:line="252" w:lineRule="auto"/>
            </w:pPr>
            <w:r>
              <w:rPr>
                <w:sz w:val="17"/>
              </w:rPr>
              <w:t>I</w:t>
            </w:r>
          </w:p>
        </w:tc>
        <w:tc>
          <w:tcPr>
            <w:tcW w:type="dxa" w:w="850"/>
          </w:tcPr>
          <w:p>
            <w:pPr>
              <w:spacing w:after="50" w:before="50" w:line="252" w:lineRule="auto"/>
            </w:pPr>
            <w:r>
              <w:rPr>
                <w:sz w:val="17"/>
              </w:rPr>
              <w:t>—</w:t>
            </w:r>
          </w:p>
        </w:tc>
      </w:tr>
      <w:tr>
        <w:tc>
          <w:tcPr>
            <w:tcW w:type="dxa" w:w="5726"/>
            <w:shd w:val="clear" w:color="auto" w:fill="EAF1F4"/>
          </w:tcPr>
          <w:p>
            <w:pPr>
              <w:spacing w:after="50" w:before="50" w:line="252" w:lineRule="auto"/>
            </w:pPr>
            <w:r>
              <w:rPr>
                <w:sz w:val="17"/>
              </w:rPr>
              <w:t>Sign Tier 1 MOU</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I</w:t>
            </w:r>
          </w:p>
        </w:tc>
      </w:tr>
      <w:tr>
        <w:tc>
          <w:tcPr>
            <w:tcW w:type="dxa" w:w="5726"/>
          </w:tcPr>
          <w:p>
            <w:pPr>
              <w:spacing w:after="50" w:before="50" w:line="252" w:lineRule="auto"/>
            </w:pPr>
            <w:r>
              <w:rPr>
                <w:sz w:val="17"/>
              </w:rPr>
              <w:t>Any amendment to the Master MOU body text</w:t>
            </w:r>
          </w:p>
        </w:tc>
        <w:tc>
          <w:tcPr>
            <w:tcW w:type="dxa" w:w="850"/>
          </w:tcPr>
          <w:p>
            <w:pPr>
              <w:spacing w:after="50" w:before="50" w:line="252" w:lineRule="auto"/>
            </w:pPr>
            <w:r>
              <w:rPr>
                <w:sz w:val="17"/>
              </w:rPr>
              <w:t>—</w:t>
            </w:r>
          </w:p>
        </w:tc>
        <w:tc>
          <w:tcPr>
            <w:tcW w:type="dxa" w:w="850"/>
          </w:tcPr>
          <w:p>
            <w:pPr>
              <w:spacing w:after="50" w:before="50" w:line="252" w:lineRule="auto"/>
            </w:pPr>
            <w:r>
              <w:rPr>
                <w:sz w:val="17"/>
              </w:rPr>
              <w:t>R</w:t>
            </w:r>
          </w:p>
        </w:tc>
        <w:tc>
          <w:tcPr>
            <w:tcW w:type="dxa" w:w="850"/>
          </w:tcPr>
          <w:p>
            <w:pPr>
              <w:spacing w:after="50" w:before="50" w:line="252" w:lineRule="auto"/>
            </w:pPr>
            <w:r>
              <w:rPr>
                <w:sz w:val="17"/>
              </w:rPr>
              <w:t>R</w:t>
            </w:r>
          </w:p>
        </w:tc>
        <w:tc>
          <w:tcPr>
            <w:tcW w:type="dxa" w:w="850"/>
          </w:tcPr>
          <w:p>
            <w:pPr>
              <w:spacing w:after="50" w:before="50" w:line="252" w:lineRule="auto"/>
            </w:pPr>
            <w:r>
              <w:rPr>
                <w:sz w:val="17"/>
              </w:rPr>
              <w:t>R</w:t>
            </w:r>
          </w:p>
        </w:tc>
        <w:tc>
          <w:tcPr>
            <w:tcW w:type="dxa" w:w="850"/>
          </w:tcPr>
          <w:p>
            <w:pPr>
              <w:spacing w:after="50" w:before="50" w:line="252" w:lineRule="auto"/>
            </w:pPr>
            <w:r>
              <w:rPr>
                <w:sz w:val="17"/>
              </w:rPr>
              <w:t>✔</w:t>
            </w:r>
          </w:p>
        </w:tc>
        <w:tc>
          <w:tcPr>
            <w:tcW w:type="dxa" w:w="850"/>
          </w:tcPr>
          <w:p>
            <w:pPr>
              <w:spacing w:after="50" w:before="50" w:line="252" w:lineRule="auto"/>
            </w:pPr>
            <w:r>
              <w:rPr>
                <w:sz w:val="17"/>
              </w:rPr>
              <w:t>I</w:t>
            </w:r>
          </w:p>
        </w:tc>
      </w:tr>
      <w:tr>
        <w:tc>
          <w:tcPr>
            <w:tcW w:type="dxa" w:w="5726"/>
            <w:shd w:val="clear" w:color="auto" w:fill="EAF1F4"/>
          </w:tcPr>
          <w:p>
            <w:pPr>
              <w:spacing w:after="50" w:before="50" w:line="252" w:lineRule="auto"/>
            </w:pPr>
            <w:r>
              <w:rPr>
                <w:sz w:val="17"/>
              </w:rPr>
              <w:t>Any new or non-standard schedule</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w:t>
            </w:r>
          </w:p>
        </w:tc>
      </w:tr>
      <w:tr>
        <w:tc>
          <w:tcPr>
            <w:tcW w:type="dxa" w:w="5726"/>
          </w:tcPr>
          <w:p>
            <w:pPr>
              <w:spacing w:after="50" w:before="50" w:line="252" w:lineRule="auto"/>
            </w:pPr>
            <w:r>
              <w:rPr>
                <w:sz w:val="17"/>
              </w:rPr>
              <w:t>Any exclusivity commitment</w:t>
            </w:r>
          </w:p>
        </w:tc>
        <w:tc>
          <w:tcPr>
            <w:tcW w:type="dxa" w:w="850"/>
          </w:tcPr>
          <w:p>
            <w:pPr>
              <w:spacing w:after="50" w:before="50" w:line="252" w:lineRule="auto"/>
            </w:pPr>
            <w:r>
              <w:rPr>
                <w:sz w:val="17"/>
              </w:rPr>
              <w:t>—</w:t>
            </w:r>
          </w:p>
        </w:tc>
        <w:tc>
          <w:tcPr>
            <w:tcW w:type="dxa" w:w="850"/>
          </w:tcPr>
          <w:p>
            <w:pPr>
              <w:spacing w:after="50" w:before="50" w:line="252" w:lineRule="auto"/>
            </w:pPr>
            <w:r>
              <w:rPr>
                <w:sz w:val="17"/>
              </w:rPr>
              <w:t>R</w:t>
            </w:r>
          </w:p>
        </w:tc>
        <w:tc>
          <w:tcPr>
            <w:tcW w:type="dxa" w:w="850"/>
          </w:tcPr>
          <w:p>
            <w:pPr>
              <w:spacing w:after="50" w:before="50" w:line="252" w:lineRule="auto"/>
            </w:pPr>
            <w:r>
              <w:rPr>
                <w:sz w:val="17"/>
              </w:rPr>
              <w:t>R</w:t>
            </w:r>
          </w:p>
        </w:tc>
        <w:tc>
          <w:tcPr>
            <w:tcW w:type="dxa" w:w="850"/>
          </w:tcPr>
          <w:p>
            <w:pPr>
              <w:spacing w:after="50" w:before="50" w:line="252" w:lineRule="auto"/>
            </w:pPr>
            <w:r>
              <w:rPr>
                <w:sz w:val="17"/>
              </w:rPr>
              <w:t>R</w:t>
            </w:r>
          </w:p>
        </w:tc>
        <w:tc>
          <w:tcPr>
            <w:tcW w:type="dxa" w:w="850"/>
          </w:tcPr>
          <w:p>
            <w:pPr>
              <w:spacing w:after="50" w:before="50" w:line="252" w:lineRule="auto"/>
            </w:pPr>
            <w:r>
              <w:rPr>
                <w:sz w:val="17"/>
              </w:rPr>
              <w:t>✔</w:t>
            </w:r>
          </w:p>
        </w:tc>
        <w:tc>
          <w:tcPr>
            <w:tcW w:type="dxa" w:w="850"/>
          </w:tcPr>
          <w:p>
            <w:pPr>
              <w:spacing w:after="50" w:before="50" w:line="252" w:lineRule="auto"/>
            </w:pPr>
            <w:r>
              <w:rPr>
                <w:sz w:val="17"/>
              </w:rPr>
              <w:t>I</w:t>
            </w:r>
          </w:p>
        </w:tc>
      </w:tr>
      <w:tr>
        <w:tc>
          <w:tcPr>
            <w:tcW w:type="dxa" w:w="5726"/>
            <w:shd w:val="clear" w:color="auto" w:fill="EAF1F4"/>
          </w:tcPr>
          <w:p>
            <w:pPr>
              <w:spacing w:after="50" w:before="50" w:line="252" w:lineRule="auto"/>
            </w:pPr>
            <w:r>
              <w:rPr>
                <w:sz w:val="17"/>
              </w:rPr>
              <w:t>Term exceeding 5 years</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w:t>
            </w:r>
          </w:p>
        </w:tc>
      </w:tr>
      <w:tr>
        <w:tc>
          <w:tcPr>
            <w:tcW w:type="dxa" w:w="5726"/>
          </w:tcPr>
          <w:p>
            <w:pPr>
              <w:spacing w:after="50" w:before="50" w:line="252" w:lineRule="auto"/>
            </w:pPr>
            <w:r>
              <w:rPr>
                <w:sz w:val="17"/>
              </w:rPr>
              <w:t>Indemnity, or any cap on liability above the standard cap</w:t>
            </w:r>
          </w:p>
        </w:tc>
        <w:tc>
          <w:tcPr>
            <w:tcW w:type="dxa" w:w="850"/>
          </w:tcPr>
          <w:p>
            <w:pPr>
              <w:spacing w:after="50" w:before="50" w:line="252" w:lineRule="auto"/>
            </w:pPr>
            <w:r>
              <w:rPr>
                <w:sz w:val="17"/>
              </w:rPr>
              <w:t>—</w:t>
            </w:r>
          </w:p>
        </w:tc>
        <w:tc>
          <w:tcPr>
            <w:tcW w:type="dxa" w:w="850"/>
          </w:tcPr>
          <w:p>
            <w:pPr>
              <w:spacing w:after="50" w:before="50" w:line="252" w:lineRule="auto"/>
            </w:pPr>
            <w:r>
              <w:rPr>
                <w:sz w:val="17"/>
              </w:rPr>
              <w:t>R</w:t>
            </w:r>
          </w:p>
        </w:tc>
        <w:tc>
          <w:tcPr>
            <w:tcW w:type="dxa" w:w="850"/>
          </w:tcPr>
          <w:p>
            <w:pPr>
              <w:spacing w:after="50" w:before="50" w:line="252" w:lineRule="auto"/>
            </w:pPr>
            <w:r>
              <w:rPr>
                <w:sz w:val="17"/>
              </w:rPr>
              <w:t>✔</w:t>
            </w:r>
          </w:p>
        </w:tc>
        <w:tc>
          <w:tcPr>
            <w:tcW w:type="dxa" w:w="850"/>
          </w:tcPr>
          <w:p>
            <w:pPr>
              <w:spacing w:after="50" w:before="50" w:line="252" w:lineRule="auto"/>
            </w:pPr>
            <w:r>
              <w:rPr>
                <w:sz w:val="17"/>
              </w:rPr>
              <w:t>R</w:t>
            </w:r>
          </w:p>
        </w:tc>
        <w:tc>
          <w:tcPr>
            <w:tcW w:type="dxa" w:w="850"/>
          </w:tcPr>
          <w:p>
            <w:pPr>
              <w:spacing w:after="50" w:before="50" w:line="252" w:lineRule="auto"/>
            </w:pPr>
            <w:r>
              <w:rPr>
                <w:sz w:val="17"/>
              </w:rPr>
              <w:t>I</w:t>
            </w:r>
          </w:p>
        </w:tc>
        <w:tc>
          <w:tcPr>
            <w:tcW w:type="dxa" w:w="850"/>
          </w:tcPr>
          <w:p>
            <w:pPr>
              <w:spacing w:after="50" w:before="50" w:line="252" w:lineRule="auto"/>
            </w:pPr>
            <w:r>
              <w:rPr>
                <w:sz w:val="17"/>
              </w:rPr>
              <w:t>—</w:t>
            </w:r>
          </w:p>
        </w:tc>
      </w:tr>
      <w:tr>
        <w:tc>
          <w:tcPr>
            <w:tcW w:type="dxa" w:w="5726"/>
            <w:shd w:val="clear" w:color="auto" w:fill="EAF1F4"/>
          </w:tcPr>
          <w:p>
            <w:pPr>
              <w:spacing w:after="50" w:before="50" w:line="252" w:lineRule="auto"/>
            </w:pPr>
            <w:r>
              <w:rPr>
                <w:sz w:val="17"/>
              </w:rPr>
              <w:t>Assignment of Equator intellectual property</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I</w:t>
            </w:r>
          </w:p>
        </w:tc>
      </w:tr>
      <w:tr>
        <w:tc>
          <w:tcPr>
            <w:tcW w:type="dxa" w:w="5726"/>
          </w:tcPr>
          <w:p>
            <w:pPr>
              <w:spacing w:after="50" w:before="50" w:line="252" w:lineRule="auto"/>
            </w:pPr>
            <w:r>
              <w:rPr>
                <w:sz w:val="17"/>
              </w:rPr>
              <w:t>Partnership outside India</w:t>
            </w:r>
          </w:p>
        </w:tc>
        <w:tc>
          <w:tcPr>
            <w:tcW w:type="dxa" w:w="850"/>
          </w:tcPr>
          <w:p>
            <w:pPr>
              <w:spacing w:after="50" w:before="50" w:line="252" w:lineRule="auto"/>
            </w:pPr>
            <w:r>
              <w:rPr>
                <w:sz w:val="17"/>
              </w:rPr>
              <w:t>—</w:t>
            </w:r>
          </w:p>
        </w:tc>
        <w:tc>
          <w:tcPr>
            <w:tcW w:type="dxa" w:w="850"/>
          </w:tcPr>
          <w:p>
            <w:pPr>
              <w:spacing w:after="50" w:before="50" w:line="252" w:lineRule="auto"/>
            </w:pPr>
            <w:r>
              <w:rPr>
                <w:sz w:val="17"/>
              </w:rPr>
              <w:t>R</w:t>
            </w:r>
          </w:p>
        </w:tc>
        <w:tc>
          <w:tcPr>
            <w:tcW w:type="dxa" w:w="850"/>
          </w:tcPr>
          <w:p>
            <w:pPr>
              <w:spacing w:after="50" w:before="50" w:line="252" w:lineRule="auto"/>
            </w:pPr>
            <w:r>
              <w:rPr>
                <w:sz w:val="17"/>
              </w:rPr>
              <w:t>R</w:t>
            </w:r>
          </w:p>
        </w:tc>
        <w:tc>
          <w:tcPr>
            <w:tcW w:type="dxa" w:w="850"/>
          </w:tcPr>
          <w:p>
            <w:pPr>
              <w:spacing w:after="50" w:before="50" w:line="252" w:lineRule="auto"/>
            </w:pPr>
            <w:r>
              <w:rPr>
                <w:sz w:val="17"/>
              </w:rPr>
              <w:t>R</w:t>
            </w:r>
          </w:p>
        </w:tc>
        <w:tc>
          <w:tcPr>
            <w:tcW w:type="dxa" w:w="850"/>
          </w:tcPr>
          <w:p>
            <w:pPr>
              <w:spacing w:after="50" w:before="50" w:line="252" w:lineRule="auto"/>
            </w:pPr>
            <w:r>
              <w:rPr>
                <w:sz w:val="17"/>
              </w:rPr>
              <w:t>R</w:t>
            </w:r>
          </w:p>
        </w:tc>
        <w:tc>
          <w:tcPr>
            <w:tcW w:type="dxa" w:w="850"/>
          </w:tcPr>
          <w:p>
            <w:pPr>
              <w:spacing w:after="50" w:before="50" w:line="252" w:lineRule="auto"/>
            </w:pPr>
            <w:r>
              <w:rPr>
                <w:sz w:val="17"/>
              </w:rPr>
              <w:t>✔</w:t>
            </w:r>
          </w:p>
        </w:tc>
      </w:tr>
      <w:tr>
        <w:tc>
          <w:tcPr>
            <w:tcW w:type="dxa" w:w="5726"/>
            <w:shd w:val="clear" w:color="auto" w:fill="EAF1F4"/>
          </w:tcPr>
          <w:p>
            <w:pPr>
              <w:spacing w:after="50" w:before="50" w:line="252" w:lineRule="auto"/>
            </w:pPr>
            <w:r>
              <w:rPr>
                <w:sz w:val="17"/>
              </w:rPr>
              <w:t>Termination of a Tier 1 partnership</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I</w:t>
            </w:r>
          </w:p>
        </w:tc>
      </w:tr>
    </w:tbl>
    <w:p>
      <w:pPr>
        <w:spacing w:after="80" w:before="0"/>
      </w:pPr>
    </w:p>
    <w:p>
      <w:r>
        <w:t>✔ = approves · R = recommends · C = must be consulted · I = informed</w:t>
      </w:r>
    </w:p>
    <w:p>
      <w:pPr>
        <w:spacing w:before="80" w:after="160"/>
        <w:pBdr>
          <w:bottom w:val="single" w:sz="6" w:space="1" w:color="C9D6DE"/>
        </w:pBdr>
      </w:pPr>
    </w:p>
    <w:p>
      <w:pPr>
        <w:pStyle w:val="Heading1"/>
        <w:pBdr>
          <w:bottom w:val="single" w:sz="8" w:space="4" w:color="C9D6DE"/>
        </w:pBdr>
      </w:pPr>
      <w:r>
        <w:t>4. Financial authority</w:t>
      </w:r>
    </w:p>
    <w:p>
      <w:r>
        <w:t>Values are per transaction or per annum as indicated, exclusive of GST.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863"/>
            <w:shd w:val="clear" w:color="auto" w:fill="10375C"/>
          </w:tcPr>
          <w:p>
            <w:pPr>
              <w:spacing w:after="50" w:before="50"/>
            </w:pPr>
            <w:r>
              <w:rPr>
                <w:b/>
                <w:color w:val="FFFFFF"/>
                <w:sz w:val="17"/>
              </w:rPr>
              <w:t>Matter</w:t>
            </w:r>
          </w:p>
        </w:tc>
        <w:tc>
          <w:tcPr>
            <w:tcW w:type="dxa" w:w="1879"/>
            <w:shd w:val="clear" w:color="auto" w:fill="10375C"/>
          </w:tcPr>
          <w:p>
            <w:pPr>
              <w:spacing w:after="50" w:before="50"/>
            </w:pPr>
            <w:r>
              <w:rPr>
                <w:b/>
                <w:color w:val="FFFFFF"/>
                <w:sz w:val="17"/>
              </w:rPr>
              <w:t>Threshold</w:t>
            </w:r>
          </w:p>
        </w:tc>
        <w:tc>
          <w:tcPr>
            <w:tcW w:type="dxa" w:w="2725"/>
            <w:shd w:val="clear" w:color="auto" w:fill="10375C"/>
          </w:tcPr>
          <w:p>
            <w:pPr>
              <w:spacing w:after="50" w:before="50"/>
            </w:pPr>
            <w:r>
              <w:rPr>
                <w:b/>
                <w:color w:val="FFFFFF"/>
                <w:sz w:val="17"/>
              </w:rPr>
              <w:t>Approval</w:t>
            </w:r>
          </w:p>
        </w:tc>
      </w:tr>
      <w:tr>
        <w:tc>
          <w:tcPr>
            <w:tcW w:type="dxa" w:w="4863"/>
          </w:tcPr>
          <w:p>
            <w:pPr>
              <w:spacing w:after="50" w:before="50" w:line="252" w:lineRule="auto"/>
            </w:pPr>
            <w:r>
              <w:rPr>
                <w:sz w:val="17"/>
              </w:rPr>
              <w:t>Quotation at rate card, no discount</w:t>
            </w:r>
          </w:p>
        </w:tc>
        <w:tc>
          <w:tcPr>
            <w:tcW w:type="dxa" w:w="1879"/>
          </w:tcPr>
          <w:p>
            <w:pPr>
              <w:spacing w:after="50" w:before="50" w:line="252" w:lineRule="auto"/>
            </w:pPr>
            <w:r>
              <w:rPr>
                <w:sz w:val="17"/>
              </w:rPr>
              <w:t>Any</w:t>
            </w:r>
          </w:p>
        </w:tc>
        <w:tc>
          <w:tcPr>
            <w:tcW w:type="dxa" w:w="2725"/>
          </w:tcPr>
          <w:p>
            <w:pPr>
              <w:spacing w:after="50" w:before="50" w:line="252" w:lineRule="auto"/>
            </w:pPr>
            <w:r>
              <w:rPr>
                <w:sz w:val="17"/>
              </w:rPr>
              <w:t>BD</w:t>
            </w:r>
          </w:p>
        </w:tc>
      </w:tr>
      <w:tr>
        <w:tc>
          <w:tcPr>
            <w:tcW w:type="dxa" w:w="4863"/>
            <w:shd w:val="clear" w:color="auto" w:fill="EAF1F4"/>
          </w:tcPr>
          <w:p>
            <w:pPr>
              <w:spacing w:after="50" w:before="50" w:line="252" w:lineRule="auto"/>
            </w:pPr>
            <w:r>
              <w:rPr>
                <w:sz w:val="17"/>
              </w:rPr>
              <w:t>Discount up to 10% of rate card</w:t>
            </w:r>
          </w:p>
        </w:tc>
        <w:tc>
          <w:tcPr>
            <w:tcW w:type="dxa" w:w="1879"/>
            <w:shd w:val="clear" w:color="auto" w:fill="EAF1F4"/>
          </w:tcPr>
          <w:p>
            <w:pPr>
              <w:spacing w:after="50" w:before="50" w:line="252" w:lineRule="auto"/>
            </w:pPr>
            <w:r>
              <w:rPr>
                <w:sz w:val="17"/>
              </w:rPr>
              <w:t>Any</w:t>
            </w:r>
          </w:p>
        </w:tc>
        <w:tc>
          <w:tcPr>
            <w:tcW w:type="dxa" w:w="2725"/>
            <w:shd w:val="clear" w:color="auto" w:fill="EAF1F4"/>
          </w:tcPr>
          <w:p>
            <w:pPr>
              <w:spacing w:after="50" w:before="50" w:line="252" w:lineRule="auto"/>
            </w:pPr>
            <w:r>
              <w:rPr>
                <w:sz w:val="17"/>
              </w:rPr>
              <w:t>PD</w:t>
            </w:r>
          </w:p>
        </w:tc>
      </w:tr>
      <w:tr>
        <w:tc>
          <w:tcPr>
            <w:tcW w:type="dxa" w:w="4863"/>
          </w:tcPr>
          <w:p>
            <w:pPr>
              <w:spacing w:after="50" w:before="50" w:line="252" w:lineRule="auto"/>
            </w:pPr>
            <w:r>
              <w:rPr>
                <w:sz w:val="17"/>
              </w:rPr>
              <w:t>Discount 10.01% to 25%</w:t>
            </w:r>
          </w:p>
        </w:tc>
        <w:tc>
          <w:tcPr>
            <w:tcW w:type="dxa" w:w="1879"/>
          </w:tcPr>
          <w:p>
            <w:pPr>
              <w:spacing w:after="50" w:before="50" w:line="252" w:lineRule="auto"/>
            </w:pPr>
            <w:r>
              <w:rPr>
                <w:sz w:val="17"/>
              </w:rPr>
              <w:t>Any</w:t>
            </w:r>
          </w:p>
        </w:tc>
        <w:tc>
          <w:tcPr>
            <w:tcW w:type="dxa" w:w="2725"/>
          </w:tcPr>
          <w:p>
            <w:pPr>
              <w:spacing w:after="50" w:before="50" w:line="252" w:lineRule="auto"/>
            </w:pPr>
            <w:r>
              <w:rPr>
                <w:sz w:val="17"/>
              </w:rPr>
              <w:t>PD and FC jointly</w:t>
            </w:r>
          </w:p>
        </w:tc>
      </w:tr>
      <w:tr>
        <w:tc>
          <w:tcPr>
            <w:tcW w:type="dxa" w:w="4863"/>
            <w:shd w:val="clear" w:color="auto" w:fill="EAF1F4"/>
          </w:tcPr>
          <w:p>
            <w:pPr>
              <w:spacing w:after="50" w:before="50" w:line="252" w:lineRule="auto"/>
            </w:pPr>
            <w:r>
              <w:rPr>
                <w:sz w:val="17"/>
              </w:rPr>
              <w:t>Discount above 25%, or delivery below the published floor price</w:t>
            </w:r>
          </w:p>
        </w:tc>
        <w:tc>
          <w:tcPr>
            <w:tcW w:type="dxa" w:w="1879"/>
            <w:shd w:val="clear" w:color="auto" w:fill="EAF1F4"/>
          </w:tcPr>
          <w:p>
            <w:pPr>
              <w:spacing w:after="50" w:before="50" w:line="252" w:lineRule="auto"/>
            </w:pPr>
            <w:r>
              <w:rPr>
                <w:sz w:val="17"/>
              </w:rPr>
              <w:t>Any</w:t>
            </w:r>
          </w:p>
        </w:tc>
        <w:tc>
          <w:tcPr>
            <w:tcW w:type="dxa" w:w="2725"/>
            <w:shd w:val="clear" w:color="auto" w:fill="EAF1F4"/>
          </w:tcPr>
          <w:p>
            <w:pPr>
              <w:spacing w:after="50" w:before="50" w:line="252" w:lineRule="auto"/>
            </w:pPr>
            <w:r>
              <w:rPr>
                <w:sz w:val="17"/>
              </w:rPr>
              <w:t>PB</w:t>
            </w:r>
          </w:p>
        </w:tc>
      </w:tr>
      <w:tr>
        <w:tc>
          <w:tcPr>
            <w:tcW w:type="dxa" w:w="4863"/>
          </w:tcPr>
          <w:p>
            <w:pPr>
              <w:spacing w:after="50" w:before="50" w:line="252" w:lineRule="auto"/>
            </w:pPr>
            <w:r>
              <w:rPr>
                <w:sz w:val="17"/>
              </w:rPr>
              <w:t>Free delivery of a listed loss-leader within stated limits</w:t>
            </w:r>
          </w:p>
        </w:tc>
        <w:tc>
          <w:tcPr>
            <w:tcW w:type="dxa" w:w="1879"/>
          </w:tcPr>
          <w:p>
            <w:pPr>
              <w:spacing w:after="50" w:before="50" w:line="252" w:lineRule="auto"/>
            </w:pPr>
            <w:r>
              <w:rPr>
                <w:sz w:val="17"/>
              </w:rPr>
              <w:t>Per 01.1 s.4.2</w:t>
            </w:r>
          </w:p>
        </w:tc>
        <w:tc>
          <w:tcPr>
            <w:tcW w:type="dxa" w:w="2725"/>
          </w:tcPr>
          <w:p>
            <w:pPr>
              <w:spacing w:after="50" w:before="50" w:line="252" w:lineRule="auto"/>
            </w:pPr>
            <w:r>
              <w:rPr>
                <w:sz w:val="17"/>
              </w:rPr>
              <w:t>BD</w:t>
            </w:r>
          </w:p>
        </w:tc>
      </w:tr>
      <w:tr>
        <w:tc>
          <w:tcPr>
            <w:tcW w:type="dxa" w:w="4863"/>
            <w:shd w:val="clear" w:color="auto" w:fill="EAF1F4"/>
          </w:tcPr>
          <w:p>
            <w:pPr>
              <w:spacing w:after="50" w:before="50" w:line="252" w:lineRule="auto"/>
            </w:pPr>
            <w:r>
              <w:rPr>
                <w:sz w:val="17"/>
              </w:rPr>
              <w:t>Free delivery of any other programme</w:t>
            </w:r>
          </w:p>
        </w:tc>
        <w:tc>
          <w:tcPr>
            <w:tcW w:type="dxa" w:w="1879"/>
            <w:shd w:val="clear" w:color="auto" w:fill="EAF1F4"/>
          </w:tcPr>
          <w:p>
            <w:pPr>
              <w:spacing w:after="50" w:before="50" w:line="252" w:lineRule="auto"/>
            </w:pPr>
            <w:r>
              <w:rPr>
                <w:sz w:val="17"/>
              </w:rPr>
              <w:t>Any</w:t>
            </w:r>
          </w:p>
        </w:tc>
        <w:tc>
          <w:tcPr>
            <w:tcW w:type="dxa" w:w="2725"/>
            <w:shd w:val="clear" w:color="auto" w:fill="EAF1F4"/>
          </w:tcPr>
          <w:p>
            <w:pPr>
              <w:spacing w:after="50" w:before="50" w:line="252" w:lineRule="auto"/>
            </w:pPr>
            <w:r>
              <w:rPr>
                <w:sz w:val="17"/>
              </w:rPr>
              <w:t>PB</w:t>
            </w:r>
          </w:p>
        </w:tc>
      </w:tr>
      <w:tr>
        <w:tc>
          <w:tcPr>
            <w:tcW w:type="dxa" w:w="4863"/>
          </w:tcPr>
          <w:p>
            <w:pPr>
              <w:spacing w:after="50" w:before="50" w:line="252" w:lineRule="auto"/>
            </w:pPr>
            <w:r>
              <w:rPr>
                <w:sz w:val="17"/>
              </w:rPr>
              <w:t>Event expenditure</w:t>
            </w:r>
          </w:p>
        </w:tc>
        <w:tc>
          <w:tcPr>
            <w:tcW w:type="dxa" w:w="1879"/>
          </w:tcPr>
          <w:p>
            <w:pPr>
              <w:spacing w:after="50" w:before="50" w:line="252" w:lineRule="auto"/>
            </w:pPr>
            <w:r>
              <w:rPr>
                <w:sz w:val="17"/>
              </w:rPr>
              <w:t>Up to ₹75,000</w:t>
            </w:r>
          </w:p>
        </w:tc>
        <w:tc>
          <w:tcPr>
            <w:tcW w:type="dxa" w:w="2725"/>
          </w:tcPr>
          <w:p>
            <w:pPr>
              <w:spacing w:after="50" w:before="50" w:line="252" w:lineRule="auto"/>
            </w:pPr>
            <w:r>
              <w:rPr>
                <w:sz w:val="17"/>
              </w:rPr>
              <w:t>Manager, Operations</w:t>
            </w:r>
          </w:p>
        </w:tc>
      </w:tr>
      <w:tr>
        <w:tc>
          <w:tcPr>
            <w:tcW w:type="dxa" w:w="4863"/>
            <w:shd w:val="clear" w:color="auto" w:fill="EAF1F4"/>
          </w:tcPr>
          <w:p>
            <w:pPr>
              <w:spacing w:after="50" w:before="50" w:line="252" w:lineRule="auto"/>
            </w:pPr>
            <w:r>
              <w:rPr>
                <w:sz w:val="17"/>
              </w:rPr>
              <w:t>Event expenditure</w:t>
            </w:r>
          </w:p>
        </w:tc>
        <w:tc>
          <w:tcPr>
            <w:tcW w:type="dxa" w:w="1879"/>
            <w:shd w:val="clear" w:color="auto" w:fill="EAF1F4"/>
          </w:tcPr>
          <w:p>
            <w:pPr>
              <w:spacing w:after="50" w:before="50" w:line="252" w:lineRule="auto"/>
            </w:pPr>
            <w:r>
              <w:rPr>
                <w:sz w:val="17"/>
              </w:rPr>
              <w:t>₹75,001 to ₹3,00,000</w:t>
            </w:r>
          </w:p>
        </w:tc>
        <w:tc>
          <w:tcPr>
            <w:tcW w:type="dxa" w:w="2725"/>
            <w:shd w:val="clear" w:color="auto" w:fill="EAF1F4"/>
          </w:tcPr>
          <w:p>
            <w:pPr>
              <w:spacing w:after="50" w:before="50" w:line="252" w:lineRule="auto"/>
            </w:pPr>
            <w:r>
              <w:rPr>
                <w:sz w:val="17"/>
              </w:rPr>
              <w:t>PD</w:t>
            </w:r>
          </w:p>
        </w:tc>
      </w:tr>
      <w:tr>
        <w:tc>
          <w:tcPr>
            <w:tcW w:type="dxa" w:w="4863"/>
          </w:tcPr>
          <w:p>
            <w:pPr>
              <w:spacing w:after="50" w:before="50" w:line="252" w:lineRule="auto"/>
            </w:pPr>
            <w:r>
              <w:rPr>
                <w:sz w:val="17"/>
              </w:rPr>
              <w:t>Event expenditure</w:t>
            </w:r>
          </w:p>
        </w:tc>
        <w:tc>
          <w:tcPr>
            <w:tcW w:type="dxa" w:w="1879"/>
          </w:tcPr>
          <w:p>
            <w:pPr>
              <w:spacing w:after="50" w:before="50" w:line="252" w:lineRule="auto"/>
            </w:pPr>
            <w:r>
              <w:rPr>
                <w:sz w:val="17"/>
              </w:rPr>
              <w:t>₹3,00,001 to ₹10,00,000</w:t>
            </w:r>
          </w:p>
        </w:tc>
        <w:tc>
          <w:tcPr>
            <w:tcW w:type="dxa" w:w="2725"/>
          </w:tcPr>
          <w:p>
            <w:pPr>
              <w:spacing w:after="50" w:before="50" w:line="252" w:lineRule="auto"/>
            </w:pPr>
            <w:r>
              <w:rPr>
                <w:sz w:val="17"/>
              </w:rPr>
              <w:t>PD and FC jointly</w:t>
            </w:r>
          </w:p>
        </w:tc>
      </w:tr>
      <w:tr>
        <w:tc>
          <w:tcPr>
            <w:tcW w:type="dxa" w:w="4863"/>
            <w:shd w:val="clear" w:color="auto" w:fill="EAF1F4"/>
          </w:tcPr>
          <w:p>
            <w:pPr>
              <w:spacing w:after="50" w:before="50" w:line="252" w:lineRule="auto"/>
            </w:pPr>
            <w:r>
              <w:rPr>
                <w:sz w:val="17"/>
              </w:rPr>
              <w:t>Event expenditure</w:t>
            </w:r>
          </w:p>
        </w:tc>
        <w:tc>
          <w:tcPr>
            <w:tcW w:type="dxa" w:w="1879"/>
            <w:shd w:val="clear" w:color="auto" w:fill="EAF1F4"/>
          </w:tcPr>
          <w:p>
            <w:pPr>
              <w:spacing w:after="50" w:before="50" w:line="252" w:lineRule="auto"/>
            </w:pPr>
            <w:r>
              <w:rPr>
                <w:sz w:val="17"/>
              </w:rPr>
              <w:t>Above ₹10,00,000</w:t>
            </w:r>
          </w:p>
        </w:tc>
        <w:tc>
          <w:tcPr>
            <w:tcW w:type="dxa" w:w="2725"/>
            <w:shd w:val="clear" w:color="auto" w:fill="EAF1F4"/>
          </w:tcPr>
          <w:p>
            <w:pPr>
              <w:spacing w:after="50" w:before="50" w:line="252" w:lineRule="auto"/>
            </w:pPr>
            <w:r>
              <w:rPr>
                <w:sz w:val="17"/>
              </w:rPr>
              <w:t>PB</w:t>
            </w:r>
          </w:p>
        </w:tc>
      </w:tr>
      <w:tr>
        <w:tc>
          <w:tcPr>
            <w:tcW w:type="dxa" w:w="4863"/>
          </w:tcPr>
          <w:p>
            <w:pPr>
              <w:spacing w:after="50" w:before="50" w:line="252" w:lineRule="auto"/>
            </w:pPr>
            <w:r>
              <w:rPr>
                <w:sz w:val="17"/>
              </w:rPr>
              <w:t>Trainer fee at bench rate card</w:t>
            </w:r>
          </w:p>
        </w:tc>
        <w:tc>
          <w:tcPr>
            <w:tcW w:type="dxa" w:w="1879"/>
          </w:tcPr>
          <w:p>
            <w:pPr>
              <w:spacing w:after="50" w:before="50" w:line="252" w:lineRule="auto"/>
            </w:pPr>
            <w:r>
              <w:rPr>
                <w:sz w:val="17"/>
              </w:rPr>
              <w:t>Any</w:t>
            </w:r>
          </w:p>
        </w:tc>
        <w:tc>
          <w:tcPr>
            <w:tcW w:type="dxa" w:w="2725"/>
          </w:tcPr>
          <w:p>
            <w:pPr>
              <w:spacing w:after="50" w:before="50" w:line="252" w:lineRule="auto"/>
            </w:pPr>
            <w:r>
              <w:rPr>
                <w:sz w:val="17"/>
              </w:rPr>
              <w:t>HC</w:t>
            </w:r>
          </w:p>
        </w:tc>
      </w:tr>
      <w:tr>
        <w:tc>
          <w:tcPr>
            <w:tcW w:type="dxa" w:w="4863"/>
            <w:shd w:val="clear" w:color="auto" w:fill="EAF1F4"/>
          </w:tcPr>
          <w:p>
            <w:pPr>
              <w:spacing w:after="50" w:before="50" w:line="252" w:lineRule="auto"/>
            </w:pPr>
            <w:r>
              <w:rPr>
                <w:sz w:val="17"/>
              </w:rPr>
              <w:t>Trainer fee above bench rate card</w:t>
            </w:r>
          </w:p>
        </w:tc>
        <w:tc>
          <w:tcPr>
            <w:tcW w:type="dxa" w:w="1879"/>
            <w:shd w:val="clear" w:color="auto" w:fill="EAF1F4"/>
          </w:tcPr>
          <w:p>
            <w:pPr>
              <w:spacing w:after="50" w:before="50" w:line="252" w:lineRule="auto"/>
            </w:pPr>
            <w:r>
              <w:rPr>
                <w:sz w:val="17"/>
              </w:rPr>
              <w:t>Any</w:t>
            </w:r>
          </w:p>
        </w:tc>
        <w:tc>
          <w:tcPr>
            <w:tcW w:type="dxa" w:w="2725"/>
            <w:shd w:val="clear" w:color="auto" w:fill="EAF1F4"/>
          </w:tcPr>
          <w:p>
            <w:pPr>
              <w:spacing w:after="50" w:before="50" w:line="252" w:lineRule="auto"/>
            </w:pPr>
            <w:r>
              <w:rPr>
                <w:sz w:val="17"/>
              </w:rPr>
              <w:t>PD and FC</w:t>
            </w:r>
          </w:p>
        </w:tc>
      </w:tr>
      <w:tr>
        <w:tc>
          <w:tcPr>
            <w:tcW w:type="dxa" w:w="4863"/>
          </w:tcPr>
          <w:p>
            <w:pPr>
              <w:spacing w:after="50" w:before="50" w:line="252" w:lineRule="auto"/>
            </w:pPr>
            <w:r>
              <w:rPr>
                <w:sz w:val="17"/>
              </w:rPr>
              <w:t>Prize money commitment</w:t>
            </w:r>
          </w:p>
        </w:tc>
        <w:tc>
          <w:tcPr>
            <w:tcW w:type="dxa" w:w="1879"/>
          </w:tcPr>
          <w:p>
            <w:pPr>
              <w:spacing w:after="50" w:before="50" w:line="252" w:lineRule="auto"/>
            </w:pPr>
            <w:r>
              <w:rPr>
                <w:sz w:val="17"/>
              </w:rPr>
              <w:t>Up to ₹1,50,000 per edition</w:t>
            </w:r>
          </w:p>
        </w:tc>
        <w:tc>
          <w:tcPr>
            <w:tcW w:type="dxa" w:w="2725"/>
          </w:tcPr>
          <w:p>
            <w:pPr>
              <w:spacing w:after="50" w:before="50" w:line="252" w:lineRule="auto"/>
            </w:pPr>
            <w:r>
              <w:rPr>
                <w:sz w:val="17"/>
              </w:rPr>
              <w:t>PD</w:t>
            </w:r>
          </w:p>
        </w:tc>
      </w:tr>
      <w:tr>
        <w:tc>
          <w:tcPr>
            <w:tcW w:type="dxa" w:w="4863"/>
            <w:shd w:val="clear" w:color="auto" w:fill="EAF1F4"/>
          </w:tcPr>
          <w:p>
            <w:pPr>
              <w:spacing w:after="50" w:before="50" w:line="252" w:lineRule="auto"/>
            </w:pPr>
            <w:r>
              <w:rPr>
                <w:sz w:val="17"/>
              </w:rPr>
              <w:t>Prize money commitment</w:t>
            </w:r>
          </w:p>
        </w:tc>
        <w:tc>
          <w:tcPr>
            <w:tcW w:type="dxa" w:w="1879"/>
            <w:shd w:val="clear" w:color="auto" w:fill="EAF1F4"/>
          </w:tcPr>
          <w:p>
            <w:pPr>
              <w:spacing w:after="50" w:before="50" w:line="252" w:lineRule="auto"/>
            </w:pPr>
            <w:r>
              <w:rPr>
                <w:sz w:val="17"/>
              </w:rPr>
              <w:t>Above ₹1,50,000</w:t>
            </w:r>
          </w:p>
        </w:tc>
        <w:tc>
          <w:tcPr>
            <w:tcW w:type="dxa" w:w="2725"/>
            <w:shd w:val="clear" w:color="auto" w:fill="EAF1F4"/>
          </w:tcPr>
          <w:p>
            <w:pPr>
              <w:spacing w:after="50" w:before="50" w:line="252" w:lineRule="auto"/>
            </w:pPr>
            <w:r>
              <w:rPr>
                <w:sz w:val="17"/>
              </w:rPr>
              <w:t>PB</w:t>
            </w:r>
          </w:p>
        </w:tc>
      </w:tr>
      <w:tr>
        <w:tc>
          <w:tcPr>
            <w:tcW w:type="dxa" w:w="4863"/>
          </w:tcPr>
          <w:p>
            <w:pPr>
              <w:spacing w:after="50" w:before="50" w:line="252" w:lineRule="auto"/>
            </w:pPr>
            <w:r>
              <w:rPr>
                <w:sz w:val="17"/>
              </w:rPr>
              <w:t>Acceptance of sponsorship</w:t>
            </w:r>
          </w:p>
        </w:tc>
        <w:tc>
          <w:tcPr>
            <w:tcW w:type="dxa" w:w="1879"/>
          </w:tcPr>
          <w:p>
            <w:pPr>
              <w:spacing w:after="50" w:before="50" w:line="252" w:lineRule="auto"/>
            </w:pPr>
            <w:r>
              <w:rPr>
                <w:sz w:val="17"/>
              </w:rPr>
              <w:t>Up to ₹5,00,000</w:t>
            </w:r>
          </w:p>
        </w:tc>
        <w:tc>
          <w:tcPr>
            <w:tcW w:type="dxa" w:w="2725"/>
          </w:tcPr>
          <w:p>
            <w:pPr>
              <w:spacing w:after="50" w:before="50" w:line="252" w:lineRule="auto"/>
            </w:pPr>
            <w:r>
              <w:rPr>
                <w:sz w:val="17"/>
              </w:rPr>
              <w:t>PD, subject to sponsor screening</w:t>
            </w:r>
          </w:p>
        </w:tc>
      </w:tr>
      <w:tr>
        <w:tc>
          <w:tcPr>
            <w:tcW w:type="dxa" w:w="4863"/>
            <w:shd w:val="clear" w:color="auto" w:fill="EAF1F4"/>
          </w:tcPr>
          <w:p>
            <w:pPr>
              <w:spacing w:after="50" w:before="50" w:line="252" w:lineRule="auto"/>
            </w:pPr>
            <w:r>
              <w:rPr>
                <w:sz w:val="17"/>
              </w:rPr>
              <w:t>Acceptance of sponsorship</w:t>
            </w:r>
          </w:p>
        </w:tc>
        <w:tc>
          <w:tcPr>
            <w:tcW w:type="dxa" w:w="1879"/>
            <w:shd w:val="clear" w:color="auto" w:fill="EAF1F4"/>
          </w:tcPr>
          <w:p>
            <w:pPr>
              <w:spacing w:after="50" w:before="50" w:line="252" w:lineRule="auto"/>
            </w:pPr>
            <w:r>
              <w:rPr>
                <w:sz w:val="17"/>
              </w:rPr>
              <w:t>Above ₹5,00,000</w:t>
            </w:r>
          </w:p>
        </w:tc>
        <w:tc>
          <w:tcPr>
            <w:tcW w:type="dxa" w:w="2725"/>
            <w:shd w:val="clear" w:color="auto" w:fill="EAF1F4"/>
          </w:tcPr>
          <w:p>
            <w:pPr>
              <w:spacing w:after="50" w:before="50" w:line="252" w:lineRule="auto"/>
            </w:pPr>
            <w:r>
              <w:rPr>
                <w:sz w:val="17"/>
              </w:rPr>
              <w:t>PB</w:t>
            </w:r>
          </w:p>
        </w:tc>
      </w:tr>
      <w:tr>
        <w:tc>
          <w:tcPr>
            <w:tcW w:type="dxa" w:w="4863"/>
          </w:tcPr>
          <w:p>
            <w:pPr>
              <w:spacing w:after="50" w:before="50" w:line="252" w:lineRule="auto"/>
            </w:pPr>
            <w:r>
              <w:rPr>
                <w:sz w:val="17"/>
              </w:rPr>
              <w:t>Capital expenditure on campus facilities</w:t>
            </w:r>
          </w:p>
        </w:tc>
        <w:tc>
          <w:tcPr>
            <w:tcW w:type="dxa" w:w="1879"/>
          </w:tcPr>
          <w:p>
            <w:pPr>
              <w:spacing w:after="50" w:before="50" w:line="252" w:lineRule="auto"/>
            </w:pPr>
            <w:r>
              <w:rPr>
                <w:sz w:val="17"/>
              </w:rPr>
              <w:t>Any</w:t>
            </w:r>
          </w:p>
        </w:tc>
        <w:tc>
          <w:tcPr>
            <w:tcW w:type="dxa" w:w="2725"/>
          </w:tcPr>
          <w:p>
            <w:pPr>
              <w:spacing w:after="50" w:before="50" w:line="252" w:lineRule="auto"/>
            </w:pPr>
            <w:r>
              <w:rPr>
                <w:sz w:val="17"/>
              </w:rPr>
              <w:t>PB, and BRD above ₹15,00,000</w:t>
            </w:r>
          </w:p>
        </w:tc>
      </w:tr>
      <w:tr>
        <w:tc>
          <w:tcPr>
            <w:tcW w:type="dxa" w:w="4863"/>
            <w:shd w:val="clear" w:color="auto" w:fill="EAF1F4"/>
          </w:tcPr>
          <w:p>
            <w:pPr>
              <w:spacing w:after="50" w:before="50" w:line="252" w:lineRule="auto"/>
            </w:pPr>
            <w:r>
              <w:rPr>
                <w:sz w:val="17"/>
              </w:rPr>
              <w:t>Write-off of a receivable</w:t>
            </w:r>
          </w:p>
        </w:tc>
        <w:tc>
          <w:tcPr>
            <w:tcW w:type="dxa" w:w="1879"/>
            <w:shd w:val="clear" w:color="auto" w:fill="EAF1F4"/>
          </w:tcPr>
          <w:p>
            <w:pPr>
              <w:spacing w:after="50" w:before="50" w:line="252" w:lineRule="auto"/>
            </w:pPr>
            <w:r>
              <w:rPr>
                <w:sz w:val="17"/>
              </w:rPr>
              <w:t>Up to ₹50,000</w:t>
            </w:r>
          </w:p>
        </w:tc>
        <w:tc>
          <w:tcPr>
            <w:tcW w:type="dxa" w:w="2725"/>
            <w:shd w:val="clear" w:color="auto" w:fill="EAF1F4"/>
          </w:tcPr>
          <w:p>
            <w:pPr>
              <w:spacing w:after="50" w:before="50" w:line="252" w:lineRule="auto"/>
            </w:pPr>
            <w:r>
              <w:rPr>
                <w:sz w:val="17"/>
              </w:rPr>
              <w:t>FC</w:t>
            </w:r>
          </w:p>
        </w:tc>
      </w:tr>
      <w:tr>
        <w:tc>
          <w:tcPr>
            <w:tcW w:type="dxa" w:w="4863"/>
          </w:tcPr>
          <w:p>
            <w:pPr>
              <w:spacing w:after="50" w:before="50" w:line="252" w:lineRule="auto"/>
            </w:pPr>
            <w:r>
              <w:rPr>
                <w:sz w:val="17"/>
              </w:rPr>
              <w:t>Write-off of a receivable</w:t>
            </w:r>
          </w:p>
        </w:tc>
        <w:tc>
          <w:tcPr>
            <w:tcW w:type="dxa" w:w="1879"/>
          </w:tcPr>
          <w:p>
            <w:pPr>
              <w:spacing w:after="50" w:before="50" w:line="252" w:lineRule="auto"/>
            </w:pPr>
            <w:r>
              <w:rPr>
                <w:sz w:val="17"/>
              </w:rPr>
              <w:t>Above ₹50,000</w:t>
            </w:r>
          </w:p>
        </w:tc>
        <w:tc>
          <w:tcPr>
            <w:tcW w:type="dxa" w:w="2725"/>
          </w:tcPr>
          <w:p>
            <w:pPr>
              <w:spacing w:after="50" w:before="50" w:line="252" w:lineRule="auto"/>
            </w:pPr>
            <w:r>
              <w:rPr>
                <w:sz w:val="17"/>
              </w:rPr>
              <w:t>PB</w:t>
            </w:r>
          </w:p>
        </w:tc>
      </w:tr>
      <w:tr>
        <w:tc>
          <w:tcPr>
            <w:tcW w:type="dxa" w:w="4863"/>
            <w:shd w:val="clear" w:color="auto" w:fill="EAF1F4"/>
          </w:tcPr>
          <w:p>
            <w:pPr>
              <w:spacing w:after="50" w:before="50" w:line="252" w:lineRule="auto"/>
            </w:pPr>
            <w:r>
              <w:rPr>
                <w:sz w:val="17"/>
              </w:rPr>
              <w:t>Revenue-share percentage departing from standard split</w:t>
            </w:r>
          </w:p>
        </w:tc>
        <w:tc>
          <w:tcPr>
            <w:tcW w:type="dxa" w:w="1879"/>
            <w:shd w:val="clear" w:color="auto" w:fill="EAF1F4"/>
          </w:tcPr>
          <w:p>
            <w:pPr>
              <w:spacing w:after="50" w:before="50" w:line="252" w:lineRule="auto"/>
            </w:pPr>
            <w:r>
              <w:rPr>
                <w:sz w:val="17"/>
              </w:rPr>
              <w:t>Any</w:t>
            </w:r>
          </w:p>
        </w:tc>
        <w:tc>
          <w:tcPr>
            <w:tcW w:type="dxa" w:w="2725"/>
            <w:shd w:val="clear" w:color="auto" w:fill="EAF1F4"/>
          </w:tcPr>
          <w:p>
            <w:pPr>
              <w:spacing w:after="50" w:before="50" w:line="252" w:lineRule="auto"/>
            </w:pPr>
            <w:r>
              <w:rPr>
                <w:sz w:val="17"/>
              </w:rPr>
              <w:t>FC and PD; PB if variance exceeds 10 percentage points</w:t>
            </w:r>
          </w:p>
        </w:tc>
      </w:tr>
    </w:tbl>
    <w:p>
      <w:pPr>
        <w:spacing w:after="80" w:before="0"/>
      </w:pPr>
    </w:p>
    <w:p>
      <w:pPr>
        <w:spacing w:before="80" w:after="160"/>
        <w:pBdr>
          <w:bottom w:val="single" w:sz="6" w:space="1" w:color="C9D6DE"/>
        </w:pBdr>
      </w:pPr>
    </w:p>
    <w:p>
      <w:pPr>
        <w:pStyle w:val="Heading1"/>
        <w:pBdr>
          <w:bottom w:val="single" w:sz="8" w:space="4" w:color="C9D6DE"/>
        </w:pBdr>
      </w:pPr>
      <w:r>
        <w:t>5. Operational and academic authority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503"/>
            <w:shd w:val="clear" w:color="auto" w:fill="10375C"/>
          </w:tcPr>
          <w:p>
            <w:pPr>
              <w:spacing w:after="50" w:before="50"/>
            </w:pPr>
            <w:r>
              <w:rPr>
                <w:b/>
                <w:color w:val="FFFFFF"/>
                <w:sz w:val="17"/>
              </w:rPr>
              <w:t>Matter</w:t>
            </w:r>
          </w:p>
        </w:tc>
        <w:tc>
          <w:tcPr>
            <w:tcW w:type="dxa" w:w="4965"/>
            <w:shd w:val="clear" w:color="auto" w:fill="10375C"/>
          </w:tcPr>
          <w:p>
            <w:pPr>
              <w:spacing w:after="50" w:before="50"/>
            </w:pPr>
            <w:r>
              <w:rPr>
                <w:b/>
                <w:color w:val="FFFFFF"/>
                <w:sz w:val="17"/>
              </w:rPr>
              <w:t>Approval</w:t>
            </w:r>
          </w:p>
        </w:tc>
      </w:tr>
      <w:tr>
        <w:tc>
          <w:tcPr>
            <w:tcW w:type="dxa" w:w="4503"/>
          </w:tcPr>
          <w:p>
            <w:pPr>
              <w:spacing w:after="50" w:before="50" w:line="252" w:lineRule="auto"/>
            </w:pPr>
            <w:r>
              <w:rPr>
                <w:sz w:val="17"/>
              </w:rPr>
              <w:t>Add an institution to the pipeline</w:t>
            </w:r>
          </w:p>
        </w:tc>
        <w:tc>
          <w:tcPr>
            <w:tcW w:type="dxa" w:w="4965"/>
          </w:tcPr>
          <w:p>
            <w:pPr>
              <w:spacing w:after="50" w:before="50" w:line="252" w:lineRule="auto"/>
            </w:pPr>
            <w:r>
              <w:rPr>
                <w:sz w:val="17"/>
              </w:rPr>
              <w:t>BD</w:t>
            </w:r>
          </w:p>
        </w:tc>
      </w:tr>
      <w:tr>
        <w:tc>
          <w:tcPr>
            <w:tcW w:type="dxa" w:w="4503"/>
            <w:shd w:val="clear" w:color="auto" w:fill="EAF1F4"/>
          </w:tcPr>
          <w:p>
            <w:pPr>
              <w:spacing w:after="50" w:before="50" w:line="252" w:lineRule="auto"/>
            </w:pPr>
            <w:r>
              <w:rPr>
                <w:sz w:val="17"/>
              </w:rPr>
              <w:t>Assign or change a partnership tier</w:t>
            </w:r>
          </w:p>
        </w:tc>
        <w:tc>
          <w:tcPr>
            <w:tcW w:type="dxa" w:w="4965"/>
            <w:shd w:val="clear" w:color="auto" w:fill="EAF1F4"/>
          </w:tcPr>
          <w:p>
            <w:pPr>
              <w:spacing w:after="50" w:before="50" w:line="252" w:lineRule="auto"/>
            </w:pPr>
            <w:r>
              <w:rPr>
                <w:sz w:val="17"/>
              </w:rPr>
              <w:t>PD, on a completed score sheet</w:t>
            </w:r>
          </w:p>
        </w:tc>
      </w:tr>
      <w:tr>
        <w:tc>
          <w:tcPr>
            <w:tcW w:type="dxa" w:w="4503"/>
          </w:tcPr>
          <w:p>
            <w:pPr>
              <w:spacing w:after="50" w:before="50" w:line="252" w:lineRule="auto"/>
            </w:pPr>
            <w:r>
              <w:rPr>
                <w:sz w:val="17"/>
              </w:rPr>
              <w:t>Override a tier score</w:t>
            </w:r>
          </w:p>
        </w:tc>
        <w:tc>
          <w:tcPr>
            <w:tcW w:type="dxa" w:w="4965"/>
          </w:tcPr>
          <w:p>
            <w:pPr>
              <w:spacing w:after="50" w:before="50" w:line="252" w:lineRule="auto"/>
            </w:pPr>
            <w:r>
              <w:rPr>
                <w:sz w:val="17"/>
              </w:rPr>
              <w:t>PD, with written reasons; PB where the override creates a Tier 1</w:t>
            </w:r>
          </w:p>
        </w:tc>
      </w:tr>
      <w:tr>
        <w:tc>
          <w:tcPr>
            <w:tcW w:type="dxa" w:w="4503"/>
            <w:shd w:val="clear" w:color="auto" w:fill="EAF1F4"/>
          </w:tcPr>
          <w:p>
            <w:pPr>
              <w:spacing w:after="50" w:before="50" w:line="252" w:lineRule="auto"/>
            </w:pPr>
            <w:r>
              <w:rPr>
                <w:sz w:val="17"/>
              </w:rPr>
              <w:t>Decline an institution</w:t>
            </w:r>
          </w:p>
        </w:tc>
        <w:tc>
          <w:tcPr>
            <w:tcW w:type="dxa" w:w="4965"/>
            <w:shd w:val="clear" w:color="auto" w:fill="EAF1F4"/>
          </w:tcPr>
          <w:p>
            <w:pPr>
              <w:spacing w:after="50" w:before="50" w:line="252" w:lineRule="auto"/>
            </w:pPr>
            <w:r>
              <w:rPr>
                <w:sz w:val="17"/>
              </w:rPr>
              <w:t>BD, notified to PD</w:t>
            </w:r>
          </w:p>
        </w:tc>
      </w:tr>
      <w:tr>
        <w:tc>
          <w:tcPr>
            <w:tcW w:type="dxa" w:w="4503"/>
          </w:tcPr>
          <w:p>
            <w:pPr>
              <w:spacing w:after="50" w:before="50" w:line="252" w:lineRule="auto"/>
            </w:pPr>
            <w:r>
              <w:rPr>
                <w:sz w:val="17"/>
              </w:rPr>
              <w:t>Approve the annual delivery calendar for a partnership</w:t>
            </w:r>
          </w:p>
        </w:tc>
        <w:tc>
          <w:tcPr>
            <w:tcW w:type="dxa" w:w="4965"/>
          </w:tcPr>
          <w:p>
            <w:pPr>
              <w:spacing w:after="50" w:before="50" w:line="252" w:lineRule="auto"/>
            </w:pPr>
            <w:r>
              <w:rPr>
                <w:sz w:val="17"/>
              </w:rPr>
              <w:t>PD</w:t>
            </w:r>
          </w:p>
        </w:tc>
      </w:tr>
      <w:tr>
        <w:tc>
          <w:tcPr>
            <w:tcW w:type="dxa" w:w="4503"/>
            <w:shd w:val="clear" w:color="auto" w:fill="EAF1F4"/>
          </w:tcPr>
          <w:p>
            <w:pPr>
              <w:spacing w:after="50" w:before="50" w:line="252" w:lineRule="auto"/>
            </w:pPr>
            <w:r>
              <w:rPr>
                <w:sz w:val="17"/>
              </w:rPr>
              <w:t>Vary an agreed calendar by more than 30 days</w:t>
            </w:r>
          </w:p>
        </w:tc>
        <w:tc>
          <w:tcPr>
            <w:tcW w:type="dxa" w:w="4965"/>
            <w:shd w:val="clear" w:color="auto" w:fill="EAF1F4"/>
          </w:tcPr>
          <w:p>
            <w:pPr>
              <w:spacing w:after="50" w:before="50" w:line="252" w:lineRule="auto"/>
            </w:pPr>
            <w:r>
              <w:rPr>
                <w:sz w:val="17"/>
              </w:rPr>
              <w:t>PD, with written notice to the partner</w:t>
            </w:r>
          </w:p>
        </w:tc>
      </w:tr>
      <w:tr>
        <w:tc>
          <w:tcPr>
            <w:tcW w:type="dxa" w:w="4503"/>
          </w:tcPr>
          <w:p>
            <w:pPr>
              <w:spacing w:after="50" w:before="50" w:line="252" w:lineRule="auto"/>
            </w:pPr>
            <w:r>
              <w:rPr>
                <w:sz w:val="17"/>
              </w:rPr>
              <w:t>Certify a trainer to deliver</w:t>
            </w:r>
          </w:p>
        </w:tc>
        <w:tc>
          <w:tcPr>
            <w:tcW w:type="dxa" w:w="4965"/>
          </w:tcPr>
          <w:p>
            <w:pPr>
              <w:spacing w:after="50" w:before="50" w:line="252" w:lineRule="auto"/>
            </w:pPr>
            <w:r>
              <w:rPr>
                <w:sz w:val="17"/>
              </w:rPr>
              <w:t>HC</w:t>
            </w:r>
          </w:p>
        </w:tc>
      </w:tr>
      <w:tr>
        <w:tc>
          <w:tcPr>
            <w:tcW w:type="dxa" w:w="4503"/>
            <w:shd w:val="clear" w:color="auto" w:fill="EAF1F4"/>
          </w:tcPr>
          <w:p>
            <w:pPr>
              <w:spacing w:after="50" w:before="50" w:line="252" w:lineRule="auto"/>
            </w:pPr>
            <w:r>
              <w:rPr>
                <w:sz w:val="17"/>
              </w:rPr>
              <w:t>Approve a curriculum change</w:t>
            </w:r>
          </w:p>
        </w:tc>
        <w:tc>
          <w:tcPr>
            <w:tcW w:type="dxa" w:w="4965"/>
            <w:shd w:val="clear" w:color="auto" w:fill="EAF1F4"/>
          </w:tcPr>
          <w:p>
            <w:pPr>
              <w:spacing w:after="50" w:before="50" w:line="252" w:lineRule="auto"/>
            </w:pPr>
            <w:r>
              <w:rPr>
                <w:sz w:val="17"/>
              </w:rPr>
              <w:t>Curriculum &amp; Certification Committee</w:t>
            </w:r>
          </w:p>
        </w:tc>
      </w:tr>
      <w:tr>
        <w:tc>
          <w:tcPr>
            <w:tcW w:type="dxa" w:w="4503"/>
          </w:tcPr>
          <w:p>
            <w:pPr>
              <w:spacing w:after="50" w:before="50" w:line="252" w:lineRule="auto"/>
            </w:pPr>
            <w:r>
              <w:rPr>
                <w:sz w:val="17"/>
              </w:rPr>
              <w:t>Approve a new programme for the catalogue</w:t>
            </w:r>
          </w:p>
        </w:tc>
        <w:tc>
          <w:tcPr>
            <w:tcW w:type="dxa" w:w="4965"/>
          </w:tcPr>
          <w:p>
            <w:pPr>
              <w:spacing w:after="50" w:before="50" w:line="252" w:lineRule="auto"/>
            </w:pPr>
            <w:r>
              <w:rPr>
                <w:sz w:val="17"/>
              </w:rPr>
              <w:t>HC and PD; PB where it requires new pricing</w:t>
            </w:r>
          </w:p>
        </w:tc>
      </w:tr>
      <w:tr>
        <w:tc>
          <w:tcPr>
            <w:tcW w:type="dxa" w:w="4503"/>
            <w:shd w:val="clear" w:color="auto" w:fill="EAF1F4"/>
          </w:tcPr>
          <w:p>
            <w:pPr>
              <w:spacing w:after="50" w:before="50" w:line="252" w:lineRule="auto"/>
            </w:pPr>
            <w:r>
              <w:rPr>
                <w:sz w:val="17"/>
              </w:rPr>
              <w:t>Issue a certificate to a participant</w:t>
            </w:r>
          </w:p>
        </w:tc>
        <w:tc>
          <w:tcPr>
            <w:tcW w:type="dxa" w:w="4965"/>
            <w:shd w:val="clear" w:color="auto" w:fill="EAF1F4"/>
          </w:tcPr>
          <w:p>
            <w:pPr>
              <w:spacing w:after="50" w:before="50" w:line="252" w:lineRule="auto"/>
            </w:pPr>
            <w:r>
              <w:rPr>
                <w:sz w:val="17"/>
              </w:rPr>
              <w:t>HC, on the assessment record</w:t>
            </w:r>
          </w:p>
        </w:tc>
      </w:tr>
      <w:tr>
        <w:tc>
          <w:tcPr>
            <w:tcW w:type="dxa" w:w="4503"/>
          </w:tcPr>
          <w:p>
            <w:pPr>
              <w:spacing w:after="50" w:before="50" w:line="252" w:lineRule="auto"/>
            </w:pPr>
            <w:r>
              <w:rPr>
                <w:sz w:val="17"/>
              </w:rPr>
              <w:t>Withhold or revoke a certificate</w:t>
            </w:r>
          </w:p>
        </w:tc>
        <w:tc>
          <w:tcPr>
            <w:tcW w:type="dxa" w:w="4965"/>
          </w:tcPr>
          <w:p>
            <w:pPr>
              <w:spacing w:after="50" w:before="50" w:line="252" w:lineRule="auto"/>
            </w:pPr>
            <w:r>
              <w:rPr>
                <w:sz w:val="17"/>
              </w:rPr>
              <w:t>HC, with PD notified; appeal to the Curriculum &amp; Certification Committee</w:t>
            </w:r>
          </w:p>
        </w:tc>
      </w:tr>
      <w:tr>
        <w:tc>
          <w:tcPr>
            <w:tcW w:type="dxa" w:w="4503"/>
            <w:shd w:val="clear" w:color="auto" w:fill="EAF1F4"/>
          </w:tcPr>
          <w:p>
            <w:pPr>
              <w:spacing w:after="50" w:before="50" w:line="252" w:lineRule="auto"/>
            </w:pPr>
            <w:r>
              <w:rPr>
                <w:sz w:val="17"/>
              </w:rPr>
              <w:t>Approve a competition problem for release</w:t>
            </w:r>
          </w:p>
        </w:tc>
        <w:tc>
          <w:tcPr>
            <w:tcW w:type="dxa" w:w="4965"/>
            <w:shd w:val="clear" w:color="auto" w:fill="EAF1F4"/>
          </w:tcPr>
          <w:p>
            <w:pPr>
              <w:spacing w:after="50" w:before="50" w:line="252" w:lineRule="auto"/>
            </w:pPr>
            <w:r>
              <w:rPr>
                <w:sz w:val="17"/>
              </w:rPr>
              <w:t>Competition Committee</w:t>
            </w:r>
          </w:p>
        </w:tc>
      </w:tr>
      <w:tr>
        <w:tc>
          <w:tcPr>
            <w:tcW w:type="dxa" w:w="4503"/>
          </w:tcPr>
          <w:p>
            <w:pPr>
              <w:spacing w:after="50" w:before="50" w:line="252" w:lineRule="auto"/>
            </w:pPr>
            <w:r>
              <w:rPr>
                <w:sz w:val="17"/>
              </w:rPr>
              <w:t>Appoint competition judges</w:t>
            </w:r>
          </w:p>
        </w:tc>
        <w:tc>
          <w:tcPr>
            <w:tcW w:type="dxa" w:w="4965"/>
          </w:tcPr>
          <w:p>
            <w:pPr>
              <w:spacing w:after="50" w:before="50" w:line="252" w:lineRule="auto"/>
            </w:pPr>
            <w:r>
              <w:rPr>
                <w:sz w:val="17"/>
              </w:rPr>
              <w:t>Competition Convenor, screened for conflict</w:t>
            </w:r>
          </w:p>
        </w:tc>
      </w:tr>
      <w:tr>
        <w:tc>
          <w:tcPr>
            <w:tcW w:type="dxa" w:w="4503"/>
            <w:shd w:val="clear" w:color="auto" w:fill="EAF1F4"/>
          </w:tcPr>
          <w:p>
            <w:pPr>
              <w:spacing w:after="50" w:before="50" w:line="252" w:lineRule="auto"/>
            </w:pPr>
            <w:r>
              <w:rPr>
                <w:sz w:val="17"/>
              </w:rPr>
              <w:t>Rule on a competition integrity challenge</w:t>
            </w:r>
          </w:p>
        </w:tc>
        <w:tc>
          <w:tcPr>
            <w:tcW w:type="dxa" w:w="4965"/>
            <w:shd w:val="clear" w:color="auto" w:fill="EAF1F4"/>
          </w:tcPr>
          <w:p>
            <w:pPr>
              <w:spacing w:after="50" w:before="50" w:line="252" w:lineRule="auto"/>
            </w:pPr>
            <w:r>
              <w:rPr>
                <w:sz w:val="17"/>
              </w:rPr>
              <w:t>Competition Committee; appeal to PD, whose decision is final</w:t>
            </w:r>
          </w:p>
        </w:tc>
      </w:tr>
      <w:tr>
        <w:tc>
          <w:tcPr>
            <w:tcW w:type="dxa" w:w="4503"/>
          </w:tcPr>
          <w:p>
            <w:pPr>
              <w:spacing w:after="50" w:before="50" w:line="252" w:lineRule="auto"/>
            </w:pPr>
            <w:r>
              <w:rPr>
                <w:sz w:val="17"/>
              </w:rPr>
              <w:t>Authorise student observation of a live matter</w:t>
            </w:r>
          </w:p>
        </w:tc>
        <w:tc>
          <w:tcPr>
            <w:tcW w:type="dxa" w:w="4965"/>
          </w:tcPr>
          <w:p>
            <w:pPr>
              <w:spacing w:after="50" w:before="50" w:line="252" w:lineRule="auto"/>
            </w:pPr>
            <w:r>
              <w:rPr>
                <w:sz w:val="17"/>
              </w:rPr>
              <w:t>PD, on party consent and executed undertakings</w:t>
            </w:r>
          </w:p>
        </w:tc>
      </w:tr>
      <w:tr>
        <w:tc>
          <w:tcPr>
            <w:tcW w:type="dxa" w:w="4503"/>
            <w:shd w:val="clear" w:color="auto" w:fill="EAF1F4"/>
          </w:tcPr>
          <w:p>
            <w:pPr>
              <w:spacing w:after="50" w:before="50" w:line="252" w:lineRule="auto"/>
            </w:pPr>
            <w:r>
              <w:rPr>
                <w:sz w:val="17"/>
              </w:rPr>
              <w:t>Authorise a co-branded public communication</w:t>
            </w:r>
          </w:p>
        </w:tc>
        <w:tc>
          <w:tcPr>
            <w:tcW w:type="dxa" w:w="4965"/>
            <w:shd w:val="clear" w:color="auto" w:fill="EAF1F4"/>
          </w:tcPr>
          <w:p>
            <w:pPr>
              <w:spacing w:after="50" w:before="50" w:line="252" w:lineRule="auto"/>
            </w:pPr>
            <w:r>
              <w:rPr>
                <w:sz w:val="17"/>
              </w:rPr>
              <w:t>PD; GC where any legal or regulatory claim is made</w:t>
            </w:r>
          </w:p>
        </w:tc>
      </w:tr>
      <w:tr>
        <w:tc>
          <w:tcPr>
            <w:tcW w:type="dxa" w:w="4503"/>
          </w:tcPr>
          <w:p>
            <w:pPr>
              <w:spacing w:after="50" w:before="50" w:line="252" w:lineRule="auto"/>
            </w:pPr>
            <w:r>
              <w:rPr>
                <w:sz w:val="17"/>
              </w:rPr>
              <w:t>Use of a partner's marks</w:t>
            </w:r>
          </w:p>
        </w:tc>
        <w:tc>
          <w:tcPr>
            <w:tcW w:type="dxa" w:w="4965"/>
          </w:tcPr>
          <w:p>
            <w:pPr>
              <w:spacing w:after="50" w:before="50" w:line="252" w:lineRule="auto"/>
            </w:pPr>
            <w:r>
              <w:rPr>
                <w:sz w:val="17"/>
              </w:rPr>
              <w:t>PD, within the licence in Schedule G</w:t>
            </w:r>
          </w:p>
        </w:tc>
      </w:tr>
      <w:tr>
        <w:tc>
          <w:tcPr>
            <w:tcW w:type="dxa" w:w="4503"/>
            <w:shd w:val="clear" w:color="auto" w:fill="EAF1F4"/>
          </w:tcPr>
          <w:p>
            <w:pPr>
              <w:spacing w:after="50" w:before="50" w:line="252" w:lineRule="auto"/>
            </w:pPr>
            <w:r>
              <w:rPr>
                <w:sz w:val="17"/>
              </w:rPr>
              <w:t>Release of any data set for research</w:t>
            </w:r>
          </w:p>
        </w:tc>
        <w:tc>
          <w:tcPr>
            <w:tcW w:type="dxa" w:w="4965"/>
            <w:shd w:val="clear" w:color="auto" w:fill="EAF1F4"/>
          </w:tcPr>
          <w:p>
            <w:pPr>
              <w:spacing w:after="50" w:before="50" w:line="252" w:lineRule="auto"/>
            </w:pPr>
            <w:r>
              <w:rPr>
                <w:sz w:val="17"/>
              </w:rPr>
              <w:t>Research Lead and DPO</w:t>
            </w:r>
          </w:p>
        </w:tc>
      </w:tr>
      <w:tr>
        <w:tc>
          <w:tcPr>
            <w:tcW w:type="dxa" w:w="4503"/>
          </w:tcPr>
          <w:p>
            <w:pPr>
              <w:spacing w:after="50" w:before="50" w:line="252" w:lineRule="auto"/>
            </w:pPr>
            <w:r>
              <w:rPr>
                <w:sz w:val="17"/>
              </w:rPr>
              <w:t>Approve an internship offer</w:t>
            </w:r>
          </w:p>
        </w:tc>
        <w:tc>
          <w:tcPr>
            <w:tcW w:type="dxa" w:w="4965"/>
          </w:tcPr>
          <w:p>
            <w:pPr>
              <w:spacing w:after="50" w:before="50" w:line="252" w:lineRule="auto"/>
            </w:pPr>
            <w:r>
              <w:rPr>
                <w:sz w:val="17"/>
              </w:rPr>
              <w:t>Coordinator — Internships, within the approved cohort size</w:t>
            </w:r>
          </w:p>
        </w:tc>
      </w:tr>
      <w:tr>
        <w:tc>
          <w:tcPr>
            <w:tcW w:type="dxa" w:w="4503"/>
            <w:shd w:val="clear" w:color="auto" w:fill="EAF1F4"/>
          </w:tcPr>
          <w:p>
            <w:pPr>
              <w:spacing w:after="50" w:before="50" w:line="252" w:lineRule="auto"/>
            </w:pPr>
            <w:r>
              <w:rPr>
                <w:sz w:val="17"/>
              </w:rPr>
              <w:t>Approve a stipend above the published band</w:t>
            </w:r>
          </w:p>
        </w:tc>
        <w:tc>
          <w:tcPr>
            <w:tcW w:type="dxa" w:w="4965"/>
            <w:shd w:val="clear" w:color="auto" w:fill="EAF1F4"/>
          </w:tcPr>
          <w:p>
            <w:pPr>
              <w:spacing w:after="50" w:before="50" w:line="252" w:lineRule="auto"/>
            </w:pPr>
            <w:r>
              <w:rPr>
                <w:sz w:val="17"/>
              </w:rPr>
              <w:t>PD and FC</w:t>
            </w:r>
          </w:p>
        </w:tc>
      </w:tr>
    </w:tbl>
    <w:p>
      <w:pPr>
        <w:spacing w:after="80" w:before="0"/>
      </w:pPr>
    </w:p>
    <w:p>
      <w:pPr>
        <w:spacing w:before="80" w:after="160"/>
        <w:pBdr>
          <w:bottom w:val="single" w:sz="6" w:space="1" w:color="C9D6DE"/>
        </w:pBdr>
      </w:pPr>
    </w:p>
    <w:p>
      <w:pPr>
        <w:pStyle w:val="Heading1"/>
        <w:pBdr>
          <w:bottom w:val="single" w:sz="8" w:space="4" w:color="C9D6DE"/>
        </w:pBdr>
      </w:pPr>
      <w:r>
        <w:t>6. Matters that may never be delegated</w:t>
      </w:r>
    </w:p>
    <w:p>
      <w:r>
        <w:t>The following may not be committed by any role-holder below the authority stated, and may not be delegated further:</w:t>
      </w:r>
    </w:p>
    <w:p>
      <w:pPr>
        <w:pStyle w:val="ListNumber"/>
      </w:pPr>
      <w:r>
        <w:rPr>
          <w:sz w:val="21"/>
        </w:rPr>
        <w:t xml:space="preserve">Any representation that an Equator credential is government-recognised, statutorily approved, or accredited by the Mediation Council of India — </w:t>
      </w:r>
      <w:r>
        <w:rPr>
          <w:b/>
          <w:sz w:val="21"/>
        </w:rPr>
        <w:t>prohibited outright</w:t>
      </w:r>
      <w:r>
        <w:rPr>
          <w:sz w:val="21"/>
        </w:rPr>
        <w:t xml:space="preserve"> pending resolution of open item U6.</w:t>
      </w:r>
    </w:p>
    <w:p>
      <w:pPr>
        <w:pStyle w:val="ListNumber"/>
      </w:pPr>
      <w:r>
        <w:rPr>
          <w:sz w:val="21"/>
        </w:rPr>
        <w:t xml:space="preserve">Any promise of employment or placement to a student or institution — </w:t>
      </w:r>
      <w:r>
        <w:rPr>
          <w:b/>
          <w:sz w:val="21"/>
        </w:rPr>
        <w:t>prohibited outright</w:t>
      </w:r>
      <w:r>
        <w:rPr>
          <w:sz w:val="21"/>
        </w:rPr>
        <w:t>.</w:t>
      </w:r>
    </w:p>
    <w:p>
      <w:pPr>
        <w:pStyle w:val="ListNumber"/>
      </w:pPr>
      <w:r>
        <w:rPr>
          <w:sz w:val="21"/>
        </w:rPr>
        <w:t xml:space="preserve">Any acceptance of a neutral appointment in a matter involving a partner institution without disclosure and clearance under 07.9 — </w:t>
      </w:r>
      <w:r>
        <w:rPr>
          <w:b/>
          <w:sz w:val="21"/>
        </w:rPr>
        <w:t>GC</w:t>
      </w:r>
      <w:r>
        <w:rPr>
          <w:sz w:val="21"/>
        </w:rPr>
        <w:t>.</w:t>
      </w:r>
    </w:p>
    <w:p>
      <w:pPr>
        <w:pStyle w:val="ListNumber"/>
      </w:pPr>
      <w:r>
        <w:rPr>
          <w:sz w:val="21"/>
        </w:rPr>
        <w:t xml:space="preserve">Any waiver of the confidentiality obligations attaching to a live matter — </w:t>
      </w:r>
      <w:r>
        <w:rPr>
          <w:b/>
          <w:sz w:val="21"/>
        </w:rPr>
        <w:t>prohibited outright</w:t>
      </w:r>
      <w:r>
        <w:rPr>
          <w:sz w:val="21"/>
        </w:rPr>
        <w:t>.</w:t>
      </w:r>
    </w:p>
    <w:p>
      <w:pPr>
        <w:pStyle w:val="ListNumber"/>
      </w:pPr>
      <w:r>
        <w:rPr>
          <w:sz w:val="21"/>
        </w:rPr>
        <w:t xml:space="preserve">Any processing of student personal data for a purpose not covered by the consent obtained — </w:t>
      </w:r>
      <w:r>
        <w:rPr>
          <w:b/>
          <w:sz w:val="21"/>
        </w:rPr>
        <w:t>DPO</w:t>
      </w:r>
      <w:r>
        <w:rPr>
          <w:sz w:val="21"/>
        </w:rPr>
        <w:t>.</w:t>
      </w:r>
    </w:p>
    <w:p>
      <w:pPr>
        <w:pStyle w:val="ListNumber"/>
      </w:pPr>
      <w:r>
        <w:rPr>
          <w:sz w:val="21"/>
        </w:rPr>
        <w:t xml:space="preserve">Any commitment to award, or to participate in awarding, a degree or diploma — </w:t>
      </w:r>
      <w:r>
        <w:rPr>
          <w:b/>
          <w:sz w:val="21"/>
        </w:rPr>
        <w:t>prohibited outright</w:t>
      </w:r>
      <w:r>
        <w:rPr>
          <w:sz w:val="21"/>
        </w:rPr>
        <w:t>.</w:t>
      </w:r>
    </w:p>
    <w:p>
      <w:pPr>
        <w:pStyle w:val="ListNumber"/>
      </w:pPr>
      <w:r>
        <w:rPr>
          <w:sz w:val="21"/>
        </w:rPr>
        <w:t xml:space="preserve">Any agreement to indemnify an institution without limit — </w:t>
      </w:r>
      <w:r>
        <w:rPr>
          <w:b/>
          <w:sz w:val="21"/>
        </w:rPr>
        <w:t>BRD</w:t>
      </w:r>
      <w:r>
        <w:rPr>
          <w:sz w:val="21"/>
        </w:rPr>
        <w:t>.</w:t>
      </w:r>
    </w:p>
    <w:p>
      <w:pPr>
        <w:spacing w:before="80" w:after="160"/>
        <w:pBdr>
          <w:bottom w:val="single" w:sz="6" w:space="1" w:color="C9D6DE"/>
        </w:pBdr>
      </w:pPr>
    </w:p>
    <w:p>
      <w:pPr>
        <w:pStyle w:val="Heading1"/>
        <w:pBdr>
          <w:bottom w:val="single" w:sz="8" w:space="4" w:color="C9D6DE"/>
        </w:pBdr>
      </w:pPr>
      <w:r>
        <w:t>7. Records and audit</w:t>
      </w:r>
    </w:p>
    <w:p>
      <w:r>
        <w:t>Every approval required by this instrument must be recorded in writing and retained on the partnership file. The Finance Business Partner maintains a quarterly exceptions register of all approvals granted outside the standard rate card or standard form, which is reported to the Programme Board.</w:t>
      </w:r>
    </w:p>
    <w:p>
      <w:r>
        <w:t>Compliance with this instrument is audited annually as part of the programme review. Any commitment made outside these limits is reported to the Programme Board as an incident, irrespective of outcome.</w:t>
      </w:r>
    </w:p>
    <w:p>
      <w:pPr>
        <w:spacing w:before="80" w:after="160"/>
        <w:pBdr>
          <w:bottom w:val="single" w:sz="6" w:space="1" w:color="C9D6DE"/>
        </w:pBdr>
      </w:pPr>
    </w:p>
    <w:p>
      <w:pPr>
        <w:pStyle w:val="Heading1"/>
        <w:pBdr>
          <w:bottom w:val="single" w:sz="8" w:space="4" w:color="C9D6DE"/>
        </w:pBdr>
      </w:pPr>
      <w:r>
        <w:t>8. Signature authority — execution formalities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996"/>
            <w:shd w:val="clear" w:color="auto" w:fill="10375C"/>
          </w:tcPr>
          <w:p>
            <w:pPr>
              <w:spacing w:after="50" w:before="50"/>
            </w:pPr>
            <w:r>
              <w:rPr>
                <w:b/>
                <w:color w:val="FFFFFF"/>
                <w:sz w:val="17"/>
              </w:rPr>
              <w:t>Document</w:t>
            </w:r>
          </w:p>
        </w:tc>
        <w:tc>
          <w:tcPr>
            <w:tcW w:type="dxa" w:w="4665"/>
            <w:shd w:val="clear" w:color="auto" w:fill="10375C"/>
          </w:tcPr>
          <w:p>
            <w:pPr>
              <w:spacing w:after="50" w:before="50"/>
            </w:pPr>
            <w:r>
              <w:rPr>
                <w:b/>
                <w:color w:val="FFFFFF"/>
                <w:sz w:val="17"/>
              </w:rPr>
              <w:t>Executed by</w:t>
            </w:r>
          </w:p>
        </w:tc>
        <w:tc>
          <w:tcPr>
            <w:tcW w:type="dxa" w:w="2807"/>
            <w:shd w:val="clear" w:color="auto" w:fill="10375C"/>
          </w:tcPr>
          <w:p>
            <w:pPr>
              <w:spacing w:after="50" w:before="50"/>
            </w:pPr>
            <w:r>
              <w:rPr>
                <w:b/>
                <w:color w:val="FFFFFF"/>
                <w:sz w:val="17"/>
              </w:rPr>
              <w:t>Attestation</w:t>
            </w:r>
          </w:p>
        </w:tc>
      </w:tr>
      <w:tr>
        <w:tc>
          <w:tcPr>
            <w:tcW w:type="dxa" w:w="1996"/>
          </w:tcPr>
          <w:p>
            <w:pPr>
              <w:spacing w:after="50" w:before="50" w:line="252" w:lineRule="auto"/>
            </w:pPr>
            <w:r>
              <w:rPr>
                <w:sz w:val="17"/>
              </w:rPr>
              <w:t>MOU, all tiers</w:t>
            </w:r>
          </w:p>
        </w:tc>
        <w:tc>
          <w:tcPr>
            <w:tcW w:type="dxa" w:w="4665"/>
          </w:tcPr>
          <w:p>
            <w:pPr>
              <w:spacing w:after="50" w:before="50" w:line="252" w:lineRule="auto"/>
            </w:pPr>
            <w:r>
              <w:rPr>
                <w:sz w:val="17"/>
              </w:rPr>
              <w:t>As per section 3, under the common seal or authorised signatory resolution of the executing entity</w:t>
            </w:r>
          </w:p>
        </w:tc>
        <w:tc>
          <w:tcPr>
            <w:tcW w:type="dxa" w:w="2807"/>
          </w:tcPr>
          <w:p>
            <w:pPr>
              <w:spacing w:after="50" w:before="50" w:line="252" w:lineRule="auto"/>
            </w:pPr>
            <w:r>
              <w:rPr>
                <w:sz w:val="17"/>
              </w:rPr>
              <w:t>Two witnesses; institution's Registrar countersigns</w:t>
            </w:r>
          </w:p>
        </w:tc>
      </w:tr>
      <w:tr>
        <w:tc>
          <w:tcPr>
            <w:tcW w:type="dxa" w:w="1996"/>
            <w:shd w:val="clear" w:color="auto" w:fill="EAF1F4"/>
          </w:tcPr>
          <w:p>
            <w:pPr>
              <w:spacing w:after="50" w:before="50" w:line="252" w:lineRule="auto"/>
            </w:pPr>
            <w:r>
              <w:rPr>
                <w:sz w:val="17"/>
              </w:rPr>
              <w:t>NDA</w:t>
            </w:r>
          </w:p>
        </w:tc>
        <w:tc>
          <w:tcPr>
            <w:tcW w:type="dxa" w:w="4665"/>
            <w:shd w:val="clear" w:color="auto" w:fill="EAF1F4"/>
          </w:tcPr>
          <w:p>
            <w:pPr>
              <w:spacing w:after="50" w:before="50" w:line="252" w:lineRule="auto"/>
            </w:pPr>
            <w:r>
              <w:rPr>
                <w:sz w:val="17"/>
              </w:rPr>
              <w:t>PD or above</w:t>
            </w:r>
          </w:p>
        </w:tc>
        <w:tc>
          <w:tcPr>
            <w:tcW w:type="dxa" w:w="2807"/>
            <w:shd w:val="clear" w:color="auto" w:fill="EAF1F4"/>
          </w:tcPr>
          <w:p>
            <w:pPr>
              <w:spacing w:after="50" w:before="50" w:line="252" w:lineRule="auto"/>
            </w:pPr>
            <w:r>
              <w:rPr>
                <w:sz w:val="17"/>
              </w:rPr>
              <w:t>One witness</w:t>
            </w:r>
          </w:p>
        </w:tc>
      </w:tr>
      <w:tr>
        <w:tc>
          <w:tcPr>
            <w:tcW w:type="dxa" w:w="1996"/>
          </w:tcPr>
          <w:p>
            <w:pPr>
              <w:spacing w:after="50" w:before="50" w:line="252" w:lineRule="auto"/>
            </w:pPr>
            <w:r>
              <w:rPr>
                <w:sz w:val="17"/>
              </w:rPr>
              <w:t>Trainer engagement agreement</w:t>
            </w:r>
          </w:p>
        </w:tc>
        <w:tc>
          <w:tcPr>
            <w:tcW w:type="dxa" w:w="4665"/>
          </w:tcPr>
          <w:p>
            <w:pPr>
              <w:spacing w:after="50" w:before="50" w:line="252" w:lineRule="auto"/>
            </w:pPr>
            <w:r>
              <w:rPr>
                <w:sz w:val="17"/>
              </w:rPr>
              <w:t>HC</w:t>
            </w:r>
          </w:p>
        </w:tc>
        <w:tc>
          <w:tcPr>
            <w:tcW w:type="dxa" w:w="2807"/>
          </w:tcPr>
          <w:p>
            <w:pPr>
              <w:spacing w:after="50" w:before="50" w:line="252" w:lineRule="auto"/>
            </w:pPr>
            <w:r>
              <w:rPr>
                <w:sz w:val="17"/>
              </w:rPr>
              <w:t>—</w:t>
            </w:r>
          </w:p>
        </w:tc>
      </w:tr>
      <w:tr>
        <w:tc>
          <w:tcPr>
            <w:tcW w:type="dxa" w:w="1996"/>
            <w:shd w:val="clear" w:color="auto" w:fill="EAF1F4"/>
          </w:tcPr>
          <w:p>
            <w:pPr>
              <w:spacing w:after="50" w:before="50" w:line="252" w:lineRule="auto"/>
            </w:pPr>
            <w:r>
              <w:rPr>
                <w:sz w:val="17"/>
              </w:rPr>
              <w:t>Empanelment agreement</w:t>
            </w:r>
          </w:p>
        </w:tc>
        <w:tc>
          <w:tcPr>
            <w:tcW w:type="dxa" w:w="4665"/>
            <w:shd w:val="clear" w:color="auto" w:fill="EAF1F4"/>
          </w:tcPr>
          <w:p>
            <w:pPr>
              <w:spacing w:after="50" w:before="50" w:line="252" w:lineRule="auto"/>
            </w:pPr>
            <w:r>
              <w:rPr>
                <w:sz w:val="17"/>
              </w:rPr>
              <w:t>PD</w:t>
            </w:r>
          </w:p>
        </w:tc>
        <w:tc>
          <w:tcPr>
            <w:tcW w:type="dxa" w:w="2807"/>
            <w:shd w:val="clear" w:color="auto" w:fill="EAF1F4"/>
          </w:tcPr>
          <w:p>
            <w:pPr>
              <w:spacing w:after="50" w:before="50" w:line="252" w:lineRule="auto"/>
            </w:pPr>
            <w:r>
              <w:rPr>
                <w:sz w:val="17"/>
              </w:rPr>
              <w:t>—</w:t>
            </w:r>
          </w:p>
        </w:tc>
      </w:tr>
      <w:tr>
        <w:tc>
          <w:tcPr>
            <w:tcW w:type="dxa" w:w="1996"/>
          </w:tcPr>
          <w:p>
            <w:pPr>
              <w:spacing w:after="50" w:before="50" w:line="252" w:lineRule="auto"/>
            </w:pPr>
            <w:r>
              <w:rPr>
                <w:sz w:val="17"/>
              </w:rPr>
              <w:t>Internship agreement</w:t>
            </w:r>
          </w:p>
        </w:tc>
        <w:tc>
          <w:tcPr>
            <w:tcW w:type="dxa" w:w="4665"/>
          </w:tcPr>
          <w:p>
            <w:pPr>
              <w:spacing w:after="50" w:before="50" w:line="252" w:lineRule="auto"/>
            </w:pPr>
            <w:r>
              <w:rPr>
                <w:sz w:val="17"/>
              </w:rPr>
              <w:t>Coordinator — Internships, under delegated authority from PD</w:t>
            </w:r>
          </w:p>
        </w:tc>
        <w:tc>
          <w:tcPr>
            <w:tcW w:type="dxa" w:w="2807"/>
          </w:tcPr>
          <w:p>
            <w:pPr>
              <w:spacing w:after="50" w:before="50" w:line="252" w:lineRule="auto"/>
            </w:pPr>
            <w:r>
              <w:rPr>
                <w:sz w:val="17"/>
              </w:rPr>
              <w:t>Student and, where under 18, guardian</w:t>
            </w:r>
          </w:p>
        </w:tc>
      </w:tr>
      <w:tr>
        <w:tc>
          <w:tcPr>
            <w:tcW w:type="dxa" w:w="1996"/>
            <w:shd w:val="clear" w:color="auto" w:fill="EAF1F4"/>
          </w:tcPr>
          <w:p>
            <w:pPr>
              <w:spacing w:after="50" w:before="50" w:line="252" w:lineRule="auto"/>
            </w:pPr>
            <w:r>
              <w:rPr>
                <w:sz w:val="17"/>
              </w:rPr>
              <w:t>Sponsorship agreement</w:t>
            </w:r>
          </w:p>
        </w:tc>
        <w:tc>
          <w:tcPr>
            <w:tcW w:type="dxa" w:w="4665"/>
            <w:shd w:val="clear" w:color="auto" w:fill="EAF1F4"/>
          </w:tcPr>
          <w:p>
            <w:pPr>
              <w:spacing w:after="50" w:before="50" w:line="252" w:lineRule="auto"/>
            </w:pPr>
            <w:r>
              <w:rPr>
                <w:sz w:val="17"/>
              </w:rPr>
              <w:t>PD up to ₹5,00,000; MD above</w:t>
            </w:r>
          </w:p>
        </w:tc>
        <w:tc>
          <w:tcPr>
            <w:tcW w:type="dxa" w:w="2807"/>
            <w:shd w:val="clear" w:color="auto" w:fill="EAF1F4"/>
          </w:tcPr>
          <w:p>
            <w:pPr>
              <w:spacing w:after="50" w:before="50" w:line="252" w:lineRule="auto"/>
            </w:pPr>
            <w:r>
              <w:rPr>
                <w:sz w:val="17"/>
              </w:rPr>
              <w:t>One witness</w:t>
            </w:r>
          </w:p>
        </w:tc>
      </w:tr>
      <w:tr>
        <w:tc>
          <w:tcPr>
            <w:tcW w:type="dxa" w:w="1996"/>
          </w:tcPr>
          <w:p>
            <w:pPr>
              <w:spacing w:after="50" w:before="50" w:line="252" w:lineRule="auto"/>
            </w:pPr>
            <w:r>
              <w:rPr>
                <w:sz w:val="17"/>
              </w:rPr>
              <w:t>Certificates</w:t>
            </w:r>
          </w:p>
        </w:tc>
        <w:tc>
          <w:tcPr>
            <w:tcW w:type="dxa" w:w="4665"/>
          </w:tcPr>
          <w:p>
            <w:pPr>
              <w:spacing w:after="50" w:before="50" w:line="252" w:lineRule="auto"/>
            </w:pPr>
            <w:r>
              <w:rPr>
                <w:sz w:val="17"/>
              </w:rPr>
              <w:t>HC, with facsimile signature of the Director permitted under controlled conditions</w:t>
            </w:r>
          </w:p>
        </w:tc>
        <w:tc>
          <w:tcPr>
            <w:tcW w:type="dxa" w:w="2807"/>
          </w:tcPr>
          <w:p>
            <w:pPr>
              <w:spacing w:after="50" w:before="50" w:line="252" w:lineRule="auto"/>
            </w:pPr>
            <w:r>
              <w:rPr>
                <w:sz w:val="17"/>
              </w:rPr>
              <w:t>Register entry required</w:t>
            </w:r>
          </w:p>
        </w:tc>
      </w:tr>
    </w:tbl>
    <w:p>
      <w:pPr>
        <w:spacing w:after="80" w:before="0"/>
      </w:pPr>
    </w:p>
    <w:p>
      <w:r>
        <w:rPr>
          <w:b/>
        </w:rPr>
        <w:t>[verify — confirm entity execution formalities, board resolution requirements and seal usage for each of Equator Resolution and Equator ADR Institute with Company Secretary before first execution.]</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EQ-UAP-015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Delegation of Authority &amp; Approval Matrix</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65A8705-F5CC-4895-90B9-21AD801818B0}"/>
</file>

<file path=customXml/itemProps3.xml><?xml version="1.0" encoding="utf-8"?>
<ds:datastoreItem xmlns:ds="http://schemas.openxmlformats.org/officeDocument/2006/customXml" ds:itemID="{8B8F9BF0-21DD-4C47-BCAB-03A4EEE42003}"/>
</file>

<file path=customXml/itemProps4.xml><?xml version="1.0" encoding="utf-8"?>
<ds:datastoreItem xmlns:ds="http://schemas.openxmlformats.org/officeDocument/2006/customXml" ds:itemID="{554CB0D2-381E-4E0F-954F-2C4DA9C0862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