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Revised Go-to-Market Sequencing &amp; Lean Year 1 Plan</w:t>
      </w:r>
    </w:p>
    <w:p>
      <w:pPr>
        <w:spacing w:after="280" w:line="276" w:lineRule="auto"/>
      </w:pPr>
      <w:r>
        <w:rPr>
          <w:rFonts w:ascii="Calibri" w:hAnsi="Calibri"/>
          <w:i/>
          <w:color w:val="3E6B8A"/>
          <w:sz w:val="25"/>
        </w:rPr>
        <w:t>Why the original sequencing was backwards, what to sell first, and the single decision that moves the year 1 result by ₹16 lakh</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Strategy</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this document exists</w:t>
      </w:r>
    </w:p>
    <w:p>
      <w:r>
        <w:t xml:space="preserve">The strategy at 01.1 and the economics at 04.2 were built together, and when the numbers were finished they contradicted the plan. This document reconciles them. </w:t>
      </w:r>
      <w:r>
        <w:rPr>
          <w:b/>
        </w:rPr>
        <w:t>It supersedes section 6 of 01.1 (Sequencing) and section 8 of 04.2 (Portfolio view).</w:t>
      </w:r>
      <w:r>
        <w:t xml:space="preserve"> Everything else in those documents stands.</w:t>
      </w:r>
    </w:p>
    <w:p>
      <w:r>
        <w:t>Three findings drove the revision:</w:t>
      </w:r>
    </w:p>
    <w:p>
      <w:pPr>
        <w:pStyle w:val="ListNumber"/>
      </w:pPr>
      <w:r>
        <w:rPr>
          <w:b/>
          <w:sz w:val="21"/>
        </w:rPr>
        <w:t>The lines the plan led with are the worst lines in the model.</w:t>
      </w:r>
      <w:r>
        <w:rPr>
          <w:sz w:val="21"/>
        </w:rPr>
        <w:t xml:space="preserve"> Student certificate courses earn 29.8% at a full cohort, turn negative below 33 students, and require a local trainer bench that does not exist. Curriculum licensing earns 88%, coaching 58% and advisory retainers 32% — none of which needs a bench, a campus or a cohort.</w:t>
      </w:r>
    </w:p>
    <w:p>
      <w:pPr>
        <w:pStyle w:val="ListNumber"/>
      </w:pPr>
      <w:r>
        <w:rPr>
          <w:b/>
          <w:sz w:val="21"/>
        </w:rPr>
        <w:t>The trainer bench is the binding constraint on everything.</w:t>
      </w:r>
      <w:r>
        <w:rPr>
          <w:sz w:val="21"/>
        </w:rPr>
        <w:t xml:space="preserve"> Until a city has four certified trainers, student delivery in that city is uneconomic. Building the bench takes six to nine months and was not planned for.</w:t>
      </w:r>
    </w:p>
    <w:p>
      <w:pPr>
        <w:pStyle w:val="ListNumber"/>
      </w:pPr>
      <w:r>
        <w:rPr>
          <w:b/>
          <w:sz w:val="21"/>
        </w:rPr>
        <w:t>The year 1 loss is almost entirely a hiring decision.</w:t>
      </w:r>
      <w:r>
        <w:rPr>
          <w:sz w:val="21"/>
        </w:rPr>
        <w:t xml:space="preserve"> Running the programme on an existing executive's time in year 1 rather than a dedicated hire changes the result from a ₹25.8 lakh loss to a ₹9.3 lakh loss.</w:t>
      </w:r>
    </w:p>
    <w:p>
      <w:pPr>
        <w:spacing w:before="80" w:after="160"/>
        <w:pBdr>
          <w:bottom w:val="single" w:sz="6" w:space="1" w:color="C9D6DE"/>
        </w:pBdr>
      </w:pPr>
    </w:p>
    <w:p>
      <w:pPr>
        <w:pStyle w:val="Heading1"/>
        <w:pBdr>
          <w:bottom w:val="single" w:sz="8" w:space="4" w:color="C9D6DE"/>
        </w:pBdr>
      </w:pPr>
      <w:r>
        <w:t>2. The revised principle</w:t>
      </w:r>
    </w:p>
    <w:p>
      <w:pPr>
        <w:spacing w:before="140" w:after="140"/>
        <w:ind w:left="198" w:right="113"/>
        <w:shd w:val="clear" w:color="auto" w:fill="EAF1F4"/>
        <w:pBdr>
          <w:left w:val="single" w:sz="18" w:space="6" w:color="0E7C7B"/>
        </w:pBdr>
      </w:pPr>
      <w:r>
        <w:rPr>
          <w:b/>
          <w:sz w:val="19"/>
        </w:rPr>
        <w:t>Sell what needs no infrastructure first. Build infrastructure with the proceeds. Then sell what needs it.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855"/>
            <w:shd w:val="clear" w:color="auto" w:fill="10375C"/>
          </w:tcPr>
          <w:p>
            <w:pPr>
              <w:spacing w:after="50" w:before="50"/>
            </w:pPr>
            <w:r>
              <w:rPr>
                <w:b/>
                <w:color w:val="FFFFFF"/>
                <w:sz w:val="17"/>
              </w:rPr>
              <w:t>Sequence</w:t>
            </w:r>
          </w:p>
        </w:tc>
        <w:tc>
          <w:tcPr>
            <w:tcW w:type="dxa" w:w="3806"/>
            <w:shd w:val="clear" w:color="auto" w:fill="10375C"/>
          </w:tcPr>
          <w:p>
            <w:pPr>
              <w:spacing w:after="50" w:before="50"/>
            </w:pPr>
            <w:r>
              <w:rPr>
                <w:b/>
                <w:color w:val="FFFFFF"/>
                <w:sz w:val="17"/>
              </w:rPr>
              <w:t>Sell</w:t>
            </w:r>
          </w:p>
        </w:tc>
        <w:tc>
          <w:tcPr>
            <w:tcW w:type="dxa" w:w="3806"/>
            <w:shd w:val="clear" w:color="auto" w:fill="10375C"/>
          </w:tcPr>
          <w:p>
            <w:pPr>
              <w:spacing w:after="50" w:before="50"/>
            </w:pPr>
            <w:r>
              <w:rPr>
                <w:b/>
                <w:color w:val="FFFFFF"/>
                <w:sz w:val="17"/>
              </w:rPr>
              <w:t>Because</w:t>
            </w:r>
          </w:p>
        </w:tc>
      </w:tr>
      <w:tr>
        <w:tc>
          <w:tcPr>
            <w:tcW w:type="dxa" w:w="1855"/>
          </w:tcPr>
          <w:p>
            <w:pPr>
              <w:spacing w:after="50" w:before="50" w:line="252" w:lineRule="auto"/>
            </w:pPr>
            <w:r>
              <w:rPr>
                <w:b/>
                <w:sz w:val="17"/>
              </w:rPr>
              <w:t>Phase 1, months 1–12</w:t>
            </w:r>
          </w:p>
        </w:tc>
        <w:tc>
          <w:tcPr>
            <w:tcW w:type="dxa" w:w="3806"/>
          </w:tcPr>
          <w:p>
            <w:pPr>
              <w:spacing w:after="50" w:before="50" w:line="252" w:lineRule="auto"/>
            </w:pPr>
            <w:r>
              <w:rPr>
                <w:sz w:val="17"/>
              </w:rPr>
              <w:t>Advisory retainers · coaching · faculty development · institutional workshops · curriculum licensing</w:t>
            </w:r>
          </w:p>
        </w:tc>
        <w:tc>
          <w:tcPr>
            <w:tcW w:type="dxa" w:w="3806"/>
          </w:tcPr>
          <w:p>
            <w:pPr>
              <w:spacing w:after="50" w:before="50" w:line="252" w:lineRule="auto"/>
            </w:pPr>
            <w:r>
              <w:rPr>
                <w:sz w:val="17"/>
              </w:rPr>
              <w:t>High margin; deliverable by two or three senior people; no bench, no cohort, no campus dependency</w:t>
            </w:r>
          </w:p>
        </w:tc>
      </w:tr>
      <w:tr>
        <w:tc>
          <w:tcPr>
            <w:tcW w:type="dxa" w:w="1855"/>
            <w:shd w:val="clear" w:color="auto" w:fill="EAF1F4"/>
          </w:tcPr>
          <w:p>
            <w:pPr>
              <w:spacing w:after="50" w:before="50" w:line="252" w:lineRule="auto"/>
            </w:pPr>
            <w:r>
              <w:rPr>
                <w:b/>
                <w:sz w:val="17"/>
              </w:rPr>
              <w:t>Phase 2, months 13–24</w:t>
            </w:r>
          </w:p>
        </w:tc>
        <w:tc>
          <w:tcPr>
            <w:tcW w:type="dxa" w:w="3806"/>
            <w:shd w:val="clear" w:color="auto" w:fill="EAF1F4"/>
          </w:tcPr>
          <w:p>
            <w:pPr>
              <w:spacing w:after="50" w:before="50" w:line="252" w:lineRule="auto"/>
            </w:pPr>
            <w:r>
              <w:rPr>
                <w:sz w:val="17"/>
              </w:rPr>
              <w:t xml:space="preserve">Add student certificate courses </w:t>
            </w:r>
            <w:r>
              <w:rPr>
                <w:b/>
                <w:sz w:val="17"/>
              </w:rPr>
              <w:t>in bench cities only</w:t>
            </w:r>
            <w:r>
              <w:rPr>
                <w:sz w:val="17"/>
              </w:rPr>
              <w:t xml:space="preserve"> · membership tier · first own competition</w:t>
            </w:r>
          </w:p>
        </w:tc>
        <w:tc>
          <w:tcPr>
            <w:tcW w:type="dxa" w:w="3806"/>
            <w:shd w:val="clear" w:color="auto" w:fill="EAF1F4"/>
          </w:tcPr>
          <w:p>
            <w:pPr>
              <w:spacing w:after="50" w:before="50" w:line="252" w:lineRule="auto"/>
            </w:pPr>
            <w:r>
              <w:rPr>
                <w:sz w:val="17"/>
              </w:rPr>
              <w:t>The bench now exists where it is needed; the brand has evidence behind it</w:t>
            </w:r>
          </w:p>
        </w:tc>
      </w:tr>
      <w:tr>
        <w:tc>
          <w:tcPr>
            <w:tcW w:type="dxa" w:w="1855"/>
          </w:tcPr>
          <w:p>
            <w:pPr>
              <w:spacing w:after="50" w:before="50" w:line="252" w:lineRule="auto"/>
            </w:pPr>
            <w:r>
              <w:rPr>
                <w:b/>
                <w:sz w:val="17"/>
              </w:rPr>
              <w:t>Phase 3, months 25–36</w:t>
            </w:r>
          </w:p>
        </w:tc>
        <w:tc>
          <w:tcPr>
            <w:tcW w:type="dxa" w:w="3806"/>
          </w:tcPr>
          <w:p>
            <w:pPr>
              <w:spacing w:after="50" w:before="50" w:line="252" w:lineRule="auto"/>
            </w:pPr>
            <w:r>
              <w:rPr>
                <w:sz w:val="17"/>
              </w:rPr>
              <w:t>Scale student delivery nationally · licence curriculum to third parties · residential schools</w:t>
            </w:r>
          </w:p>
        </w:tc>
        <w:tc>
          <w:tcPr>
            <w:tcW w:type="dxa" w:w="3806"/>
          </w:tcPr>
          <w:p>
            <w:pPr>
              <w:spacing w:after="50" w:before="50" w:line="252" w:lineRule="auto"/>
            </w:pPr>
            <w:r>
              <w:rPr>
                <w:sz w:val="17"/>
              </w:rPr>
              <w:t>Infrastructure is in place and the offering is proven</w:t>
            </w:r>
          </w:p>
        </w:tc>
      </w:tr>
    </w:tbl>
    <w:p>
      <w:pPr>
        <w:spacing w:after="80" w:before="0"/>
      </w:pPr>
    </w:p>
    <w:p>
      <w:pPr>
        <w:pStyle w:val="Heading2"/>
      </w:pPr>
      <w:r>
        <w:t>2.1 What this changes in practice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068"/>
            <w:shd w:val="clear" w:color="auto" w:fill="10375C"/>
          </w:tcPr>
          <w:p>
            <w:pPr>
              <w:spacing w:after="50" w:before="50"/>
            </w:pPr>
            <w:r>
              <w:rPr>
                <w:b/>
                <w:color w:val="FFFFFF"/>
                <w:sz w:val="17"/>
              </w:rPr>
              <w:t>Original plan</w:t>
            </w:r>
          </w:p>
        </w:tc>
        <w:tc>
          <w:tcPr>
            <w:tcW w:type="dxa" w:w="5399"/>
            <w:shd w:val="clear" w:color="auto" w:fill="10375C"/>
          </w:tcPr>
          <w:p>
            <w:pPr>
              <w:spacing w:after="50" w:before="50"/>
            </w:pPr>
            <w:r>
              <w:rPr>
                <w:b/>
                <w:color w:val="FFFFFF"/>
                <w:sz w:val="17"/>
              </w:rPr>
              <w:t>Revised plan</w:t>
            </w:r>
          </w:p>
        </w:tc>
      </w:tr>
      <w:tr>
        <w:tc>
          <w:tcPr>
            <w:tcW w:type="dxa" w:w="4068"/>
          </w:tcPr>
          <w:p>
            <w:pPr>
              <w:spacing w:after="50" w:before="50" w:line="252" w:lineRule="auto"/>
            </w:pPr>
            <w:r>
              <w:rPr>
                <w:sz w:val="17"/>
              </w:rPr>
              <w:t>Sign two Tier 1 anchors first</w:t>
            </w:r>
          </w:p>
        </w:tc>
        <w:tc>
          <w:tcPr>
            <w:tcW w:type="dxa" w:w="5399"/>
          </w:tcPr>
          <w:p>
            <w:pPr>
              <w:spacing w:after="50" w:before="50" w:line="252" w:lineRule="auto"/>
            </w:pPr>
            <w:r>
              <w:rPr>
                <w:sz w:val="17"/>
              </w:rPr>
              <w:t xml:space="preserve">Sign </w:t>
            </w:r>
            <w:r>
              <w:rPr>
                <w:b/>
                <w:sz w:val="17"/>
              </w:rPr>
              <w:t>institutional advisory clients</w:t>
            </w:r>
            <w:r>
              <w:rPr>
                <w:sz w:val="17"/>
              </w:rPr>
              <w:t xml:space="preserve"> first — they need no MOU, no tier, no calendar</w:t>
            </w:r>
          </w:p>
        </w:tc>
      </w:tr>
      <w:tr>
        <w:tc>
          <w:tcPr>
            <w:tcW w:type="dxa" w:w="4068"/>
            <w:shd w:val="clear" w:color="auto" w:fill="EAF1F4"/>
          </w:tcPr>
          <w:p>
            <w:pPr>
              <w:spacing w:after="50" w:before="50" w:line="252" w:lineRule="auto"/>
            </w:pPr>
            <w:r>
              <w:rPr>
                <w:sz w:val="17"/>
              </w:rPr>
              <w:t>Run a 40-hour student cohort in month 3</w:t>
            </w:r>
          </w:p>
        </w:tc>
        <w:tc>
          <w:tcPr>
            <w:tcW w:type="dxa" w:w="5399"/>
            <w:shd w:val="clear" w:color="auto" w:fill="EAF1F4"/>
          </w:tcPr>
          <w:p>
            <w:pPr>
              <w:spacing w:after="50" w:before="50" w:line="252" w:lineRule="auto"/>
            </w:pPr>
            <w:r>
              <w:rPr>
                <w:sz w:val="17"/>
              </w:rPr>
              <w:t xml:space="preserve">Run the </w:t>
            </w:r>
            <w:r>
              <w:rPr>
                <w:b/>
                <w:sz w:val="17"/>
              </w:rPr>
              <w:t>first FDP</w:t>
            </w:r>
            <w:r>
              <w:rPr>
                <w:sz w:val="17"/>
              </w:rPr>
              <w:t xml:space="preserve"> in month 3; student cohorts wait for the bench</w:t>
            </w:r>
          </w:p>
        </w:tc>
      </w:tr>
      <w:tr>
        <w:tc>
          <w:tcPr>
            <w:tcW w:type="dxa" w:w="4068"/>
          </w:tcPr>
          <w:p>
            <w:pPr>
              <w:spacing w:after="50" w:before="50" w:line="252" w:lineRule="auto"/>
            </w:pPr>
            <w:r>
              <w:rPr>
                <w:sz w:val="17"/>
              </w:rPr>
              <w:t>Launch the national competition in year 1</w:t>
            </w:r>
          </w:p>
        </w:tc>
        <w:tc>
          <w:tcPr>
            <w:tcW w:type="dxa" w:w="5399"/>
          </w:tcPr>
          <w:p>
            <w:pPr>
              <w:spacing w:after="50" w:before="50" w:line="252" w:lineRule="auto"/>
            </w:pPr>
            <w:r>
              <w:rPr>
                <w:b/>
                <w:sz w:val="17"/>
              </w:rPr>
              <w:t>Sponsor and judge at three existing competitions</w:t>
            </w:r>
            <w:r>
              <w:rPr>
                <w:sz w:val="17"/>
              </w:rPr>
              <w:t xml:space="preserve"> in year 1; launch our own in year 2</w:t>
            </w:r>
          </w:p>
        </w:tc>
      </w:tr>
      <w:tr>
        <w:tc>
          <w:tcPr>
            <w:tcW w:type="dxa" w:w="4068"/>
            <w:shd w:val="clear" w:color="auto" w:fill="EAF1F4"/>
          </w:tcPr>
          <w:p>
            <w:pPr>
              <w:spacing w:after="50" w:before="50" w:line="252" w:lineRule="auto"/>
            </w:pPr>
            <w:r>
              <w:rPr>
                <w:sz w:val="17"/>
              </w:rPr>
              <w:t>Hire a full programme team from month 1</w:t>
            </w:r>
          </w:p>
        </w:tc>
        <w:tc>
          <w:tcPr>
            <w:tcW w:type="dxa" w:w="5399"/>
            <w:shd w:val="clear" w:color="auto" w:fill="EAF1F4"/>
          </w:tcPr>
          <w:p>
            <w:pPr>
              <w:spacing w:after="50" w:before="50" w:line="252" w:lineRule="auto"/>
            </w:pPr>
            <w:r>
              <w:rPr>
                <w:b/>
                <w:sz w:val="17"/>
              </w:rPr>
              <w:t>Two people plus fractional support</w:t>
            </w:r>
            <w:r>
              <w:rPr>
                <w:sz w:val="17"/>
              </w:rPr>
              <w:t xml:space="preserve"> in year 1; build the team against revenue</w:t>
            </w:r>
          </w:p>
        </w:tc>
      </w:tr>
      <w:tr>
        <w:tc>
          <w:tcPr>
            <w:tcW w:type="dxa" w:w="4068"/>
          </w:tcPr>
          <w:p>
            <w:pPr>
              <w:spacing w:after="50" w:before="50" w:line="252" w:lineRule="auto"/>
            </w:pPr>
            <w:r>
              <w:rPr>
                <w:sz w:val="17"/>
              </w:rPr>
              <w:t>Target the leading NLUs</w:t>
            </w:r>
          </w:p>
        </w:tc>
        <w:tc>
          <w:tcPr>
            <w:tcW w:type="dxa" w:w="5399"/>
          </w:tcPr>
          <w:p>
            <w:pPr>
              <w:spacing w:after="50" w:before="50" w:line="252" w:lineRule="auto"/>
            </w:pPr>
            <w:r>
              <w:rPr>
                <w:sz w:val="17"/>
              </w:rPr>
              <w:t>Target the tier below, where the ground is not already occupied (see 01.7)</w:t>
            </w:r>
          </w:p>
        </w:tc>
      </w:tr>
      <w:tr>
        <w:tc>
          <w:tcPr>
            <w:tcW w:type="dxa" w:w="4068"/>
            <w:shd w:val="clear" w:color="auto" w:fill="EAF1F4"/>
          </w:tcPr>
          <w:p>
            <w:pPr>
              <w:spacing w:after="50" w:before="50" w:line="252" w:lineRule="auto"/>
            </w:pPr>
            <w:r>
              <w:rPr>
                <w:sz w:val="17"/>
              </w:rPr>
              <w:t>Build the bench "before scaling"</w:t>
            </w:r>
          </w:p>
        </w:tc>
        <w:tc>
          <w:tcPr>
            <w:tcW w:type="dxa" w:w="5399"/>
            <w:shd w:val="clear" w:color="auto" w:fill="EAF1F4"/>
          </w:tcPr>
          <w:p>
            <w:pPr>
              <w:spacing w:after="50" w:before="50" w:line="252" w:lineRule="auto"/>
            </w:pPr>
            <w:r>
              <w:rPr>
                <w:b/>
                <w:sz w:val="17"/>
              </w:rPr>
              <w:t>Build the bench in one named city as a funded year 1 objective</w:t>
            </w:r>
            <w:r>
              <w:rPr>
                <w:sz w:val="17"/>
              </w:rPr>
              <w:t xml:space="preserve"> (see 07.11)</w:t>
            </w:r>
          </w:p>
        </w:tc>
      </w:tr>
    </w:tbl>
    <w:p>
      <w:pPr>
        <w:spacing w:after="80" w:before="0"/>
      </w:pPr>
    </w:p>
    <w:p>
      <w:pPr>
        <w:spacing w:before="80" w:after="160"/>
        <w:pBdr>
          <w:bottom w:val="single" w:sz="6" w:space="1" w:color="C9D6DE"/>
        </w:pBdr>
      </w:pPr>
    </w:p>
    <w:p>
      <w:pPr>
        <w:pStyle w:val="Heading1"/>
        <w:pBdr>
          <w:bottom w:val="single" w:sz="8" w:space="4" w:color="C9D6DE"/>
        </w:pBdr>
      </w:pPr>
      <w:r>
        <w:t>3. The hiring decision</w:t>
      </w:r>
    </w:p>
    <w:p>
      <w:r>
        <w:t>This is the largest single variable in the year 1 result and it deserves to be decided consciously.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832"/>
            <w:shd w:val="clear" w:color="auto" w:fill="10375C"/>
          </w:tcPr>
          <w:p>
            <w:pPr>
              <w:spacing w:after="50" w:before="50"/>
            </w:pPr>
          </w:p>
        </w:tc>
        <w:tc>
          <w:tcPr>
            <w:tcW w:type="dxa" w:w="3835"/>
            <w:shd w:val="clear" w:color="auto" w:fill="10375C"/>
          </w:tcPr>
          <w:p>
            <w:pPr>
              <w:spacing w:after="50" w:before="50"/>
            </w:pPr>
            <w:r>
              <w:rPr>
                <w:b/>
                <w:color w:val="FFFFFF"/>
                <w:sz w:val="17"/>
              </w:rPr>
              <w:t>Scenario A — Founder-led</w:t>
            </w:r>
          </w:p>
        </w:tc>
        <w:tc>
          <w:tcPr>
            <w:tcW w:type="dxa" w:w="2801"/>
            <w:shd w:val="clear" w:color="auto" w:fill="10375C"/>
          </w:tcPr>
          <w:p>
            <w:pPr>
              <w:spacing w:after="50" w:before="50"/>
            </w:pPr>
            <w:r>
              <w:rPr>
                <w:b/>
                <w:color w:val="FFFFFF"/>
                <w:sz w:val="17"/>
              </w:rPr>
              <w:t>Scenario B — Full team</w:t>
            </w:r>
          </w:p>
        </w:tc>
      </w:tr>
      <w:tr>
        <w:tc>
          <w:tcPr>
            <w:tcW w:type="dxa" w:w="2832"/>
          </w:tcPr>
          <w:p>
            <w:pPr>
              <w:spacing w:after="50" w:before="50" w:line="252" w:lineRule="auto"/>
            </w:pPr>
            <w:r>
              <w:rPr>
                <w:sz w:val="17"/>
              </w:rPr>
              <w:t>Programme Director</w:t>
            </w:r>
          </w:p>
        </w:tc>
        <w:tc>
          <w:tcPr>
            <w:tcW w:type="dxa" w:w="3835"/>
          </w:tcPr>
          <w:p>
            <w:pPr>
              <w:spacing w:after="50" w:before="50" w:line="252" w:lineRule="auto"/>
            </w:pPr>
            <w:r>
              <w:rPr>
                <w:sz w:val="17"/>
              </w:rPr>
              <w:t>An existing Equator executive at 50% allocation</w:t>
            </w:r>
          </w:p>
        </w:tc>
        <w:tc>
          <w:tcPr>
            <w:tcW w:type="dxa" w:w="2801"/>
          </w:tcPr>
          <w:p>
            <w:pPr>
              <w:spacing w:after="50" w:before="50" w:line="252" w:lineRule="auto"/>
            </w:pPr>
            <w:r>
              <w:rPr>
                <w:sz w:val="17"/>
              </w:rPr>
              <w:t>Dedicated hire from month 1</w:t>
            </w:r>
          </w:p>
        </w:tc>
      </w:tr>
      <w:tr>
        <w:tc>
          <w:tcPr>
            <w:tcW w:type="dxa" w:w="2832"/>
            <w:shd w:val="clear" w:color="auto" w:fill="EAF1F4"/>
          </w:tcPr>
          <w:p>
            <w:pPr>
              <w:spacing w:after="50" w:before="50" w:line="252" w:lineRule="auto"/>
            </w:pPr>
            <w:r>
              <w:rPr>
                <w:sz w:val="17"/>
              </w:rPr>
              <w:t>Manager — BD and Programmes</w:t>
            </w:r>
          </w:p>
        </w:tc>
        <w:tc>
          <w:tcPr>
            <w:tcW w:type="dxa" w:w="3835"/>
            <w:shd w:val="clear" w:color="auto" w:fill="EAF1F4"/>
          </w:tcPr>
          <w:p>
            <w:pPr>
              <w:spacing w:after="50" w:before="50" w:line="252" w:lineRule="auto"/>
            </w:pPr>
            <w:r>
              <w:rPr>
                <w:sz w:val="17"/>
              </w:rPr>
              <w:t>1.0 FTE hire</w:t>
            </w:r>
          </w:p>
        </w:tc>
        <w:tc>
          <w:tcPr>
            <w:tcW w:type="dxa" w:w="2801"/>
            <w:shd w:val="clear" w:color="auto" w:fill="EAF1F4"/>
          </w:tcPr>
          <w:p>
            <w:pPr>
              <w:spacing w:after="50" w:before="50" w:line="252" w:lineRule="auto"/>
            </w:pPr>
            <w:r>
              <w:rPr>
                <w:sz w:val="17"/>
              </w:rPr>
              <w:t>1.0 FTE hire</w:t>
            </w:r>
          </w:p>
        </w:tc>
      </w:tr>
      <w:tr>
        <w:tc>
          <w:tcPr>
            <w:tcW w:type="dxa" w:w="2832"/>
          </w:tcPr>
          <w:p>
            <w:pPr>
              <w:spacing w:after="50" w:before="50" w:line="252" w:lineRule="auto"/>
            </w:pPr>
            <w:r>
              <w:rPr>
                <w:sz w:val="17"/>
              </w:rPr>
              <w:t>Coordinator</w:t>
            </w:r>
          </w:p>
        </w:tc>
        <w:tc>
          <w:tcPr>
            <w:tcW w:type="dxa" w:w="3835"/>
          </w:tcPr>
          <w:p>
            <w:pPr>
              <w:spacing w:after="50" w:before="50" w:line="252" w:lineRule="auto"/>
            </w:pPr>
            <w:r>
              <w:rPr>
                <w:sz w:val="17"/>
              </w:rPr>
              <w:t>0.4 FTE</w:t>
            </w:r>
          </w:p>
        </w:tc>
        <w:tc>
          <w:tcPr>
            <w:tcW w:type="dxa" w:w="2801"/>
          </w:tcPr>
          <w:p>
            <w:pPr>
              <w:spacing w:after="50" w:before="50" w:line="252" w:lineRule="auto"/>
            </w:pPr>
            <w:r>
              <w:rPr>
                <w:sz w:val="17"/>
              </w:rPr>
              <w:t>1.0 FTE</w:t>
            </w:r>
          </w:p>
        </w:tc>
      </w:tr>
      <w:tr>
        <w:tc>
          <w:tcPr>
            <w:tcW w:type="dxa" w:w="2832"/>
            <w:shd w:val="clear" w:color="auto" w:fill="EAF1F4"/>
          </w:tcPr>
          <w:p>
            <w:pPr>
              <w:spacing w:after="50" w:before="50" w:line="252" w:lineRule="auto"/>
            </w:pPr>
            <w:r>
              <w:rPr>
                <w:sz w:val="17"/>
              </w:rPr>
              <w:t>Curriculum, Operations, Research</w:t>
            </w:r>
          </w:p>
        </w:tc>
        <w:tc>
          <w:tcPr>
            <w:tcW w:type="dxa" w:w="3835"/>
            <w:shd w:val="clear" w:color="auto" w:fill="EAF1F4"/>
          </w:tcPr>
          <w:p>
            <w:pPr>
              <w:spacing w:after="50" w:before="50" w:line="252" w:lineRule="auto"/>
            </w:pPr>
            <w:r>
              <w:rPr>
                <w:sz w:val="17"/>
              </w:rPr>
              <w:t>Not yet; contracted in</w:t>
            </w:r>
          </w:p>
        </w:tc>
        <w:tc>
          <w:tcPr>
            <w:tcW w:type="dxa" w:w="2801"/>
            <w:shd w:val="clear" w:color="auto" w:fill="EAF1F4"/>
          </w:tcPr>
          <w:p>
            <w:pPr>
              <w:spacing w:after="50" w:before="50" w:line="252" w:lineRule="auto"/>
            </w:pPr>
            <w:r>
              <w:rPr>
                <w:sz w:val="17"/>
              </w:rPr>
              <w:t>Hired</w:t>
            </w:r>
          </w:p>
        </w:tc>
      </w:tr>
      <w:tr>
        <w:tc>
          <w:tcPr>
            <w:tcW w:type="dxa" w:w="2832"/>
          </w:tcPr>
          <w:p>
            <w:pPr>
              <w:spacing w:after="50" w:before="50" w:line="252" w:lineRule="auto"/>
            </w:pPr>
            <w:r>
              <w:rPr>
                <w:sz w:val="17"/>
              </w:rPr>
              <w:t>Fixed cost, year 1</w:t>
            </w:r>
          </w:p>
        </w:tc>
        <w:tc>
          <w:tcPr>
            <w:tcW w:type="dxa" w:w="3835"/>
          </w:tcPr>
          <w:p>
            <w:pPr>
              <w:spacing w:after="50" w:before="50" w:line="252" w:lineRule="auto"/>
            </w:pPr>
            <w:r>
              <w:rPr>
                <w:b/>
                <w:sz w:val="17"/>
              </w:rPr>
              <w:t>₹36.9 lakh</w:t>
            </w:r>
          </w:p>
        </w:tc>
        <w:tc>
          <w:tcPr>
            <w:tcW w:type="dxa" w:w="2801"/>
          </w:tcPr>
          <w:p>
            <w:pPr>
              <w:spacing w:after="50" w:before="50" w:line="252" w:lineRule="auto"/>
            </w:pPr>
            <w:r>
              <w:rPr>
                <w:b/>
                <w:sz w:val="17"/>
              </w:rPr>
              <w:t>₹53.4 lakh</w:t>
            </w:r>
          </w:p>
        </w:tc>
      </w:tr>
      <w:tr>
        <w:tc>
          <w:tcPr>
            <w:tcW w:type="dxa" w:w="2832"/>
            <w:shd w:val="clear" w:color="auto" w:fill="EAF1F4"/>
          </w:tcPr>
          <w:p>
            <w:pPr>
              <w:spacing w:after="50" w:before="50" w:line="252" w:lineRule="auto"/>
            </w:pPr>
            <w:r>
              <w:rPr>
                <w:sz w:val="17"/>
              </w:rPr>
              <w:t>Contribution, year 1</w:t>
            </w:r>
          </w:p>
        </w:tc>
        <w:tc>
          <w:tcPr>
            <w:tcW w:type="dxa" w:w="3835"/>
            <w:shd w:val="clear" w:color="auto" w:fill="EAF1F4"/>
          </w:tcPr>
          <w:p>
            <w:pPr>
              <w:spacing w:after="50" w:before="50" w:line="252" w:lineRule="auto"/>
            </w:pPr>
            <w:r>
              <w:rPr>
                <w:sz w:val="17"/>
              </w:rPr>
              <w:t>₹27.6 lakh</w:t>
            </w:r>
          </w:p>
        </w:tc>
        <w:tc>
          <w:tcPr>
            <w:tcW w:type="dxa" w:w="2801"/>
            <w:shd w:val="clear" w:color="auto" w:fill="EAF1F4"/>
          </w:tcPr>
          <w:p>
            <w:pPr>
              <w:spacing w:after="50" w:before="50" w:line="252" w:lineRule="auto"/>
            </w:pPr>
            <w:r>
              <w:rPr>
                <w:sz w:val="17"/>
              </w:rPr>
              <w:t>₹27.6 lakh</w:t>
            </w:r>
          </w:p>
        </w:tc>
      </w:tr>
      <w:tr>
        <w:tc>
          <w:tcPr>
            <w:tcW w:type="dxa" w:w="2832"/>
          </w:tcPr>
          <w:p>
            <w:pPr>
              <w:spacing w:after="50" w:before="50" w:line="252" w:lineRule="auto"/>
            </w:pPr>
            <w:r>
              <w:rPr>
                <w:b/>
                <w:sz w:val="17"/>
              </w:rPr>
              <w:t>Year 1 result</w:t>
            </w:r>
          </w:p>
        </w:tc>
        <w:tc>
          <w:tcPr>
            <w:tcW w:type="dxa" w:w="3835"/>
          </w:tcPr>
          <w:p>
            <w:pPr>
              <w:spacing w:after="50" w:before="50" w:line="252" w:lineRule="auto"/>
            </w:pPr>
            <w:r>
              <w:rPr>
                <w:b/>
                <w:sz w:val="17"/>
              </w:rPr>
              <w:t>(₹9.3 lakh)</w:t>
            </w:r>
          </w:p>
        </w:tc>
        <w:tc>
          <w:tcPr>
            <w:tcW w:type="dxa" w:w="2801"/>
          </w:tcPr>
          <w:p>
            <w:pPr>
              <w:spacing w:after="50" w:before="50" w:line="252" w:lineRule="auto"/>
            </w:pPr>
            <w:r>
              <w:rPr>
                <w:b/>
                <w:sz w:val="17"/>
              </w:rPr>
              <w:t>(₹25.8 lakh)</w:t>
            </w:r>
          </w:p>
        </w:tc>
      </w:tr>
      <w:tr>
        <w:tc>
          <w:tcPr>
            <w:tcW w:type="dxa" w:w="2832"/>
            <w:shd w:val="clear" w:color="auto" w:fill="EAF1F4"/>
          </w:tcPr>
          <w:p>
            <w:pPr>
              <w:spacing w:after="50" w:before="50" w:line="252" w:lineRule="auto"/>
            </w:pPr>
            <w:r>
              <w:rPr>
                <w:sz w:val="17"/>
              </w:rPr>
              <w:t>Capacity to deliver</w:t>
            </w:r>
          </w:p>
        </w:tc>
        <w:tc>
          <w:tcPr>
            <w:tcW w:type="dxa" w:w="3835"/>
            <w:shd w:val="clear" w:color="auto" w:fill="EAF1F4"/>
          </w:tcPr>
          <w:p>
            <w:pPr>
              <w:spacing w:after="50" w:before="50" w:line="252" w:lineRule="auto"/>
            </w:pPr>
            <w:r>
              <w:rPr>
                <w:sz w:val="17"/>
              </w:rPr>
              <w:t>Adequate for the Phase 1 mix</w:t>
            </w:r>
          </w:p>
        </w:tc>
        <w:tc>
          <w:tcPr>
            <w:tcW w:type="dxa" w:w="2801"/>
            <w:shd w:val="clear" w:color="auto" w:fill="EAF1F4"/>
          </w:tcPr>
          <w:p>
            <w:pPr>
              <w:spacing w:after="50" w:before="50" w:line="252" w:lineRule="auto"/>
            </w:pPr>
            <w:r>
              <w:rPr>
                <w:sz w:val="17"/>
              </w:rPr>
              <w:t>Under-utilised</w:t>
            </w:r>
          </w:p>
        </w:tc>
      </w:tr>
      <w:tr>
        <w:tc>
          <w:tcPr>
            <w:tcW w:type="dxa" w:w="2832"/>
          </w:tcPr>
          <w:p>
            <w:pPr>
              <w:spacing w:after="50" w:before="50" w:line="252" w:lineRule="auto"/>
            </w:pPr>
            <w:r>
              <w:rPr>
                <w:sz w:val="17"/>
              </w:rPr>
              <w:t>Risk</w:t>
            </w:r>
          </w:p>
        </w:tc>
        <w:tc>
          <w:tcPr>
            <w:tcW w:type="dxa" w:w="3835"/>
          </w:tcPr>
          <w:p>
            <w:pPr>
              <w:spacing w:after="50" w:before="50" w:line="252" w:lineRule="auto"/>
            </w:pPr>
            <w:r>
              <w:rPr>
                <w:sz w:val="17"/>
              </w:rPr>
              <w:t>Director's attention is split</w:t>
            </w:r>
          </w:p>
        </w:tc>
        <w:tc>
          <w:tcPr>
            <w:tcW w:type="dxa" w:w="2801"/>
          </w:tcPr>
          <w:p>
            <w:pPr>
              <w:spacing w:after="50" w:before="50" w:line="252" w:lineRule="auto"/>
            </w:pPr>
            <w:r>
              <w:rPr>
                <w:sz w:val="17"/>
              </w:rPr>
              <w:t>Cash burn before evidence exists</w:t>
            </w:r>
          </w:p>
        </w:tc>
      </w:tr>
    </w:tbl>
    <w:p>
      <w:pPr>
        <w:spacing w:after="80" w:before="0"/>
      </w:pPr>
    </w:p>
    <w:p>
      <w:r>
        <w:rPr>
          <w:b/>
        </w:rPr>
        <w:t>Recommendation: Scenario A.</w:t>
      </w:r>
      <w:r>
        <w:t xml:space="preserve"> The Phase 1 mix — advisory, coaching, FDP — is senior-heavy and volume-light, which is exactly what a part-time senior person plus one full-time manager can deliver. Hiring a dedicated Director in month 1 buys capacity the year 1 revenue mix cannot use.</w:t>
      </w:r>
    </w:p>
    <w:p>
      <w:r>
        <w:rPr>
          <w:b/>
        </w:rPr>
        <w:t>The trigger for moving to Scenario B</w:t>
      </w:r>
      <w:r>
        <w:t xml:space="preserve"> is contracted forward revenue of ₹1 crore, which on the plan below occurs in month 13 to 15.</w:t>
      </w:r>
    </w:p>
    <w:p>
      <w:pPr>
        <w:spacing w:before="80" w:after="160"/>
        <w:pBdr>
          <w:bottom w:val="single" w:sz="6" w:space="1" w:color="C9D6DE"/>
        </w:pBdr>
      </w:pPr>
    </w:p>
    <w:p>
      <w:pPr>
        <w:pStyle w:val="Heading1"/>
        <w:pBdr>
          <w:bottom w:val="single" w:sz="8" w:space="4" w:color="C9D6DE"/>
        </w:pBdr>
      </w:pPr>
      <w:r>
        <w:t>4. Year 1 revenue plan — Phase 1 mix</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4239"/>
            <w:shd w:val="clear" w:color="auto" w:fill="10375C"/>
          </w:tcPr>
          <w:p>
            <w:pPr>
              <w:spacing w:after="50" w:before="50"/>
            </w:pPr>
            <w:r>
              <w:rPr>
                <w:b/>
                <w:color w:val="FFFFFF"/>
                <w:sz w:val="17"/>
              </w:rPr>
              <w:t>Line</w:t>
            </w:r>
          </w:p>
        </w:tc>
        <w:tc>
          <w:tcPr>
            <w:tcW w:type="dxa" w:w="850"/>
            <w:shd w:val="clear" w:color="auto" w:fill="10375C"/>
          </w:tcPr>
          <w:p>
            <w:pPr>
              <w:spacing w:after="50" w:before="50"/>
            </w:pPr>
            <w:r>
              <w:rPr>
                <w:b/>
                <w:color w:val="FFFFFF"/>
                <w:sz w:val="17"/>
              </w:rPr>
              <w:t>Units</w:t>
            </w:r>
          </w:p>
        </w:tc>
        <w:tc>
          <w:tcPr>
            <w:tcW w:type="dxa" w:w="1155"/>
            <w:shd w:val="clear" w:color="auto" w:fill="10375C"/>
          </w:tcPr>
          <w:p>
            <w:pPr>
              <w:spacing w:after="50" w:before="50"/>
            </w:pPr>
            <w:r>
              <w:rPr>
                <w:b/>
                <w:color w:val="FFFFFF"/>
                <w:sz w:val="17"/>
              </w:rPr>
              <w:t>Unit revenue</w:t>
            </w:r>
          </w:p>
        </w:tc>
        <w:tc>
          <w:tcPr>
            <w:tcW w:type="dxa" w:w="1339"/>
            <w:shd w:val="clear" w:color="auto" w:fill="10375C"/>
          </w:tcPr>
          <w:p>
            <w:pPr>
              <w:spacing w:after="50" w:before="50"/>
            </w:pPr>
            <w:r>
              <w:rPr>
                <w:b/>
                <w:color w:val="FFFFFF"/>
                <w:sz w:val="17"/>
              </w:rPr>
              <w:t>Revenue</w:t>
            </w:r>
          </w:p>
        </w:tc>
        <w:tc>
          <w:tcPr>
            <w:tcW w:type="dxa" w:w="1446"/>
            <w:shd w:val="clear" w:color="auto" w:fill="10375C"/>
          </w:tcPr>
          <w:p>
            <w:pPr>
              <w:spacing w:after="50" w:before="50"/>
            </w:pPr>
            <w:r>
              <w:rPr>
                <w:b/>
                <w:color w:val="FFFFFF"/>
                <w:sz w:val="17"/>
              </w:rPr>
              <w:t>Contribution</w:t>
            </w:r>
          </w:p>
        </w:tc>
      </w:tr>
      <w:tr>
        <w:tc>
          <w:tcPr>
            <w:tcW w:type="dxa" w:w="850"/>
          </w:tcPr>
          <w:p>
            <w:pPr>
              <w:spacing w:after="50" w:before="50" w:line="252" w:lineRule="auto"/>
            </w:pPr>
            <w:r>
              <w:rPr>
                <w:sz w:val="17"/>
              </w:rPr>
              <w:t>1</w:t>
            </w:r>
          </w:p>
        </w:tc>
        <w:tc>
          <w:tcPr>
            <w:tcW w:type="dxa" w:w="4239"/>
          </w:tcPr>
          <w:p>
            <w:pPr>
              <w:spacing w:after="50" w:before="50" w:line="252" w:lineRule="auto"/>
            </w:pPr>
            <w:r>
              <w:rPr>
                <w:sz w:val="17"/>
              </w:rPr>
              <w:t>Advisory retainer, comprehensive (ADV-A)</w:t>
            </w:r>
          </w:p>
        </w:tc>
        <w:tc>
          <w:tcPr>
            <w:tcW w:type="dxa" w:w="850"/>
          </w:tcPr>
          <w:p>
            <w:pPr>
              <w:spacing w:after="50" w:before="50" w:line="252" w:lineRule="auto"/>
            </w:pPr>
            <w:r>
              <w:rPr>
                <w:sz w:val="17"/>
              </w:rPr>
              <w:t>3</w:t>
            </w:r>
          </w:p>
        </w:tc>
        <w:tc>
          <w:tcPr>
            <w:tcW w:type="dxa" w:w="1155"/>
          </w:tcPr>
          <w:p>
            <w:pPr>
              <w:spacing w:after="50" w:before="50" w:line="252" w:lineRule="auto"/>
            </w:pPr>
            <w:r>
              <w:rPr>
                <w:sz w:val="17"/>
              </w:rPr>
              <w:t>3,60,000</w:t>
            </w:r>
          </w:p>
        </w:tc>
        <w:tc>
          <w:tcPr>
            <w:tcW w:type="dxa" w:w="1339"/>
          </w:tcPr>
          <w:p>
            <w:pPr>
              <w:spacing w:after="50" w:before="50" w:line="252" w:lineRule="auto"/>
            </w:pPr>
            <w:r>
              <w:rPr>
                <w:sz w:val="17"/>
              </w:rPr>
              <w:t>10,80,000</w:t>
            </w:r>
          </w:p>
        </w:tc>
        <w:tc>
          <w:tcPr>
            <w:tcW w:type="dxa" w:w="1446"/>
          </w:tcPr>
          <w:p>
            <w:pPr>
              <w:spacing w:after="50" w:before="50" w:line="252" w:lineRule="auto"/>
            </w:pPr>
            <w:r>
              <w:rPr>
                <w:sz w:val="17"/>
              </w:rPr>
              <w:t>3,42,000</w:t>
            </w:r>
          </w:p>
        </w:tc>
      </w:tr>
      <w:tr>
        <w:tc>
          <w:tcPr>
            <w:tcW w:type="dxa" w:w="850"/>
            <w:shd w:val="clear" w:color="auto" w:fill="EAF1F4"/>
          </w:tcPr>
          <w:p>
            <w:pPr>
              <w:spacing w:after="50" w:before="50" w:line="252" w:lineRule="auto"/>
            </w:pPr>
            <w:r>
              <w:rPr>
                <w:sz w:val="17"/>
              </w:rPr>
              <w:t>2</w:t>
            </w:r>
          </w:p>
        </w:tc>
        <w:tc>
          <w:tcPr>
            <w:tcW w:type="dxa" w:w="4239"/>
            <w:shd w:val="clear" w:color="auto" w:fill="EAF1F4"/>
          </w:tcPr>
          <w:p>
            <w:pPr>
              <w:spacing w:after="50" w:before="50" w:line="252" w:lineRule="auto"/>
            </w:pPr>
            <w:r>
              <w:rPr>
                <w:sz w:val="17"/>
              </w:rPr>
              <w:t>Advisory retainer, standard (ADV-B)</w:t>
            </w:r>
          </w:p>
        </w:tc>
        <w:tc>
          <w:tcPr>
            <w:tcW w:type="dxa" w:w="850"/>
            <w:shd w:val="clear" w:color="auto" w:fill="EAF1F4"/>
          </w:tcPr>
          <w:p>
            <w:pPr>
              <w:spacing w:after="50" w:before="50" w:line="252" w:lineRule="auto"/>
            </w:pPr>
            <w:r>
              <w:rPr>
                <w:sz w:val="17"/>
              </w:rPr>
              <w:t>3</w:t>
            </w:r>
          </w:p>
        </w:tc>
        <w:tc>
          <w:tcPr>
            <w:tcW w:type="dxa" w:w="1155"/>
            <w:shd w:val="clear" w:color="auto" w:fill="EAF1F4"/>
          </w:tcPr>
          <w:p>
            <w:pPr>
              <w:spacing w:after="50" w:before="50" w:line="252" w:lineRule="auto"/>
            </w:pPr>
            <w:r>
              <w:rPr>
                <w:sz w:val="17"/>
              </w:rPr>
              <w:t>1,80,000</w:t>
            </w:r>
          </w:p>
        </w:tc>
        <w:tc>
          <w:tcPr>
            <w:tcW w:type="dxa" w:w="1339"/>
            <w:shd w:val="clear" w:color="auto" w:fill="EAF1F4"/>
          </w:tcPr>
          <w:p>
            <w:pPr>
              <w:spacing w:after="50" w:before="50" w:line="252" w:lineRule="auto"/>
            </w:pPr>
            <w:r>
              <w:rPr>
                <w:sz w:val="17"/>
              </w:rPr>
              <w:t>5,40,000</w:t>
            </w:r>
          </w:p>
        </w:tc>
        <w:tc>
          <w:tcPr>
            <w:tcW w:type="dxa" w:w="1446"/>
            <w:shd w:val="clear" w:color="auto" w:fill="EAF1F4"/>
          </w:tcPr>
          <w:p>
            <w:pPr>
              <w:spacing w:after="50" w:before="50" w:line="252" w:lineRule="auto"/>
            </w:pPr>
            <w:r>
              <w:rPr>
                <w:sz w:val="17"/>
              </w:rPr>
              <w:t>1,56,000</w:t>
            </w:r>
          </w:p>
        </w:tc>
      </w:tr>
      <w:tr>
        <w:tc>
          <w:tcPr>
            <w:tcW w:type="dxa" w:w="850"/>
          </w:tcPr>
          <w:p>
            <w:pPr>
              <w:spacing w:after="50" w:before="50" w:line="252" w:lineRule="auto"/>
            </w:pPr>
            <w:r>
              <w:rPr>
                <w:sz w:val="17"/>
              </w:rPr>
              <w:t>3</w:t>
            </w:r>
          </w:p>
        </w:tc>
        <w:tc>
          <w:tcPr>
            <w:tcW w:type="dxa" w:w="4239"/>
          </w:tcPr>
          <w:p>
            <w:pPr>
              <w:spacing w:after="50" w:before="50" w:line="252" w:lineRule="auto"/>
            </w:pPr>
            <w:r>
              <w:rPr>
                <w:sz w:val="17"/>
              </w:rPr>
              <w:t>Coaching, international circuit</w:t>
            </w:r>
          </w:p>
        </w:tc>
        <w:tc>
          <w:tcPr>
            <w:tcW w:type="dxa" w:w="850"/>
          </w:tcPr>
          <w:p>
            <w:pPr>
              <w:spacing w:after="50" w:before="50" w:line="252" w:lineRule="auto"/>
            </w:pPr>
            <w:r>
              <w:rPr>
                <w:sz w:val="17"/>
              </w:rPr>
              <w:t>5</w:t>
            </w:r>
          </w:p>
        </w:tc>
        <w:tc>
          <w:tcPr>
            <w:tcW w:type="dxa" w:w="1155"/>
          </w:tcPr>
          <w:p>
            <w:pPr>
              <w:spacing w:after="50" w:before="50" w:line="252" w:lineRule="auto"/>
            </w:pPr>
            <w:r>
              <w:rPr>
                <w:sz w:val="17"/>
              </w:rPr>
              <w:t>2,25,000</w:t>
            </w:r>
          </w:p>
        </w:tc>
        <w:tc>
          <w:tcPr>
            <w:tcW w:type="dxa" w:w="1339"/>
          </w:tcPr>
          <w:p>
            <w:pPr>
              <w:spacing w:after="50" w:before="50" w:line="252" w:lineRule="auto"/>
            </w:pPr>
            <w:r>
              <w:rPr>
                <w:sz w:val="17"/>
              </w:rPr>
              <w:t>11,25,000</w:t>
            </w:r>
          </w:p>
        </w:tc>
        <w:tc>
          <w:tcPr>
            <w:tcW w:type="dxa" w:w="1446"/>
          </w:tcPr>
          <w:p>
            <w:pPr>
              <w:spacing w:after="50" w:before="50" w:line="252" w:lineRule="auto"/>
            </w:pPr>
            <w:r>
              <w:rPr>
                <w:sz w:val="17"/>
              </w:rPr>
              <w:t>6,50,000</w:t>
            </w:r>
          </w:p>
        </w:tc>
      </w:tr>
      <w:tr>
        <w:tc>
          <w:tcPr>
            <w:tcW w:type="dxa" w:w="850"/>
            <w:shd w:val="clear" w:color="auto" w:fill="EAF1F4"/>
          </w:tcPr>
          <w:p>
            <w:pPr>
              <w:spacing w:after="50" w:before="50" w:line="252" w:lineRule="auto"/>
            </w:pPr>
            <w:r>
              <w:rPr>
                <w:sz w:val="17"/>
              </w:rPr>
              <w:t>4</w:t>
            </w:r>
          </w:p>
        </w:tc>
        <w:tc>
          <w:tcPr>
            <w:tcW w:type="dxa" w:w="4239"/>
            <w:shd w:val="clear" w:color="auto" w:fill="EAF1F4"/>
          </w:tcPr>
          <w:p>
            <w:pPr>
              <w:spacing w:after="50" w:before="50" w:line="252" w:lineRule="auto"/>
            </w:pPr>
            <w:r>
              <w:rPr>
                <w:sz w:val="17"/>
              </w:rPr>
              <w:t>Coaching, national circuit</w:t>
            </w:r>
          </w:p>
        </w:tc>
        <w:tc>
          <w:tcPr>
            <w:tcW w:type="dxa" w:w="850"/>
            <w:shd w:val="clear" w:color="auto" w:fill="EAF1F4"/>
          </w:tcPr>
          <w:p>
            <w:pPr>
              <w:spacing w:after="50" w:before="50" w:line="252" w:lineRule="auto"/>
            </w:pPr>
            <w:r>
              <w:rPr>
                <w:sz w:val="17"/>
              </w:rPr>
              <w:t>3</w:t>
            </w:r>
          </w:p>
        </w:tc>
        <w:tc>
          <w:tcPr>
            <w:tcW w:type="dxa" w:w="1155"/>
            <w:shd w:val="clear" w:color="auto" w:fill="EAF1F4"/>
          </w:tcPr>
          <w:p>
            <w:pPr>
              <w:spacing w:after="50" w:before="50" w:line="252" w:lineRule="auto"/>
            </w:pPr>
            <w:r>
              <w:rPr>
                <w:sz w:val="17"/>
              </w:rPr>
              <w:t>1,10,000</w:t>
            </w:r>
          </w:p>
        </w:tc>
        <w:tc>
          <w:tcPr>
            <w:tcW w:type="dxa" w:w="1339"/>
            <w:shd w:val="clear" w:color="auto" w:fill="EAF1F4"/>
          </w:tcPr>
          <w:p>
            <w:pPr>
              <w:spacing w:after="50" w:before="50" w:line="252" w:lineRule="auto"/>
            </w:pPr>
            <w:r>
              <w:rPr>
                <w:sz w:val="17"/>
              </w:rPr>
              <w:t>3,30,000</w:t>
            </w:r>
          </w:p>
        </w:tc>
        <w:tc>
          <w:tcPr>
            <w:tcW w:type="dxa" w:w="1446"/>
            <w:shd w:val="clear" w:color="auto" w:fill="EAF1F4"/>
          </w:tcPr>
          <w:p>
            <w:pPr>
              <w:spacing w:after="50" w:before="50" w:line="252" w:lineRule="auto"/>
            </w:pPr>
            <w:r>
              <w:rPr>
                <w:sz w:val="17"/>
              </w:rPr>
              <w:t>1,47,000</w:t>
            </w:r>
          </w:p>
        </w:tc>
      </w:tr>
      <w:tr>
        <w:tc>
          <w:tcPr>
            <w:tcW w:type="dxa" w:w="850"/>
          </w:tcPr>
          <w:p>
            <w:pPr>
              <w:spacing w:after="50" w:before="50" w:line="252" w:lineRule="auto"/>
            </w:pPr>
            <w:r>
              <w:rPr>
                <w:sz w:val="17"/>
              </w:rPr>
              <w:t>5</w:t>
            </w:r>
          </w:p>
        </w:tc>
        <w:tc>
          <w:tcPr>
            <w:tcW w:type="dxa" w:w="4239"/>
          </w:tcPr>
          <w:p>
            <w:pPr>
              <w:spacing w:after="50" w:before="50" w:line="252" w:lineRule="auto"/>
            </w:pPr>
            <w:r>
              <w:rPr>
                <w:sz w:val="17"/>
              </w:rPr>
              <w:t>Faculty Development Programme</w:t>
            </w:r>
          </w:p>
        </w:tc>
        <w:tc>
          <w:tcPr>
            <w:tcW w:type="dxa" w:w="850"/>
          </w:tcPr>
          <w:p>
            <w:pPr>
              <w:spacing w:after="50" w:before="50" w:line="252" w:lineRule="auto"/>
            </w:pPr>
            <w:r>
              <w:rPr>
                <w:sz w:val="17"/>
              </w:rPr>
              <w:t>6</w:t>
            </w:r>
          </w:p>
        </w:tc>
        <w:tc>
          <w:tcPr>
            <w:tcW w:type="dxa" w:w="1155"/>
          </w:tcPr>
          <w:p>
            <w:pPr>
              <w:spacing w:after="50" w:before="50" w:line="252" w:lineRule="auto"/>
            </w:pPr>
            <w:r>
              <w:rPr>
                <w:sz w:val="17"/>
              </w:rPr>
              <w:t>3,50,000</w:t>
            </w:r>
          </w:p>
        </w:tc>
        <w:tc>
          <w:tcPr>
            <w:tcW w:type="dxa" w:w="1339"/>
          </w:tcPr>
          <w:p>
            <w:pPr>
              <w:spacing w:after="50" w:before="50" w:line="252" w:lineRule="auto"/>
            </w:pPr>
            <w:r>
              <w:rPr>
                <w:sz w:val="17"/>
              </w:rPr>
              <w:t>21,00,000</w:t>
            </w:r>
          </w:p>
        </w:tc>
        <w:tc>
          <w:tcPr>
            <w:tcW w:type="dxa" w:w="1446"/>
          </w:tcPr>
          <w:p>
            <w:pPr>
              <w:spacing w:after="50" w:before="50" w:line="252" w:lineRule="auto"/>
            </w:pPr>
            <w:r>
              <w:rPr>
                <w:sz w:val="17"/>
              </w:rPr>
              <w:t>7,31,400</w:t>
            </w:r>
          </w:p>
        </w:tc>
      </w:tr>
      <w:tr>
        <w:tc>
          <w:tcPr>
            <w:tcW w:type="dxa" w:w="850"/>
            <w:shd w:val="clear" w:color="auto" w:fill="EAF1F4"/>
          </w:tcPr>
          <w:p>
            <w:pPr>
              <w:spacing w:after="50" w:before="50" w:line="252" w:lineRule="auto"/>
            </w:pPr>
            <w:r>
              <w:rPr>
                <w:sz w:val="17"/>
              </w:rPr>
              <w:t>6</w:t>
            </w:r>
          </w:p>
        </w:tc>
        <w:tc>
          <w:tcPr>
            <w:tcW w:type="dxa" w:w="4239"/>
            <w:shd w:val="clear" w:color="auto" w:fill="EAF1F4"/>
          </w:tcPr>
          <w:p>
            <w:pPr>
              <w:spacing w:after="50" w:before="50" w:line="252" w:lineRule="auto"/>
            </w:pPr>
            <w:r>
              <w:rPr>
                <w:sz w:val="17"/>
              </w:rPr>
              <w:t>Institutional workshops, full day</w:t>
            </w:r>
          </w:p>
        </w:tc>
        <w:tc>
          <w:tcPr>
            <w:tcW w:type="dxa" w:w="850"/>
            <w:shd w:val="clear" w:color="auto" w:fill="EAF1F4"/>
          </w:tcPr>
          <w:p>
            <w:pPr>
              <w:spacing w:after="50" w:before="50" w:line="252" w:lineRule="auto"/>
            </w:pPr>
            <w:r>
              <w:rPr>
                <w:sz w:val="17"/>
              </w:rPr>
              <w:t>10</w:t>
            </w:r>
          </w:p>
        </w:tc>
        <w:tc>
          <w:tcPr>
            <w:tcW w:type="dxa" w:w="1155"/>
            <w:shd w:val="clear" w:color="auto" w:fill="EAF1F4"/>
          </w:tcPr>
          <w:p>
            <w:pPr>
              <w:spacing w:after="50" w:before="50" w:line="252" w:lineRule="auto"/>
            </w:pPr>
            <w:r>
              <w:rPr>
                <w:sz w:val="17"/>
              </w:rPr>
              <w:t>65,000</w:t>
            </w:r>
          </w:p>
        </w:tc>
        <w:tc>
          <w:tcPr>
            <w:tcW w:type="dxa" w:w="1339"/>
            <w:shd w:val="clear" w:color="auto" w:fill="EAF1F4"/>
          </w:tcPr>
          <w:p>
            <w:pPr>
              <w:spacing w:after="50" w:before="50" w:line="252" w:lineRule="auto"/>
            </w:pPr>
            <w:r>
              <w:rPr>
                <w:sz w:val="17"/>
              </w:rPr>
              <w:t>6,50,000</w:t>
            </w:r>
          </w:p>
        </w:tc>
        <w:tc>
          <w:tcPr>
            <w:tcW w:type="dxa" w:w="1446"/>
            <w:shd w:val="clear" w:color="auto" w:fill="EAF1F4"/>
          </w:tcPr>
          <w:p>
            <w:pPr>
              <w:spacing w:after="50" w:before="50" w:line="252" w:lineRule="auto"/>
            </w:pPr>
            <w:r>
              <w:rPr>
                <w:sz w:val="17"/>
              </w:rPr>
              <w:t>3,65,000</w:t>
            </w:r>
          </w:p>
        </w:tc>
      </w:tr>
      <w:tr>
        <w:tc>
          <w:tcPr>
            <w:tcW w:type="dxa" w:w="850"/>
          </w:tcPr>
          <w:p>
            <w:pPr>
              <w:spacing w:after="50" w:before="50" w:line="252" w:lineRule="auto"/>
            </w:pPr>
            <w:r>
              <w:rPr>
                <w:sz w:val="17"/>
              </w:rPr>
              <w:t>7</w:t>
            </w:r>
          </w:p>
        </w:tc>
        <w:tc>
          <w:tcPr>
            <w:tcW w:type="dxa" w:w="4239"/>
          </w:tcPr>
          <w:p>
            <w:pPr>
              <w:spacing w:after="50" w:before="50" w:line="252" w:lineRule="auto"/>
            </w:pPr>
            <w:r>
              <w:rPr>
                <w:sz w:val="17"/>
              </w:rPr>
              <w:t>POSH and grievance sessions</w:t>
            </w:r>
          </w:p>
        </w:tc>
        <w:tc>
          <w:tcPr>
            <w:tcW w:type="dxa" w:w="850"/>
          </w:tcPr>
          <w:p>
            <w:pPr>
              <w:spacing w:after="50" w:before="50" w:line="252" w:lineRule="auto"/>
            </w:pPr>
            <w:r>
              <w:rPr>
                <w:sz w:val="17"/>
              </w:rPr>
              <w:t>3</w:t>
            </w:r>
          </w:p>
        </w:tc>
        <w:tc>
          <w:tcPr>
            <w:tcW w:type="dxa" w:w="1155"/>
          </w:tcPr>
          <w:p>
            <w:pPr>
              <w:spacing w:after="50" w:before="50" w:line="252" w:lineRule="auto"/>
            </w:pPr>
            <w:r>
              <w:rPr>
                <w:sz w:val="17"/>
              </w:rPr>
              <w:t>90,000</w:t>
            </w:r>
          </w:p>
        </w:tc>
        <w:tc>
          <w:tcPr>
            <w:tcW w:type="dxa" w:w="1339"/>
          </w:tcPr>
          <w:p>
            <w:pPr>
              <w:spacing w:after="50" w:before="50" w:line="252" w:lineRule="auto"/>
            </w:pPr>
            <w:r>
              <w:rPr>
                <w:sz w:val="17"/>
              </w:rPr>
              <w:t>2,70,000</w:t>
            </w:r>
          </w:p>
        </w:tc>
        <w:tc>
          <w:tcPr>
            <w:tcW w:type="dxa" w:w="1446"/>
          </w:tcPr>
          <w:p>
            <w:pPr>
              <w:spacing w:after="50" w:before="50" w:line="252" w:lineRule="auto"/>
            </w:pPr>
            <w:r>
              <w:rPr>
                <w:sz w:val="17"/>
              </w:rPr>
              <w:t>1,35,000</w:t>
            </w:r>
          </w:p>
        </w:tc>
      </w:tr>
      <w:tr>
        <w:tc>
          <w:tcPr>
            <w:tcW w:type="dxa" w:w="850"/>
            <w:shd w:val="clear" w:color="auto" w:fill="EAF1F4"/>
          </w:tcPr>
          <w:p>
            <w:pPr>
              <w:spacing w:after="50" w:before="50" w:line="252" w:lineRule="auto"/>
            </w:pPr>
            <w:r>
              <w:rPr>
                <w:sz w:val="17"/>
              </w:rPr>
              <w:t>8</w:t>
            </w:r>
          </w:p>
        </w:tc>
        <w:tc>
          <w:tcPr>
            <w:tcW w:type="dxa" w:w="4239"/>
            <w:shd w:val="clear" w:color="auto" w:fill="EAF1F4"/>
          </w:tcPr>
          <w:p>
            <w:pPr>
              <w:spacing w:after="50" w:before="50" w:line="252" w:lineRule="auto"/>
            </w:pPr>
            <w:r>
              <w:rPr>
                <w:sz w:val="17"/>
              </w:rPr>
              <w:t>Curriculum licences</w:t>
            </w:r>
          </w:p>
        </w:tc>
        <w:tc>
          <w:tcPr>
            <w:tcW w:type="dxa" w:w="850"/>
            <w:shd w:val="clear" w:color="auto" w:fill="EAF1F4"/>
          </w:tcPr>
          <w:p>
            <w:pPr>
              <w:spacing w:after="50" w:before="50" w:line="252" w:lineRule="auto"/>
            </w:pPr>
            <w:r>
              <w:rPr>
                <w:sz w:val="17"/>
              </w:rPr>
              <w:t>2</w:t>
            </w:r>
          </w:p>
        </w:tc>
        <w:tc>
          <w:tcPr>
            <w:tcW w:type="dxa" w:w="1155"/>
            <w:shd w:val="clear" w:color="auto" w:fill="EAF1F4"/>
          </w:tcPr>
          <w:p>
            <w:pPr>
              <w:spacing w:after="50" w:before="50" w:line="252" w:lineRule="auto"/>
            </w:pPr>
            <w:r>
              <w:rPr>
                <w:sz w:val="17"/>
              </w:rPr>
              <w:t>1,25,000</w:t>
            </w:r>
          </w:p>
        </w:tc>
        <w:tc>
          <w:tcPr>
            <w:tcW w:type="dxa" w:w="1339"/>
            <w:shd w:val="clear" w:color="auto" w:fill="EAF1F4"/>
          </w:tcPr>
          <w:p>
            <w:pPr>
              <w:spacing w:after="50" w:before="50" w:line="252" w:lineRule="auto"/>
            </w:pPr>
            <w:r>
              <w:rPr>
                <w:sz w:val="17"/>
              </w:rPr>
              <w:t>2,50,000</w:t>
            </w:r>
          </w:p>
        </w:tc>
        <w:tc>
          <w:tcPr>
            <w:tcW w:type="dxa" w:w="1446"/>
            <w:shd w:val="clear" w:color="auto" w:fill="EAF1F4"/>
          </w:tcPr>
          <w:p>
            <w:pPr>
              <w:spacing w:after="50" w:before="50" w:line="252" w:lineRule="auto"/>
            </w:pPr>
            <w:r>
              <w:rPr>
                <w:sz w:val="17"/>
              </w:rPr>
              <w:t>2,20,000</w:t>
            </w:r>
          </w:p>
        </w:tc>
      </w:tr>
      <w:tr>
        <w:tc>
          <w:tcPr>
            <w:tcW w:type="dxa" w:w="850"/>
          </w:tcPr>
          <w:p>
            <w:pPr>
              <w:spacing w:after="50" w:before="50" w:line="252" w:lineRule="auto"/>
            </w:pPr>
          </w:p>
        </w:tc>
        <w:tc>
          <w:tcPr>
            <w:tcW w:type="dxa" w:w="4239"/>
          </w:tcPr>
          <w:p>
            <w:pPr>
              <w:spacing w:after="50" w:before="50" w:line="252" w:lineRule="auto"/>
            </w:pPr>
            <w:r>
              <w:rPr>
                <w:b/>
                <w:sz w:val="17"/>
              </w:rPr>
              <w:t>Total</w:t>
            </w:r>
          </w:p>
        </w:tc>
        <w:tc>
          <w:tcPr>
            <w:tcW w:type="dxa" w:w="850"/>
          </w:tcPr>
          <w:p>
            <w:pPr>
              <w:spacing w:after="50" w:before="50" w:line="252" w:lineRule="auto"/>
            </w:pPr>
          </w:p>
        </w:tc>
        <w:tc>
          <w:tcPr>
            <w:tcW w:type="dxa" w:w="1155"/>
          </w:tcPr>
          <w:p>
            <w:pPr>
              <w:spacing w:after="50" w:before="50" w:line="252" w:lineRule="auto"/>
            </w:pPr>
          </w:p>
        </w:tc>
        <w:tc>
          <w:tcPr>
            <w:tcW w:type="dxa" w:w="1339"/>
          </w:tcPr>
          <w:p>
            <w:pPr>
              <w:spacing w:after="50" w:before="50" w:line="252" w:lineRule="auto"/>
            </w:pPr>
            <w:r>
              <w:rPr>
                <w:b/>
                <w:sz w:val="17"/>
              </w:rPr>
              <w:t>63,45,000</w:t>
            </w:r>
          </w:p>
        </w:tc>
        <w:tc>
          <w:tcPr>
            <w:tcW w:type="dxa" w:w="1446"/>
          </w:tcPr>
          <w:p>
            <w:pPr>
              <w:spacing w:after="50" w:before="50" w:line="252" w:lineRule="auto"/>
            </w:pPr>
            <w:r>
              <w:rPr>
                <w:b/>
                <w:sz w:val="17"/>
              </w:rPr>
              <w:t>27,46,400</w:t>
            </w:r>
          </w:p>
        </w:tc>
      </w:tr>
      <w:tr>
        <w:tc>
          <w:tcPr>
            <w:tcW w:type="dxa" w:w="850"/>
            <w:shd w:val="clear" w:color="auto" w:fill="EAF1F4"/>
          </w:tcPr>
          <w:p>
            <w:pPr>
              <w:spacing w:after="50" w:before="50" w:line="252" w:lineRule="auto"/>
            </w:pPr>
          </w:p>
        </w:tc>
        <w:tc>
          <w:tcPr>
            <w:tcW w:type="dxa" w:w="4239"/>
            <w:shd w:val="clear" w:color="auto" w:fill="EAF1F4"/>
          </w:tcPr>
          <w:p>
            <w:pPr>
              <w:spacing w:after="50" w:before="50" w:line="252" w:lineRule="auto"/>
            </w:pPr>
            <w:r>
              <w:rPr>
                <w:sz w:val="17"/>
              </w:rPr>
              <w:t>Blended contribution margin</w:t>
            </w:r>
          </w:p>
        </w:tc>
        <w:tc>
          <w:tcPr>
            <w:tcW w:type="dxa" w:w="850"/>
            <w:shd w:val="clear" w:color="auto" w:fill="EAF1F4"/>
          </w:tcPr>
          <w:p>
            <w:pPr>
              <w:spacing w:after="50" w:before="50" w:line="252" w:lineRule="auto"/>
            </w:pPr>
          </w:p>
        </w:tc>
        <w:tc>
          <w:tcPr>
            <w:tcW w:type="dxa" w:w="1155"/>
            <w:shd w:val="clear" w:color="auto" w:fill="EAF1F4"/>
          </w:tcPr>
          <w:p>
            <w:pPr>
              <w:spacing w:after="50" w:before="50" w:line="252" w:lineRule="auto"/>
            </w:pPr>
          </w:p>
        </w:tc>
        <w:tc>
          <w:tcPr>
            <w:tcW w:type="dxa" w:w="1339"/>
            <w:shd w:val="clear" w:color="auto" w:fill="EAF1F4"/>
          </w:tcPr>
          <w:p>
            <w:pPr>
              <w:spacing w:after="50" w:before="50" w:line="252" w:lineRule="auto"/>
            </w:pPr>
          </w:p>
        </w:tc>
        <w:tc>
          <w:tcPr>
            <w:tcW w:type="dxa" w:w="1446"/>
            <w:shd w:val="clear" w:color="auto" w:fill="EAF1F4"/>
          </w:tcPr>
          <w:p>
            <w:pPr>
              <w:spacing w:after="50" w:before="50" w:line="252" w:lineRule="auto"/>
            </w:pPr>
            <w:r>
              <w:rPr>
                <w:b/>
                <w:sz w:val="17"/>
              </w:rPr>
              <w:t>43.3%</w:t>
            </w:r>
          </w:p>
        </w:tc>
      </w:tr>
    </w:tbl>
    <w:p>
      <w:pPr>
        <w:spacing w:after="80" w:before="0"/>
      </w:pPr>
    </w:p>
    <w:p>
      <w:r>
        <w:rPr>
          <w:b/>
        </w:rPr>
        <w:t>Note the margin.</w:t>
      </w:r>
      <w:r>
        <w:t xml:space="preserve"> At 43.3% it is materially above the 30% assumed in the original year 1 plan, for one reason: the mix contains no student certificate courses. That is the whole argument in a single number.</w:t>
      </w:r>
    </w:p>
    <w:p>
      <w:pPr>
        <w:pStyle w:val="Heading2"/>
      </w:pPr>
      <w:r>
        <w:t>4.1 Year 1 cost base — Scenario A</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604"/>
            <w:shd w:val="clear" w:color="auto" w:fill="10375C"/>
          </w:tcPr>
          <w:p>
            <w:pPr>
              <w:spacing w:after="50" w:before="50"/>
            </w:pPr>
            <w:r>
              <w:rPr>
                <w:b/>
                <w:color w:val="FFFFFF"/>
                <w:sz w:val="17"/>
              </w:rPr>
              <w:t>Line</w:t>
            </w:r>
          </w:p>
        </w:tc>
        <w:tc>
          <w:tcPr>
            <w:tcW w:type="dxa" w:w="1864"/>
            <w:shd w:val="clear" w:color="auto" w:fill="10375C"/>
          </w:tcPr>
          <w:p>
            <w:pPr>
              <w:spacing w:after="50" w:before="50"/>
            </w:pPr>
            <w:r>
              <w:rPr>
                <w:b/>
                <w:color w:val="FFFFFF"/>
                <w:sz w:val="17"/>
              </w:rPr>
              <w:t>Amount</w:t>
            </w:r>
          </w:p>
        </w:tc>
      </w:tr>
      <w:tr>
        <w:tc>
          <w:tcPr>
            <w:tcW w:type="dxa" w:w="7604"/>
          </w:tcPr>
          <w:p>
            <w:pPr>
              <w:spacing w:after="50" w:before="50" w:line="252" w:lineRule="auto"/>
            </w:pPr>
            <w:r>
              <w:rPr>
                <w:sz w:val="17"/>
              </w:rPr>
              <w:t>Programme Director, 50% allocation of an existing executive</w:t>
            </w:r>
          </w:p>
        </w:tc>
        <w:tc>
          <w:tcPr>
            <w:tcW w:type="dxa" w:w="1864"/>
          </w:tcPr>
          <w:p>
            <w:pPr>
              <w:spacing w:after="50" w:before="50" w:line="252" w:lineRule="auto"/>
            </w:pPr>
            <w:r>
              <w:rPr>
                <w:sz w:val="17"/>
              </w:rPr>
              <w:t>12,00,000</w:t>
            </w:r>
          </w:p>
        </w:tc>
      </w:tr>
      <w:tr>
        <w:tc>
          <w:tcPr>
            <w:tcW w:type="dxa" w:w="7604"/>
            <w:shd w:val="clear" w:color="auto" w:fill="EAF1F4"/>
          </w:tcPr>
          <w:p>
            <w:pPr>
              <w:spacing w:after="50" w:before="50" w:line="252" w:lineRule="auto"/>
            </w:pPr>
            <w:r>
              <w:rPr>
                <w:sz w:val="17"/>
              </w:rPr>
              <w:t>Manager — Business Development and Programmes</w:t>
            </w:r>
          </w:p>
        </w:tc>
        <w:tc>
          <w:tcPr>
            <w:tcW w:type="dxa" w:w="1864"/>
            <w:shd w:val="clear" w:color="auto" w:fill="EAF1F4"/>
          </w:tcPr>
          <w:p>
            <w:pPr>
              <w:spacing w:after="50" w:before="50" w:line="252" w:lineRule="auto"/>
            </w:pPr>
            <w:r>
              <w:rPr>
                <w:sz w:val="17"/>
              </w:rPr>
              <w:t>12,00,000</w:t>
            </w:r>
          </w:p>
        </w:tc>
      </w:tr>
      <w:tr>
        <w:tc>
          <w:tcPr>
            <w:tcW w:type="dxa" w:w="7604"/>
          </w:tcPr>
          <w:p>
            <w:pPr>
              <w:spacing w:after="50" w:before="50" w:line="252" w:lineRule="auto"/>
            </w:pPr>
            <w:r>
              <w:rPr>
                <w:sz w:val="17"/>
              </w:rPr>
              <w:t>Coordinator, 0.4 FTE</w:t>
            </w:r>
          </w:p>
        </w:tc>
        <w:tc>
          <w:tcPr>
            <w:tcW w:type="dxa" w:w="1864"/>
          </w:tcPr>
          <w:p>
            <w:pPr>
              <w:spacing w:after="50" w:before="50" w:line="252" w:lineRule="auto"/>
            </w:pPr>
            <w:r>
              <w:rPr>
                <w:sz w:val="17"/>
              </w:rPr>
              <w:t>2,40,000</w:t>
            </w:r>
          </w:p>
        </w:tc>
      </w:tr>
      <w:tr>
        <w:tc>
          <w:tcPr>
            <w:tcW w:type="dxa" w:w="7604"/>
            <w:shd w:val="clear" w:color="auto" w:fill="EAF1F4"/>
          </w:tcPr>
          <w:p>
            <w:pPr>
              <w:spacing w:after="50" w:before="50" w:line="252" w:lineRule="auto"/>
            </w:pPr>
            <w:r>
              <w:rPr>
                <w:sz w:val="17"/>
              </w:rPr>
              <w:t>Shared services — finance, legal, DPO allocation</w:t>
            </w:r>
          </w:p>
        </w:tc>
        <w:tc>
          <w:tcPr>
            <w:tcW w:type="dxa" w:w="1864"/>
            <w:shd w:val="clear" w:color="auto" w:fill="EAF1F4"/>
          </w:tcPr>
          <w:p>
            <w:pPr>
              <w:spacing w:after="50" w:before="50" w:line="252" w:lineRule="auto"/>
            </w:pPr>
            <w:r>
              <w:rPr>
                <w:sz w:val="17"/>
              </w:rPr>
              <w:t>3,00,000</w:t>
            </w:r>
          </w:p>
        </w:tc>
      </w:tr>
      <w:tr>
        <w:tc>
          <w:tcPr>
            <w:tcW w:type="dxa" w:w="7604"/>
          </w:tcPr>
          <w:p>
            <w:pPr>
              <w:spacing w:after="50" w:before="50" w:line="252" w:lineRule="auto"/>
            </w:pPr>
            <w:r>
              <w:rPr>
                <w:sz w:val="17"/>
              </w:rPr>
              <w:t>Travel and business development</w:t>
            </w:r>
          </w:p>
        </w:tc>
        <w:tc>
          <w:tcPr>
            <w:tcW w:type="dxa" w:w="1864"/>
          </w:tcPr>
          <w:p>
            <w:pPr>
              <w:spacing w:after="50" w:before="50" w:line="252" w:lineRule="auto"/>
            </w:pPr>
            <w:r>
              <w:rPr>
                <w:sz w:val="17"/>
              </w:rPr>
              <w:t>4,00,000</w:t>
            </w:r>
          </w:p>
        </w:tc>
      </w:tr>
      <w:tr>
        <w:tc>
          <w:tcPr>
            <w:tcW w:type="dxa" w:w="7604"/>
            <w:shd w:val="clear" w:color="auto" w:fill="EAF1F4"/>
          </w:tcPr>
          <w:p>
            <w:pPr>
              <w:spacing w:after="50" w:before="50" w:line="252" w:lineRule="auto"/>
            </w:pPr>
            <w:r>
              <w:rPr>
                <w:sz w:val="17"/>
              </w:rPr>
              <w:t>Marketing, collateral and digital</w:t>
            </w:r>
          </w:p>
        </w:tc>
        <w:tc>
          <w:tcPr>
            <w:tcW w:type="dxa" w:w="1864"/>
            <w:shd w:val="clear" w:color="auto" w:fill="EAF1F4"/>
          </w:tcPr>
          <w:p>
            <w:pPr>
              <w:spacing w:after="50" w:before="50" w:line="252" w:lineRule="auto"/>
            </w:pPr>
            <w:r>
              <w:rPr>
                <w:sz w:val="17"/>
              </w:rPr>
              <w:t>2,50,000</w:t>
            </w:r>
          </w:p>
        </w:tc>
      </w:tr>
      <w:tr>
        <w:tc>
          <w:tcPr>
            <w:tcW w:type="dxa" w:w="7604"/>
          </w:tcPr>
          <w:p>
            <w:pPr>
              <w:spacing w:after="50" w:before="50" w:line="252" w:lineRule="auto"/>
            </w:pPr>
            <w:r>
              <w:rPr>
                <w:b/>
                <w:sz w:val="17"/>
              </w:rPr>
              <w:t>Competition sponsorship and judging at three existing events</w:t>
            </w:r>
          </w:p>
        </w:tc>
        <w:tc>
          <w:tcPr>
            <w:tcW w:type="dxa" w:w="1864"/>
          </w:tcPr>
          <w:p>
            <w:pPr>
              <w:spacing w:after="50" w:before="50" w:line="252" w:lineRule="auto"/>
            </w:pPr>
            <w:r>
              <w:rPr>
                <w:sz w:val="17"/>
              </w:rPr>
              <w:t>3,50,000</w:t>
            </w:r>
          </w:p>
        </w:tc>
      </w:tr>
      <w:tr>
        <w:tc>
          <w:tcPr>
            <w:tcW w:type="dxa" w:w="7604"/>
            <w:shd w:val="clear" w:color="auto" w:fill="EAF1F4"/>
          </w:tcPr>
          <w:p>
            <w:pPr>
              <w:spacing w:after="50" w:before="50" w:line="252" w:lineRule="auto"/>
            </w:pPr>
            <w:r>
              <w:rPr>
                <w:sz w:val="17"/>
              </w:rPr>
              <w:t>Trainer bench build — certification of the first cohort (see 07.11)</w:t>
            </w:r>
          </w:p>
        </w:tc>
        <w:tc>
          <w:tcPr>
            <w:tcW w:type="dxa" w:w="1864"/>
            <w:shd w:val="clear" w:color="auto" w:fill="EAF1F4"/>
          </w:tcPr>
          <w:p>
            <w:pPr>
              <w:spacing w:after="50" w:before="50" w:line="252" w:lineRule="auto"/>
            </w:pPr>
            <w:r>
              <w:rPr>
                <w:sz w:val="17"/>
              </w:rPr>
              <w:t>4,00,000</w:t>
            </w:r>
          </w:p>
        </w:tc>
      </w:tr>
      <w:tr>
        <w:tc>
          <w:tcPr>
            <w:tcW w:type="dxa" w:w="7604"/>
          </w:tcPr>
          <w:p>
            <w:pPr>
              <w:spacing w:after="50" w:before="50" w:line="252" w:lineRule="auto"/>
            </w:pPr>
            <w:r>
              <w:rPr>
                <w:sz w:val="17"/>
              </w:rPr>
              <w:t>Systems, insurance, contingency</w:t>
            </w:r>
          </w:p>
        </w:tc>
        <w:tc>
          <w:tcPr>
            <w:tcW w:type="dxa" w:w="1864"/>
          </w:tcPr>
          <w:p>
            <w:pPr>
              <w:spacing w:after="50" w:before="50" w:line="252" w:lineRule="auto"/>
            </w:pPr>
            <w:r>
              <w:rPr>
                <w:sz w:val="17"/>
              </w:rPr>
              <w:t>2,00,000</w:t>
            </w:r>
          </w:p>
        </w:tc>
      </w:tr>
      <w:tr>
        <w:tc>
          <w:tcPr>
            <w:tcW w:type="dxa" w:w="7604"/>
            <w:shd w:val="clear" w:color="auto" w:fill="EAF1F4"/>
          </w:tcPr>
          <w:p>
            <w:pPr>
              <w:spacing w:after="50" w:before="50" w:line="252" w:lineRule="auto"/>
            </w:pPr>
            <w:r>
              <w:rPr>
                <w:b/>
                <w:sz w:val="17"/>
              </w:rPr>
              <w:t>Total fixed cost</w:t>
            </w:r>
          </w:p>
        </w:tc>
        <w:tc>
          <w:tcPr>
            <w:tcW w:type="dxa" w:w="1864"/>
            <w:shd w:val="clear" w:color="auto" w:fill="EAF1F4"/>
          </w:tcPr>
          <w:p>
            <w:pPr>
              <w:spacing w:after="50" w:before="50" w:line="252" w:lineRule="auto"/>
            </w:pPr>
            <w:r>
              <w:rPr>
                <w:b/>
                <w:sz w:val="17"/>
              </w:rPr>
              <w:t>45,40,000</w:t>
            </w:r>
          </w:p>
        </w:tc>
      </w:tr>
      <w:tr>
        <w:tc>
          <w:tcPr>
            <w:tcW w:type="dxa" w:w="7604"/>
          </w:tcPr>
          <w:p>
            <w:pPr>
              <w:spacing w:after="50" w:before="50" w:line="252" w:lineRule="auto"/>
            </w:pPr>
            <w:r>
              <w:rPr>
                <w:sz w:val="17"/>
              </w:rPr>
              <w:t>Contribution</w:t>
            </w:r>
          </w:p>
        </w:tc>
        <w:tc>
          <w:tcPr>
            <w:tcW w:type="dxa" w:w="1864"/>
          </w:tcPr>
          <w:p>
            <w:pPr>
              <w:spacing w:after="50" w:before="50" w:line="252" w:lineRule="auto"/>
            </w:pPr>
            <w:r>
              <w:rPr>
                <w:sz w:val="17"/>
              </w:rPr>
              <w:t>27,46,400</w:t>
            </w:r>
          </w:p>
        </w:tc>
      </w:tr>
      <w:tr>
        <w:tc>
          <w:tcPr>
            <w:tcW w:type="dxa" w:w="7604"/>
            <w:shd w:val="clear" w:color="auto" w:fill="EAF1F4"/>
          </w:tcPr>
          <w:p>
            <w:pPr>
              <w:spacing w:after="50" w:before="50" w:line="252" w:lineRule="auto"/>
            </w:pPr>
            <w:r>
              <w:rPr>
                <w:b/>
                <w:sz w:val="17"/>
              </w:rPr>
              <w:t>YEAR 1 RESULT</w:t>
            </w:r>
          </w:p>
        </w:tc>
        <w:tc>
          <w:tcPr>
            <w:tcW w:type="dxa" w:w="1864"/>
            <w:shd w:val="clear" w:color="auto" w:fill="EAF1F4"/>
          </w:tcPr>
          <w:p>
            <w:pPr>
              <w:spacing w:after="50" w:before="50" w:line="252" w:lineRule="auto"/>
            </w:pPr>
            <w:r>
              <w:rPr>
                <w:b/>
                <w:sz w:val="17"/>
              </w:rPr>
              <w:t>(17,93,600)</w:t>
            </w:r>
          </w:p>
        </w:tc>
      </w:tr>
    </w:tbl>
    <w:p>
      <w:pPr>
        <w:spacing w:after="80" w:before="0"/>
      </w:pPr>
    </w:p>
    <w:p>
      <w:r>
        <w:rPr>
          <w:b/>
        </w:rPr>
        <w:t>Note.</w:t>
      </w:r>
      <w:r>
        <w:t xml:space="preserve"> This includes ₹4 lakh to build the trainer bench, which the original plan did not fund at all. Excluding that investment the operating loss is ₹13.9 lakh; excluding both the bench and competition sponsorship, ₹10.4 lakh. All three presentations are legitimate; the Board should see the middle one, because the bench is an investment and the competition spend is customer acquisition.</w:t>
      </w:r>
    </w:p>
    <w:p>
      <w:pPr>
        <w:spacing w:before="80" w:after="160"/>
        <w:pBdr>
          <w:bottom w:val="single" w:sz="6" w:space="1" w:color="C9D6DE"/>
        </w:pBdr>
      </w:pPr>
    </w:p>
    <w:p>
      <w:pPr>
        <w:pStyle w:val="Heading1"/>
        <w:pBdr>
          <w:bottom w:val="single" w:sz="8" w:space="4" w:color="C9D6DE"/>
        </w:pBdr>
      </w:pPr>
      <w:r>
        <w:t>5. Year 2 — where the model turns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4954"/>
            <w:shd w:val="clear" w:color="auto" w:fill="10375C"/>
          </w:tcPr>
          <w:p>
            <w:pPr>
              <w:spacing w:after="50" w:before="50"/>
            </w:pPr>
            <w:r>
              <w:rPr>
                <w:b/>
                <w:color w:val="FFFFFF"/>
                <w:sz w:val="17"/>
              </w:rPr>
              <w:t>Line</w:t>
            </w:r>
          </w:p>
        </w:tc>
        <w:tc>
          <w:tcPr>
            <w:tcW w:type="dxa" w:w="850"/>
            <w:shd w:val="clear" w:color="auto" w:fill="10375C"/>
          </w:tcPr>
          <w:p>
            <w:pPr>
              <w:spacing w:after="50" w:before="50"/>
            </w:pPr>
            <w:r>
              <w:rPr>
                <w:b/>
                <w:color w:val="FFFFFF"/>
                <w:sz w:val="17"/>
              </w:rPr>
              <w:t>Units</w:t>
            </w:r>
          </w:p>
        </w:tc>
        <w:tc>
          <w:tcPr>
            <w:tcW w:type="dxa" w:w="1450"/>
            <w:shd w:val="clear" w:color="auto" w:fill="10375C"/>
          </w:tcPr>
          <w:p>
            <w:pPr>
              <w:spacing w:after="50" w:before="50"/>
            </w:pPr>
            <w:r>
              <w:rPr>
                <w:b/>
                <w:color w:val="FFFFFF"/>
                <w:sz w:val="17"/>
              </w:rPr>
              <w:t>Revenue</w:t>
            </w:r>
          </w:p>
        </w:tc>
        <w:tc>
          <w:tcPr>
            <w:tcW w:type="dxa" w:w="1660"/>
            <w:shd w:val="clear" w:color="auto" w:fill="10375C"/>
          </w:tcPr>
          <w:p>
            <w:pPr>
              <w:spacing w:after="50" w:before="50"/>
            </w:pPr>
            <w:r>
              <w:rPr>
                <w:b/>
                <w:color w:val="FFFFFF"/>
                <w:sz w:val="17"/>
              </w:rPr>
              <w:t>Contribution</w:t>
            </w:r>
          </w:p>
        </w:tc>
      </w:tr>
      <w:tr>
        <w:tc>
          <w:tcPr>
            <w:tcW w:type="dxa" w:w="850"/>
          </w:tcPr>
          <w:p>
            <w:pPr>
              <w:spacing w:after="50" w:before="50" w:line="252" w:lineRule="auto"/>
            </w:pPr>
            <w:r>
              <w:rPr>
                <w:sz w:val="17"/>
              </w:rPr>
              <w:t>1</w:t>
            </w:r>
          </w:p>
        </w:tc>
        <w:tc>
          <w:tcPr>
            <w:tcW w:type="dxa" w:w="4954"/>
          </w:tcPr>
          <w:p>
            <w:pPr>
              <w:spacing w:after="50" w:before="50" w:line="252" w:lineRule="auto"/>
            </w:pPr>
            <w:r>
              <w:rPr>
                <w:sz w:val="17"/>
              </w:rPr>
              <w:t>Advisory retainers, blended</w:t>
            </w:r>
          </w:p>
        </w:tc>
        <w:tc>
          <w:tcPr>
            <w:tcW w:type="dxa" w:w="850"/>
          </w:tcPr>
          <w:p>
            <w:pPr>
              <w:spacing w:after="50" w:before="50" w:line="252" w:lineRule="auto"/>
            </w:pPr>
            <w:r>
              <w:rPr>
                <w:sz w:val="17"/>
              </w:rPr>
              <w:t>18</w:t>
            </w:r>
          </w:p>
        </w:tc>
        <w:tc>
          <w:tcPr>
            <w:tcW w:type="dxa" w:w="1450"/>
          </w:tcPr>
          <w:p>
            <w:pPr>
              <w:spacing w:after="50" w:before="50" w:line="252" w:lineRule="auto"/>
            </w:pPr>
            <w:r>
              <w:rPr>
                <w:sz w:val="17"/>
              </w:rPr>
              <w:t>48,60,000</w:t>
            </w:r>
          </w:p>
        </w:tc>
        <w:tc>
          <w:tcPr>
            <w:tcW w:type="dxa" w:w="1660"/>
          </w:tcPr>
          <w:p>
            <w:pPr>
              <w:spacing w:after="50" w:before="50" w:line="252" w:lineRule="auto"/>
            </w:pPr>
            <w:r>
              <w:rPr>
                <w:sz w:val="17"/>
              </w:rPr>
              <w:t>15,40,000</w:t>
            </w:r>
          </w:p>
        </w:tc>
      </w:tr>
      <w:tr>
        <w:tc>
          <w:tcPr>
            <w:tcW w:type="dxa" w:w="850"/>
            <w:shd w:val="clear" w:color="auto" w:fill="EAF1F4"/>
          </w:tcPr>
          <w:p>
            <w:pPr>
              <w:spacing w:after="50" w:before="50" w:line="252" w:lineRule="auto"/>
            </w:pPr>
            <w:r>
              <w:rPr>
                <w:sz w:val="17"/>
              </w:rPr>
              <w:t>2</w:t>
            </w:r>
          </w:p>
        </w:tc>
        <w:tc>
          <w:tcPr>
            <w:tcW w:type="dxa" w:w="4954"/>
            <w:shd w:val="clear" w:color="auto" w:fill="EAF1F4"/>
          </w:tcPr>
          <w:p>
            <w:pPr>
              <w:spacing w:after="50" w:before="50" w:line="252" w:lineRule="auto"/>
            </w:pPr>
            <w:r>
              <w:rPr>
                <w:sz w:val="17"/>
              </w:rPr>
              <w:t>Coaching, international</w:t>
            </w:r>
          </w:p>
        </w:tc>
        <w:tc>
          <w:tcPr>
            <w:tcW w:type="dxa" w:w="850"/>
            <w:shd w:val="clear" w:color="auto" w:fill="EAF1F4"/>
          </w:tcPr>
          <w:p>
            <w:pPr>
              <w:spacing w:after="50" w:before="50" w:line="252" w:lineRule="auto"/>
            </w:pPr>
            <w:r>
              <w:rPr>
                <w:sz w:val="17"/>
              </w:rPr>
              <w:t>12</w:t>
            </w:r>
          </w:p>
        </w:tc>
        <w:tc>
          <w:tcPr>
            <w:tcW w:type="dxa" w:w="1450"/>
            <w:shd w:val="clear" w:color="auto" w:fill="EAF1F4"/>
          </w:tcPr>
          <w:p>
            <w:pPr>
              <w:spacing w:after="50" w:before="50" w:line="252" w:lineRule="auto"/>
            </w:pPr>
            <w:r>
              <w:rPr>
                <w:sz w:val="17"/>
              </w:rPr>
              <w:t>27,00,000</w:t>
            </w:r>
          </w:p>
        </w:tc>
        <w:tc>
          <w:tcPr>
            <w:tcW w:type="dxa" w:w="1660"/>
            <w:shd w:val="clear" w:color="auto" w:fill="EAF1F4"/>
          </w:tcPr>
          <w:p>
            <w:pPr>
              <w:spacing w:after="50" w:before="50" w:line="252" w:lineRule="auto"/>
            </w:pPr>
            <w:r>
              <w:rPr>
                <w:sz w:val="17"/>
              </w:rPr>
              <w:t>15,60,000</w:t>
            </w:r>
          </w:p>
        </w:tc>
      </w:tr>
      <w:tr>
        <w:tc>
          <w:tcPr>
            <w:tcW w:type="dxa" w:w="850"/>
          </w:tcPr>
          <w:p>
            <w:pPr>
              <w:spacing w:after="50" w:before="50" w:line="252" w:lineRule="auto"/>
            </w:pPr>
            <w:r>
              <w:rPr>
                <w:sz w:val="17"/>
              </w:rPr>
              <w:t>3</w:t>
            </w:r>
          </w:p>
        </w:tc>
        <w:tc>
          <w:tcPr>
            <w:tcW w:type="dxa" w:w="4954"/>
          </w:tcPr>
          <w:p>
            <w:pPr>
              <w:spacing w:after="50" w:before="50" w:line="252" w:lineRule="auto"/>
            </w:pPr>
            <w:r>
              <w:rPr>
                <w:sz w:val="17"/>
              </w:rPr>
              <w:t>Coaching, national</w:t>
            </w:r>
          </w:p>
        </w:tc>
        <w:tc>
          <w:tcPr>
            <w:tcW w:type="dxa" w:w="850"/>
          </w:tcPr>
          <w:p>
            <w:pPr>
              <w:spacing w:after="50" w:before="50" w:line="252" w:lineRule="auto"/>
            </w:pPr>
            <w:r>
              <w:rPr>
                <w:sz w:val="17"/>
              </w:rPr>
              <w:t>8</w:t>
            </w:r>
          </w:p>
        </w:tc>
        <w:tc>
          <w:tcPr>
            <w:tcW w:type="dxa" w:w="1450"/>
          </w:tcPr>
          <w:p>
            <w:pPr>
              <w:spacing w:after="50" w:before="50" w:line="252" w:lineRule="auto"/>
            </w:pPr>
            <w:r>
              <w:rPr>
                <w:sz w:val="17"/>
              </w:rPr>
              <w:t>8,80,000</w:t>
            </w:r>
          </w:p>
        </w:tc>
        <w:tc>
          <w:tcPr>
            <w:tcW w:type="dxa" w:w="1660"/>
          </w:tcPr>
          <w:p>
            <w:pPr>
              <w:spacing w:after="50" w:before="50" w:line="252" w:lineRule="auto"/>
            </w:pPr>
            <w:r>
              <w:rPr>
                <w:sz w:val="17"/>
              </w:rPr>
              <w:t>3,92,000</w:t>
            </w:r>
          </w:p>
        </w:tc>
      </w:tr>
      <w:tr>
        <w:tc>
          <w:tcPr>
            <w:tcW w:type="dxa" w:w="850"/>
            <w:shd w:val="clear" w:color="auto" w:fill="EAF1F4"/>
          </w:tcPr>
          <w:p>
            <w:pPr>
              <w:spacing w:after="50" w:before="50" w:line="252" w:lineRule="auto"/>
            </w:pPr>
            <w:r>
              <w:rPr>
                <w:sz w:val="17"/>
              </w:rPr>
              <w:t>4</w:t>
            </w:r>
          </w:p>
        </w:tc>
        <w:tc>
          <w:tcPr>
            <w:tcW w:type="dxa" w:w="4954"/>
            <w:shd w:val="clear" w:color="auto" w:fill="EAF1F4"/>
          </w:tcPr>
          <w:p>
            <w:pPr>
              <w:spacing w:after="50" w:before="50" w:line="252" w:lineRule="auto"/>
            </w:pPr>
            <w:r>
              <w:rPr>
                <w:sz w:val="17"/>
              </w:rPr>
              <w:t>Faculty Development Programmes</w:t>
            </w:r>
          </w:p>
        </w:tc>
        <w:tc>
          <w:tcPr>
            <w:tcW w:type="dxa" w:w="850"/>
            <w:shd w:val="clear" w:color="auto" w:fill="EAF1F4"/>
          </w:tcPr>
          <w:p>
            <w:pPr>
              <w:spacing w:after="50" w:before="50" w:line="252" w:lineRule="auto"/>
            </w:pPr>
            <w:r>
              <w:rPr>
                <w:sz w:val="17"/>
              </w:rPr>
              <w:t>12</w:t>
            </w:r>
          </w:p>
        </w:tc>
        <w:tc>
          <w:tcPr>
            <w:tcW w:type="dxa" w:w="1450"/>
            <w:shd w:val="clear" w:color="auto" w:fill="EAF1F4"/>
          </w:tcPr>
          <w:p>
            <w:pPr>
              <w:spacing w:after="50" w:before="50" w:line="252" w:lineRule="auto"/>
            </w:pPr>
            <w:r>
              <w:rPr>
                <w:sz w:val="17"/>
              </w:rPr>
              <w:t>42,00,000</w:t>
            </w:r>
          </w:p>
        </w:tc>
        <w:tc>
          <w:tcPr>
            <w:tcW w:type="dxa" w:w="1660"/>
            <w:shd w:val="clear" w:color="auto" w:fill="EAF1F4"/>
          </w:tcPr>
          <w:p>
            <w:pPr>
              <w:spacing w:after="50" w:before="50" w:line="252" w:lineRule="auto"/>
            </w:pPr>
            <w:r>
              <w:rPr>
                <w:sz w:val="17"/>
              </w:rPr>
              <w:t>14,62,800</w:t>
            </w:r>
          </w:p>
        </w:tc>
      </w:tr>
      <w:tr>
        <w:tc>
          <w:tcPr>
            <w:tcW w:type="dxa" w:w="850"/>
          </w:tcPr>
          <w:p>
            <w:pPr>
              <w:spacing w:after="50" w:before="50" w:line="252" w:lineRule="auto"/>
            </w:pPr>
            <w:r>
              <w:rPr>
                <w:sz w:val="17"/>
              </w:rPr>
              <w:t>5</w:t>
            </w:r>
          </w:p>
        </w:tc>
        <w:tc>
          <w:tcPr>
            <w:tcW w:type="dxa" w:w="4954"/>
          </w:tcPr>
          <w:p>
            <w:pPr>
              <w:spacing w:after="50" w:before="50" w:line="252" w:lineRule="auto"/>
            </w:pPr>
            <w:r>
              <w:rPr>
                <w:b/>
                <w:sz w:val="17"/>
              </w:rPr>
              <w:t>Student certificate cohorts, bench cities only</w:t>
            </w:r>
          </w:p>
        </w:tc>
        <w:tc>
          <w:tcPr>
            <w:tcW w:type="dxa" w:w="850"/>
          </w:tcPr>
          <w:p>
            <w:pPr>
              <w:spacing w:after="50" w:before="50" w:line="252" w:lineRule="auto"/>
            </w:pPr>
            <w:r>
              <w:rPr>
                <w:sz w:val="17"/>
              </w:rPr>
              <w:t>8</w:t>
            </w:r>
          </w:p>
        </w:tc>
        <w:tc>
          <w:tcPr>
            <w:tcW w:type="dxa" w:w="1450"/>
          </w:tcPr>
          <w:p>
            <w:pPr>
              <w:spacing w:after="50" w:before="50" w:line="252" w:lineRule="auto"/>
            </w:pPr>
            <w:r>
              <w:rPr>
                <w:sz w:val="17"/>
              </w:rPr>
              <w:t>21,28,000</w:t>
            </w:r>
          </w:p>
        </w:tc>
        <w:tc>
          <w:tcPr>
            <w:tcW w:type="dxa" w:w="1660"/>
          </w:tcPr>
          <w:p>
            <w:pPr>
              <w:spacing w:after="50" w:before="50" w:line="252" w:lineRule="auto"/>
            </w:pPr>
            <w:r>
              <w:rPr>
                <w:sz w:val="17"/>
              </w:rPr>
              <w:t>6,33,600</w:t>
            </w:r>
          </w:p>
        </w:tc>
      </w:tr>
      <w:tr>
        <w:tc>
          <w:tcPr>
            <w:tcW w:type="dxa" w:w="850"/>
            <w:shd w:val="clear" w:color="auto" w:fill="EAF1F4"/>
          </w:tcPr>
          <w:p>
            <w:pPr>
              <w:spacing w:after="50" w:before="50" w:line="252" w:lineRule="auto"/>
            </w:pPr>
            <w:r>
              <w:rPr>
                <w:sz w:val="17"/>
              </w:rPr>
              <w:t>6</w:t>
            </w:r>
          </w:p>
        </w:tc>
        <w:tc>
          <w:tcPr>
            <w:tcW w:type="dxa" w:w="4954"/>
            <w:shd w:val="clear" w:color="auto" w:fill="EAF1F4"/>
          </w:tcPr>
          <w:p>
            <w:pPr>
              <w:spacing w:after="50" w:before="50" w:line="252" w:lineRule="auto"/>
            </w:pPr>
            <w:r>
              <w:rPr>
                <w:sz w:val="17"/>
              </w:rPr>
              <w:t>Institutional workshops</w:t>
            </w:r>
          </w:p>
        </w:tc>
        <w:tc>
          <w:tcPr>
            <w:tcW w:type="dxa" w:w="850"/>
            <w:shd w:val="clear" w:color="auto" w:fill="EAF1F4"/>
          </w:tcPr>
          <w:p>
            <w:pPr>
              <w:spacing w:after="50" w:before="50" w:line="252" w:lineRule="auto"/>
            </w:pPr>
            <w:r>
              <w:rPr>
                <w:sz w:val="17"/>
              </w:rPr>
              <w:t>24</w:t>
            </w:r>
          </w:p>
        </w:tc>
        <w:tc>
          <w:tcPr>
            <w:tcW w:type="dxa" w:w="1450"/>
            <w:shd w:val="clear" w:color="auto" w:fill="EAF1F4"/>
          </w:tcPr>
          <w:p>
            <w:pPr>
              <w:spacing w:after="50" w:before="50" w:line="252" w:lineRule="auto"/>
            </w:pPr>
            <w:r>
              <w:rPr>
                <w:sz w:val="17"/>
              </w:rPr>
              <w:t>15,60,000</w:t>
            </w:r>
          </w:p>
        </w:tc>
        <w:tc>
          <w:tcPr>
            <w:tcW w:type="dxa" w:w="1660"/>
            <w:shd w:val="clear" w:color="auto" w:fill="EAF1F4"/>
          </w:tcPr>
          <w:p>
            <w:pPr>
              <w:spacing w:after="50" w:before="50" w:line="252" w:lineRule="auto"/>
            </w:pPr>
            <w:r>
              <w:rPr>
                <w:sz w:val="17"/>
              </w:rPr>
              <w:t>8,76,000</w:t>
            </w:r>
          </w:p>
        </w:tc>
      </w:tr>
      <w:tr>
        <w:tc>
          <w:tcPr>
            <w:tcW w:type="dxa" w:w="850"/>
          </w:tcPr>
          <w:p>
            <w:pPr>
              <w:spacing w:after="50" w:before="50" w:line="252" w:lineRule="auto"/>
            </w:pPr>
            <w:r>
              <w:rPr>
                <w:sz w:val="17"/>
              </w:rPr>
              <w:t>7</w:t>
            </w:r>
          </w:p>
        </w:tc>
        <w:tc>
          <w:tcPr>
            <w:tcW w:type="dxa" w:w="4954"/>
          </w:tcPr>
          <w:p>
            <w:pPr>
              <w:spacing w:after="50" w:before="50" w:line="252" w:lineRule="auto"/>
            </w:pPr>
            <w:r>
              <w:rPr>
                <w:sz w:val="17"/>
              </w:rPr>
              <w:t>POSH and grievance sessions</w:t>
            </w:r>
          </w:p>
        </w:tc>
        <w:tc>
          <w:tcPr>
            <w:tcW w:type="dxa" w:w="850"/>
          </w:tcPr>
          <w:p>
            <w:pPr>
              <w:spacing w:after="50" w:before="50" w:line="252" w:lineRule="auto"/>
            </w:pPr>
            <w:r>
              <w:rPr>
                <w:sz w:val="17"/>
              </w:rPr>
              <w:t>10</w:t>
            </w:r>
          </w:p>
        </w:tc>
        <w:tc>
          <w:tcPr>
            <w:tcW w:type="dxa" w:w="1450"/>
          </w:tcPr>
          <w:p>
            <w:pPr>
              <w:spacing w:after="50" w:before="50" w:line="252" w:lineRule="auto"/>
            </w:pPr>
            <w:r>
              <w:rPr>
                <w:sz w:val="17"/>
              </w:rPr>
              <w:t>9,00,000</w:t>
            </w:r>
          </w:p>
        </w:tc>
        <w:tc>
          <w:tcPr>
            <w:tcW w:type="dxa" w:w="1660"/>
          </w:tcPr>
          <w:p>
            <w:pPr>
              <w:spacing w:after="50" w:before="50" w:line="252" w:lineRule="auto"/>
            </w:pPr>
            <w:r>
              <w:rPr>
                <w:sz w:val="17"/>
              </w:rPr>
              <w:t>4,50,000</w:t>
            </w:r>
          </w:p>
        </w:tc>
      </w:tr>
      <w:tr>
        <w:tc>
          <w:tcPr>
            <w:tcW w:type="dxa" w:w="850"/>
            <w:shd w:val="clear" w:color="auto" w:fill="EAF1F4"/>
          </w:tcPr>
          <w:p>
            <w:pPr>
              <w:spacing w:after="50" w:before="50" w:line="252" w:lineRule="auto"/>
            </w:pPr>
            <w:r>
              <w:rPr>
                <w:sz w:val="17"/>
              </w:rPr>
              <w:t>8</w:t>
            </w:r>
          </w:p>
        </w:tc>
        <w:tc>
          <w:tcPr>
            <w:tcW w:type="dxa" w:w="4954"/>
            <w:shd w:val="clear" w:color="auto" w:fill="EAF1F4"/>
          </w:tcPr>
          <w:p>
            <w:pPr>
              <w:spacing w:after="50" w:before="50" w:line="252" w:lineRule="auto"/>
            </w:pPr>
            <w:r>
              <w:rPr>
                <w:sz w:val="17"/>
              </w:rPr>
              <w:t>Curriculum and casebook licences</w:t>
            </w:r>
          </w:p>
        </w:tc>
        <w:tc>
          <w:tcPr>
            <w:tcW w:type="dxa" w:w="850"/>
            <w:shd w:val="clear" w:color="auto" w:fill="EAF1F4"/>
          </w:tcPr>
          <w:p>
            <w:pPr>
              <w:spacing w:after="50" w:before="50" w:line="252" w:lineRule="auto"/>
            </w:pPr>
            <w:r>
              <w:rPr>
                <w:sz w:val="17"/>
              </w:rPr>
              <w:t>6</w:t>
            </w:r>
          </w:p>
        </w:tc>
        <w:tc>
          <w:tcPr>
            <w:tcW w:type="dxa" w:w="1450"/>
            <w:shd w:val="clear" w:color="auto" w:fill="EAF1F4"/>
          </w:tcPr>
          <w:p>
            <w:pPr>
              <w:spacing w:after="50" w:before="50" w:line="252" w:lineRule="auto"/>
            </w:pPr>
            <w:r>
              <w:rPr>
                <w:sz w:val="17"/>
              </w:rPr>
              <w:t>7,50,000</w:t>
            </w:r>
          </w:p>
        </w:tc>
        <w:tc>
          <w:tcPr>
            <w:tcW w:type="dxa" w:w="1660"/>
            <w:shd w:val="clear" w:color="auto" w:fill="EAF1F4"/>
          </w:tcPr>
          <w:p>
            <w:pPr>
              <w:spacing w:after="50" w:before="50" w:line="252" w:lineRule="auto"/>
            </w:pPr>
            <w:r>
              <w:rPr>
                <w:sz w:val="17"/>
              </w:rPr>
              <w:t>6,60,000</w:t>
            </w:r>
          </w:p>
        </w:tc>
      </w:tr>
      <w:tr>
        <w:tc>
          <w:tcPr>
            <w:tcW w:type="dxa" w:w="850"/>
          </w:tcPr>
          <w:p>
            <w:pPr>
              <w:spacing w:after="50" w:before="50" w:line="252" w:lineRule="auto"/>
            </w:pPr>
            <w:r>
              <w:rPr>
                <w:sz w:val="17"/>
              </w:rPr>
              <w:t>9</w:t>
            </w:r>
          </w:p>
        </w:tc>
        <w:tc>
          <w:tcPr>
            <w:tcW w:type="dxa" w:w="4954"/>
          </w:tcPr>
          <w:p>
            <w:pPr>
              <w:spacing w:after="50" w:before="50" w:line="252" w:lineRule="auto"/>
            </w:pPr>
            <w:r>
              <w:rPr>
                <w:b/>
                <w:sz w:val="17"/>
              </w:rPr>
              <w:t>Institutional membership</w:t>
            </w:r>
          </w:p>
        </w:tc>
        <w:tc>
          <w:tcPr>
            <w:tcW w:type="dxa" w:w="850"/>
          </w:tcPr>
          <w:p>
            <w:pPr>
              <w:spacing w:after="50" w:before="50" w:line="252" w:lineRule="auto"/>
            </w:pPr>
            <w:r>
              <w:rPr>
                <w:sz w:val="17"/>
              </w:rPr>
              <w:t>15</w:t>
            </w:r>
          </w:p>
        </w:tc>
        <w:tc>
          <w:tcPr>
            <w:tcW w:type="dxa" w:w="1450"/>
          </w:tcPr>
          <w:p>
            <w:pPr>
              <w:spacing w:after="50" w:before="50" w:line="252" w:lineRule="auto"/>
            </w:pPr>
            <w:r>
              <w:rPr>
                <w:sz w:val="17"/>
              </w:rPr>
              <w:t>26,25,000</w:t>
            </w:r>
          </w:p>
        </w:tc>
        <w:tc>
          <w:tcPr>
            <w:tcW w:type="dxa" w:w="1660"/>
          </w:tcPr>
          <w:p>
            <w:pPr>
              <w:spacing w:after="50" w:before="50" w:line="252" w:lineRule="auto"/>
            </w:pPr>
            <w:r>
              <w:rPr>
                <w:sz w:val="17"/>
              </w:rPr>
              <w:t>18,00,000</w:t>
            </w:r>
          </w:p>
        </w:tc>
      </w:tr>
      <w:tr>
        <w:tc>
          <w:tcPr>
            <w:tcW w:type="dxa" w:w="850"/>
            <w:shd w:val="clear" w:color="auto" w:fill="EAF1F4"/>
          </w:tcPr>
          <w:p>
            <w:pPr>
              <w:spacing w:after="50" w:before="50" w:line="252" w:lineRule="auto"/>
            </w:pPr>
          </w:p>
        </w:tc>
        <w:tc>
          <w:tcPr>
            <w:tcW w:type="dxa" w:w="4954"/>
            <w:shd w:val="clear" w:color="auto" w:fill="EAF1F4"/>
          </w:tcPr>
          <w:p>
            <w:pPr>
              <w:spacing w:after="50" w:before="50" w:line="252" w:lineRule="auto"/>
            </w:pPr>
            <w:r>
              <w:rPr>
                <w:b/>
                <w:sz w:val="17"/>
              </w:rPr>
              <w:t>Total</w:t>
            </w:r>
          </w:p>
        </w:tc>
        <w:tc>
          <w:tcPr>
            <w:tcW w:type="dxa" w:w="850"/>
            <w:shd w:val="clear" w:color="auto" w:fill="EAF1F4"/>
          </w:tcPr>
          <w:p>
            <w:pPr>
              <w:spacing w:after="50" w:before="50" w:line="252" w:lineRule="auto"/>
            </w:pPr>
          </w:p>
        </w:tc>
        <w:tc>
          <w:tcPr>
            <w:tcW w:type="dxa" w:w="1450"/>
            <w:shd w:val="clear" w:color="auto" w:fill="EAF1F4"/>
          </w:tcPr>
          <w:p>
            <w:pPr>
              <w:spacing w:after="50" w:before="50" w:line="252" w:lineRule="auto"/>
            </w:pPr>
            <w:r>
              <w:rPr>
                <w:b/>
                <w:sz w:val="17"/>
              </w:rPr>
              <w:t>2,06,03,000</w:t>
            </w:r>
          </w:p>
        </w:tc>
        <w:tc>
          <w:tcPr>
            <w:tcW w:type="dxa" w:w="1660"/>
            <w:shd w:val="clear" w:color="auto" w:fill="EAF1F4"/>
          </w:tcPr>
          <w:p>
            <w:pPr>
              <w:spacing w:after="50" w:before="50" w:line="252" w:lineRule="auto"/>
            </w:pPr>
            <w:r>
              <w:rPr>
                <w:b/>
                <w:sz w:val="17"/>
              </w:rPr>
              <w:t>93,74,400</w:t>
            </w:r>
          </w:p>
        </w:tc>
      </w:tr>
      <w:tr>
        <w:tc>
          <w:tcPr>
            <w:tcW w:type="dxa" w:w="850"/>
          </w:tcPr>
          <w:p>
            <w:pPr>
              <w:spacing w:after="50" w:before="50" w:line="252" w:lineRule="auto"/>
            </w:pPr>
          </w:p>
        </w:tc>
        <w:tc>
          <w:tcPr>
            <w:tcW w:type="dxa" w:w="4954"/>
          </w:tcPr>
          <w:p>
            <w:pPr>
              <w:spacing w:after="50" w:before="50" w:line="252" w:lineRule="auto"/>
            </w:pPr>
            <w:r>
              <w:rPr>
                <w:sz w:val="17"/>
              </w:rPr>
              <w:t>Less competition edition 1 outturn</w:t>
            </w:r>
          </w:p>
        </w:tc>
        <w:tc>
          <w:tcPr>
            <w:tcW w:type="dxa" w:w="850"/>
          </w:tcPr>
          <w:p>
            <w:pPr>
              <w:spacing w:after="50" w:before="50" w:line="252" w:lineRule="auto"/>
            </w:pPr>
          </w:p>
        </w:tc>
        <w:tc>
          <w:tcPr>
            <w:tcW w:type="dxa" w:w="1450"/>
          </w:tcPr>
          <w:p>
            <w:pPr>
              <w:spacing w:after="50" w:before="50" w:line="252" w:lineRule="auto"/>
            </w:pPr>
          </w:p>
        </w:tc>
        <w:tc>
          <w:tcPr>
            <w:tcW w:type="dxa" w:w="1660"/>
          </w:tcPr>
          <w:p>
            <w:pPr>
              <w:spacing w:after="50" w:before="50" w:line="252" w:lineRule="auto"/>
            </w:pPr>
            <w:r>
              <w:rPr>
                <w:sz w:val="17"/>
              </w:rPr>
              <w:t>(2,19,500)</w:t>
            </w:r>
          </w:p>
        </w:tc>
      </w:tr>
      <w:tr>
        <w:tc>
          <w:tcPr>
            <w:tcW w:type="dxa" w:w="850"/>
            <w:shd w:val="clear" w:color="auto" w:fill="EAF1F4"/>
          </w:tcPr>
          <w:p>
            <w:pPr>
              <w:spacing w:after="50" w:before="50" w:line="252" w:lineRule="auto"/>
            </w:pPr>
          </w:p>
        </w:tc>
        <w:tc>
          <w:tcPr>
            <w:tcW w:type="dxa" w:w="4954"/>
            <w:shd w:val="clear" w:color="auto" w:fill="EAF1F4"/>
          </w:tcPr>
          <w:p>
            <w:pPr>
              <w:spacing w:after="50" w:before="50" w:line="252" w:lineRule="auto"/>
            </w:pPr>
            <w:r>
              <w:rPr>
                <w:sz w:val="17"/>
              </w:rPr>
              <w:t>Less fixed cost, full team</w:t>
            </w:r>
          </w:p>
        </w:tc>
        <w:tc>
          <w:tcPr>
            <w:tcW w:type="dxa" w:w="850"/>
            <w:shd w:val="clear" w:color="auto" w:fill="EAF1F4"/>
          </w:tcPr>
          <w:p>
            <w:pPr>
              <w:spacing w:after="50" w:before="50" w:line="252" w:lineRule="auto"/>
            </w:pPr>
          </w:p>
        </w:tc>
        <w:tc>
          <w:tcPr>
            <w:tcW w:type="dxa" w:w="1450"/>
            <w:shd w:val="clear" w:color="auto" w:fill="EAF1F4"/>
          </w:tcPr>
          <w:p>
            <w:pPr>
              <w:spacing w:after="50" w:before="50" w:line="252" w:lineRule="auto"/>
            </w:pPr>
          </w:p>
        </w:tc>
        <w:tc>
          <w:tcPr>
            <w:tcW w:type="dxa" w:w="1660"/>
            <w:shd w:val="clear" w:color="auto" w:fill="EAF1F4"/>
          </w:tcPr>
          <w:p>
            <w:pPr>
              <w:spacing w:after="50" w:before="50" w:line="252" w:lineRule="auto"/>
            </w:pPr>
            <w:r>
              <w:rPr>
                <w:sz w:val="17"/>
              </w:rPr>
              <w:t>(72,00,000)</w:t>
            </w:r>
          </w:p>
        </w:tc>
      </w:tr>
      <w:tr>
        <w:tc>
          <w:tcPr>
            <w:tcW w:type="dxa" w:w="850"/>
          </w:tcPr>
          <w:p>
            <w:pPr>
              <w:spacing w:after="50" w:before="50" w:line="252" w:lineRule="auto"/>
            </w:pPr>
          </w:p>
        </w:tc>
        <w:tc>
          <w:tcPr>
            <w:tcW w:type="dxa" w:w="4954"/>
          </w:tcPr>
          <w:p>
            <w:pPr>
              <w:spacing w:after="50" w:before="50" w:line="252" w:lineRule="auto"/>
            </w:pPr>
            <w:r>
              <w:rPr>
                <w:b/>
                <w:sz w:val="17"/>
              </w:rPr>
              <w:t>YEAR 2 RESULT</w:t>
            </w:r>
          </w:p>
        </w:tc>
        <w:tc>
          <w:tcPr>
            <w:tcW w:type="dxa" w:w="850"/>
          </w:tcPr>
          <w:p>
            <w:pPr>
              <w:spacing w:after="50" w:before="50" w:line="252" w:lineRule="auto"/>
            </w:pPr>
          </w:p>
        </w:tc>
        <w:tc>
          <w:tcPr>
            <w:tcW w:type="dxa" w:w="1450"/>
          </w:tcPr>
          <w:p>
            <w:pPr>
              <w:spacing w:after="50" w:before="50" w:line="252" w:lineRule="auto"/>
            </w:pPr>
          </w:p>
        </w:tc>
        <w:tc>
          <w:tcPr>
            <w:tcW w:type="dxa" w:w="1660"/>
          </w:tcPr>
          <w:p>
            <w:pPr>
              <w:spacing w:after="50" w:before="50" w:line="252" w:lineRule="auto"/>
            </w:pPr>
            <w:r>
              <w:rPr>
                <w:b/>
                <w:sz w:val="17"/>
              </w:rPr>
              <w:t>19,54,900</w:t>
            </w:r>
          </w:p>
        </w:tc>
      </w:tr>
    </w:tbl>
    <w:p>
      <w:pPr>
        <w:spacing w:after="80" w:before="0"/>
      </w:pPr>
    </w:p>
    <w:p>
      <w:r>
        <w:rPr>
          <w:b/>
        </w:rPr>
        <w:t>Two things do the work in year 2.</w:t>
      </w:r>
      <w:r>
        <w:t xml:space="preserve"> The membership tier (line 9) contributes ₹18 lakh on ₹26 lakh of revenue because it bundles items with near-zero marginal cost. Advisory retainers (line 1) contribute ₹15.4 lakh with no seasonality and negligible delivery infrastructure. Between them they are more than the entire year 2 profit.</w:t>
      </w:r>
    </w:p>
    <w:p>
      <w:pPr>
        <w:spacing w:before="80" w:after="160"/>
        <w:pBdr>
          <w:bottom w:val="single" w:sz="6" w:space="1" w:color="C9D6DE"/>
        </w:pBdr>
      </w:pPr>
    </w:p>
    <w:p>
      <w:pPr>
        <w:pStyle w:val="Heading1"/>
        <w:pBdr>
          <w:bottom w:val="single" w:sz="8" w:space="4" w:color="C9D6DE"/>
        </w:pBdr>
      </w:pPr>
      <w:r>
        <w:t>6. Three-year comparison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154"/>
            <w:shd w:val="clear" w:color="auto" w:fill="10375C"/>
          </w:tcPr>
          <w:p>
            <w:pPr>
              <w:spacing w:after="50" w:before="50"/>
            </w:pPr>
          </w:p>
        </w:tc>
        <w:tc>
          <w:tcPr>
            <w:tcW w:type="dxa" w:w="2405"/>
            <w:shd w:val="clear" w:color="auto" w:fill="10375C"/>
          </w:tcPr>
          <w:p>
            <w:pPr>
              <w:spacing w:after="50" w:before="50"/>
            </w:pPr>
            <w:r>
              <w:rPr>
                <w:b/>
                <w:color w:val="FFFFFF"/>
                <w:sz w:val="17"/>
              </w:rPr>
              <w:t>Original plan</w:t>
            </w:r>
          </w:p>
        </w:tc>
        <w:tc>
          <w:tcPr>
            <w:tcW w:type="dxa" w:w="2909"/>
            <w:shd w:val="clear" w:color="auto" w:fill="10375C"/>
          </w:tcPr>
          <w:p>
            <w:pPr>
              <w:spacing w:after="50" w:before="50"/>
            </w:pPr>
            <w:r>
              <w:rPr>
                <w:b/>
                <w:color w:val="FFFFFF"/>
                <w:sz w:val="17"/>
              </w:rPr>
              <w:t>Revised plan</w:t>
            </w:r>
          </w:p>
        </w:tc>
      </w:tr>
      <w:tr>
        <w:tc>
          <w:tcPr>
            <w:tcW w:type="dxa" w:w="4154"/>
          </w:tcPr>
          <w:p>
            <w:pPr>
              <w:spacing w:after="50" w:before="50" w:line="252" w:lineRule="auto"/>
            </w:pPr>
            <w:r>
              <w:rPr>
                <w:sz w:val="17"/>
              </w:rPr>
              <w:t>Year 1 revenue</w:t>
            </w:r>
          </w:p>
        </w:tc>
        <w:tc>
          <w:tcPr>
            <w:tcW w:type="dxa" w:w="2405"/>
          </w:tcPr>
          <w:p>
            <w:pPr>
              <w:spacing w:after="50" w:before="50" w:line="252" w:lineRule="auto"/>
            </w:pPr>
            <w:r>
              <w:rPr>
                <w:sz w:val="17"/>
              </w:rPr>
              <w:t>38,00,000</w:t>
            </w:r>
          </w:p>
        </w:tc>
        <w:tc>
          <w:tcPr>
            <w:tcW w:type="dxa" w:w="2909"/>
          </w:tcPr>
          <w:p>
            <w:pPr>
              <w:spacing w:after="50" w:before="50" w:line="252" w:lineRule="auto"/>
            </w:pPr>
            <w:r>
              <w:rPr>
                <w:sz w:val="17"/>
              </w:rPr>
              <w:t>63,45,000</w:t>
            </w:r>
          </w:p>
        </w:tc>
      </w:tr>
      <w:tr>
        <w:tc>
          <w:tcPr>
            <w:tcW w:type="dxa" w:w="4154"/>
            <w:shd w:val="clear" w:color="auto" w:fill="EAF1F4"/>
          </w:tcPr>
          <w:p>
            <w:pPr>
              <w:spacing w:after="50" w:before="50" w:line="252" w:lineRule="auto"/>
            </w:pPr>
            <w:r>
              <w:rPr>
                <w:sz w:val="17"/>
              </w:rPr>
              <w:t>Year 1 result</w:t>
            </w:r>
          </w:p>
        </w:tc>
        <w:tc>
          <w:tcPr>
            <w:tcW w:type="dxa" w:w="2405"/>
            <w:shd w:val="clear" w:color="auto" w:fill="EAF1F4"/>
          </w:tcPr>
          <w:p>
            <w:pPr>
              <w:spacing w:after="50" w:before="50" w:line="252" w:lineRule="auto"/>
            </w:pPr>
            <w:r>
              <w:rPr>
                <w:sz w:val="17"/>
              </w:rPr>
              <w:t>(28,32,000)</w:t>
            </w:r>
          </w:p>
        </w:tc>
        <w:tc>
          <w:tcPr>
            <w:tcW w:type="dxa" w:w="2909"/>
            <w:shd w:val="clear" w:color="auto" w:fill="EAF1F4"/>
          </w:tcPr>
          <w:p>
            <w:pPr>
              <w:spacing w:after="50" w:before="50" w:line="252" w:lineRule="auto"/>
            </w:pPr>
            <w:r>
              <w:rPr>
                <w:b/>
                <w:sz w:val="17"/>
              </w:rPr>
              <w:t>(17,93,600)</w:t>
            </w:r>
          </w:p>
        </w:tc>
      </w:tr>
      <w:tr>
        <w:tc>
          <w:tcPr>
            <w:tcW w:type="dxa" w:w="4154"/>
          </w:tcPr>
          <w:p>
            <w:pPr>
              <w:spacing w:after="50" w:before="50" w:line="252" w:lineRule="auto"/>
            </w:pPr>
            <w:r>
              <w:rPr>
                <w:sz w:val="17"/>
              </w:rPr>
              <w:t>Year 2 revenue</w:t>
            </w:r>
          </w:p>
        </w:tc>
        <w:tc>
          <w:tcPr>
            <w:tcW w:type="dxa" w:w="2405"/>
          </w:tcPr>
          <w:p>
            <w:pPr>
              <w:spacing w:after="50" w:before="50" w:line="252" w:lineRule="auto"/>
            </w:pPr>
            <w:r>
              <w:rPr>
                <w:sz w:val="17"/>
              </w:rPr>
              <w:t>1,53,10,000</w:t>
            </w:r>
          </w:p>
        </w:tc>
        <w:tc>
          <w:tcPr>
            <w:tcW w:type="dxa" w:w="2909"/>
          </w:tcPr>
          <w:p>
            <w:pPr>
              <w:spacing w:after="50" w:before="50" w:line="252" w:lineRule="auto"/>
            </w:pPr>
            <w:r>
              <w:rPr>
                <w:sz w:val="17"/>
              </w:rPr>
              <w:t>2,06,03,000</w:t>
            </w:r>
          </w:p>
        </w:tc>
      </w:tr>
      <w:tr>
        <w:tc>
          <w:tcPr>
            <w:tcW w:type="dxa" w:w="4154"/>
            <w:shd w:val="clear" w:color="auto" w:fill="EAF1F4"/>
          </w:tcPr>
          <w:p>
            <w:pPr>
              <w:spacing w:after="50" w:before="50" w:line="252" w:lineRule="auto"/>
            </w:pPr>
            <w:r>
              <w:rPr>
                <w:sz w:val="17"/>
              </w:rPr>
              <w:t>Year 2 result</w:t>
            </w:r>
          </w:p>
        </w:tc>
        <w:tc>
          <w:tcPr>
            <w:tcW w:type="dxa" w:w="2405"/>
            <w:shd w:val="clear" w:color="auto" w:fill="EAF1F4"/>
          </w:tcPr>
          <w:p>
            <w:pPr>
              <w:spacing w:after="50" w:before="50" w:line="252" w:lineRule="auto"/>
            </w:pPr>
            <w:r>
              <w:rPr>
                <w:sz w:val="17"/>
              </w:rPr>
              <w:t>(2,88,000)</w:t>
            </w:r>
          </w:p>
        </w:tc>
        <w:tc>
          <w:tcPr>
            <w:tcW w:type="dxa" w:w="2909"/>
            <w:shd w:val="clear" w:color="auto" w:fill="EAF1F4"/>
          </w:tcPr>
          <w:p>
            <w:pPr>
              <w:spacing w:after="50" w:before="50" w:line="252" w:lineRule="auto"/>
            </w:pPr>
            <w:r>
              <w:rPr>
                <w:b/>
                <w:sz w:val="17"/>
              </w:rPr>
              <w:t>19,54,900</w:t>
            </w:r>
          </w:p>
        </w:tc>
      </w:tr>
      <w:tr>
        <w:tc>
          <w:tcPr>
            <w:tcW w:type="dxa" w:w="4154"/>
          </w:tcPr>
          <w:p>
            <w:pPr>
              <w:spacing w:after="50" w:before="50" w:line="252" w:lineRule="auto"/>
            </w:pPr>
            <w:r>
              <w:rPr>
                <w:sz w:val="17"/>
              </w:rPr>
              <w:t>Year 3 revenue</w:t>
            </w:r>
          </w:p>
        </w:tc>
        <w:tc>
          <w:tcPr>
            <w:tcW w:type="dxa" w:w="2405"/>
          </w:tcPr>
          <w:p>
            <w:pPr>
              <w:spacing w:after="50" w:before="50" w:line="252" w:lineRule="auto"/>
            </w:pPr>
            <w:r>
              <w:rPr>
                <w:sz w:val="17"/>
              </w:rPr>
              <w:t>3,11,54,000</w:t>
            </w:r>
          </w:p>
        </w:tc>
        <w:tc>
          <w:tcPr>
            <w:tcW w:type="dxa" w:w="2909"/>
          </w:tcPr>
          <w:p>
            <w:pPr>
              <w:spacing w:after="50" w:before="50" w:line="252" w:lineRule="auto"/>
            </w:pPr>
            <w:r>
              <w:rPr>
                <w:sz w:val="17"/>
              </w:rPr>
              <w:t>3,64,00,000</w:t>
            </w:r>
          </w:p>
        </w:tc>
      </w:tr>
      <w:tr>
        <w:tc>
          <w:tcPr>
            <w:tcW w:type="dxa" w:w="4154"/>
            <w:shd w:val="clear" w:color="auto" w:fill="EAF1F4"/>
          </w:tcPr>
          <w:p>
            <w:pPr>
              <w:spacing w:after="50" w:before="50" w:line="252" w:lineRule="auto"/>
            </w:pPr>
            <w:r>
              <w:rPr>
                <w:sz w:val="17"/>
              </w:rPr>
              <w:t>Year 3 result</w:t>
            </w:r>
          </w:p>
        </w:tc>
        <w:tc>
          <w:tcPr>
            <w:tcW w:type="dxa" w:w="2405"/>
            <w:shd w:val="clear" w:color="auto" w:fill="EAF1F4"/>
          </w:tcPr>
          <w:p>
            <w:pPr>
              <w:spacing w:after="50" w:before="50" w:line="252" w:lineRule="auto"/>
            </w:pPr>
            <w:r>
              <w:rPr>
                <w:sz w:val="17"/>
              </w:rPr>
              <w:t>38,15,000</w:t>
            </w:r>
          </w:p>
        </w:tc>
        <w:tc>
          <w:tcPr>
            <w:tcW w:type="dxa" w:w="2909"/>
            <w:shd w:val="clear" w:color="auto" w:fill="EAF1F4"/>
          </w:tcPr>
          <w:p>
            <w:pPr>
              <w:spacing w:after="50" w:before="50" w:line="252" w:lineRule="auto"/>
            </w:pPr>
            <w:r>
              <w:rPr>
                <w:b/>
                <w:sz w:val="17"/>
              </w:rPr>
              <w:t>62,40,000</w:t>
            </w:r>
          </w:p>
        </w:tc>
      </w:tr>
      <w:tr>
        <w:tc>
          <w:tcPr>
            <w:tcW w:type="dxa" w:w="4154"/>
          </w:tcPr>
          <w:p>
            <w:pPr>
              <w:spacing w:after="50" w:before="50" w:line="252" w:lineRule="auto"/>
            </w:pPr>
            <w:r>
              <w:rPr>
                <w:b/>
                <w:sz w:val="17"/>
              </w:rPr>
              <w:t>Cumulative three-year result</w:t>
            </w:r>
          </w:p>
        </w:tc>
        <w:tc>
          <w:tcPr>
            <w:tcW w:type="dxa" w:w="2405"/>
          </w:tcPr>
          <w:p>
            <w:pPr>
              <w:spacing w:after="50" w:before="50" w:line="252" w:lineRule="auto"/>
            </w:pPr>
            <w:r>
              <w:rPr>
                <w:b/>
                <w:sz w:val="17"/>
              </w:rPr>
              <w:t>6,95,000</w:t>
            </w:r>
          </w:p>
        </w:tc>
        <w:tc>
          <w:tcPr>
            <w:tcW w:type="dxa" w:w="2909"/>
          </w:tcPr>
          <w:p>
            <w:pPr>
              <w:spacing w:after="50" w:before="50" w:line="252" w:lineRule="auto"/>
            </w:pPr>
            <w:r>
              <w:rPr>
                <w:b/>
                <w:sz w:val="17"/>
              </w:rPr>
              <w:t>63,01,300</w:t>
            </w:r>
          </w:p>
        </w:tc>
      </w:tr>
      <w:tr>
        <w:tc>
          <w:tcPr>
            <w:tcW w:type="dxa" w:w="4154"/>
            <w:shd w:val="clear" w:color="auto" w:fill="EAF1F4"/>
          </w:tcPr>
          <w:p>
            <w:pPr>
              <w:spacing w:after="50" w:before="50" w:line="252" w:lineRule="auto"/>
            </w:pPr>
            <w:r>
              <w:rPr>
                <w:sz w:val="17"/>
              </w:rPr>
              <w:t>Peak cash requirement</w:t>
            </w:r>
          </w:p>
        </w:tc>
        <w:tc>
          <w:tcPr>
            <w:tcW w:type="dxa" w:w="2405"/>
            <w:shd w:val="clear" w:color="auto" w:fill="EAF1F4"/>
          </w:tcPr>
          <w:p>
            <w:pPr>
              <w:spacing w:after="50" w:before="50" w:line="252" w:lineRule="auto"/>
            </w:pPr>
            <w:r>
              <w:rPr>
                <w:sz w:val="17"/>
              </w:rPr>
              <w:t>~₹31 lakh</w:t>
            </w:r>
          </w:p>
        </w:tc>
        <w:tc>
          <w:tcPr>
            <w:tcW w:type="dxa" w:w="2909"/>
            <w:shd w:val="clear" w:color="auto" w:fill="EAF1F4"/>
          </w:tcPr>
          <w:p>
            <w:pPr>
              <w:spacing w:after="50" w:before="50" w:line="252" w:lineRule="auto"/>
            </w:pPr>
            <w:r>
              <w:rPr>
                <w:b/>
                <w:sz w:val="17"/>
              </w:rPr>
              <w:t>~₹19 lakh</w:t>
            </w:r>
          </w:p>
        </w:tc>
      </w:tr>
    </w:tbl>
    <w:p>
      <w:pPr>
        <w:spacing w:after="80" w:before="0"/>
      </w:pPr>
    </w:p>
    <w:p>
      <w:r>
        <w:rPr>
          <w:b/>
        </w:rPr>
        <w:t>[verify — all figures are planning estimates and must be re-based after the first two quarters of actual delivery.]</w:t>
      </w:r>
    </w:p>
    <w:p>
      <w:pPr>
        <w:spacing w:before="80" w:after="160"/>
        <w:pBdr>
          <w:bottom w:val="single" w:sz="6" w:space="1" w:color="C9D6DE"/>
        </w:pBdr>
      </w:pPr>
    </w:p>
    <w:p>
      <w:pPr>
        <w:pStyle w:val="Heading1"/>
        <w:pBdr>
          <w:bottom w:val="single" w:sz="8" w:space="4" w:color="C9D6DE"/>
        </w:pBdr>
      </w:pPr>
      <w:r>
        <w:t>7. The competition decision</w:t>
      </w:r>
    </w:p>
    <w:p>
      <w:r>
        <w:t>The original plan launched the Equator National Mediation Championship in year 1. The revised plan does not, for three reasons.</w:t>
      </w:r>
    </w:p>
    <w:p>
      <w:pPr>
        <w:pStyle w:val="ListNumber"/>
      </w:pPr>
      <w:r>
        <w:rPr>
          <w:b/>
          <w:sz w:val="21"/>
        </w:rPr>
        <w:t>Edition 1 loses ₹2.2 lakh and needs ₹8.5 lakh of contracted sponsorship</w:t>
      </w:r>
      <w:r>
        <w:rPr>
          <w:sz w:val="21"/>
        </w:rPr>
        <w:t xml:space="preserve"> from relationships Equator does not yet have.</w:t>
      </w:r>
    </w:p>
    <w:p>
      <w:pPr>
        <w:pStyle w:val="ListNumber"/>
      </w:pPr>
      <w:r>
        <w:rPr>
          <w:b/>
          <w:sz w:val="21"/>
        </w:rPr>
        <w:t>The circuit is crowded and established.</w:t>
      </w:r>
      <w:r>
        <w:rPr>
          <w:sz w:val="21"/>
        </w:rPr>
        <w:t xml:space="preserve"> NLIU Bhopal, NALSAR, Jamia Millia Islamia and NMIMS Indore all run mediation competitions in the February–March window, several with law firm and publisher backing. A first edition entering that field competes for the same teams, judges and sponsors from a standing start.</w:t>
      </w:r>
    </w:p>
    <w:p>
      <w:pPr>
        <w:pStyle w:val="ListNumber"/>
      </w:pPr>
      <w:r>
        <w:rPr>
          <w:b/>
          <w:sz w:val="21"/>
        </w:rPr>
        <w:t>Sponsoring and judging at existing competitions is a fraction of the cost and better intelligence.</w:t>
      </w:r>
      <w:r>
        <w:rPr>
          <w:sz w:val="21"/>
        </w:rPr>
        <w:t xml:space="preserve"> ₹3.5 lakh across three events buys visibility with forty institutions, puts Equator neutrals on panels alongside the bench and bar, and — the point most often missed — </w:t>
      </w:r>
      <w:r>
        <w:rPr>
          <w:b/>
          <w:sz w:val="21"/>
        </w:rPr>
        <w:t>reveals who actually writes cheques for ADR competitions in India</w:t>
      </w:r>
      <w:r>
        <w:rPr>
          <w:sz w:val="21"/>
        </w:rPr>
        <w:t xml:space="preserve"> before Equator asks anyone for ₹12 lakh.</w:t>
      </w:r>
    </w:p>
    <w:p>
      <w:pPr>
        <w:pStyle w:val="Heading2"/>
      </w:pPr>
      <w:r>
        <w:t>7.1 Year 1 competition plan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4949"/>
            <w:shd w:val="clear" w:color="auto" w:fill="10375C"/>
          </w:tcPr>
          <w:p>
            <w:pPr>
              <w:spacing w:after="50" w:before="50"/>
            </w:pPr>
            <w:r>
              <w:rPr>
                <w:b/>
                <w:color w:val="FFFFFF"/>
                <w:sz w:val="17"/>
              </w:rPr>
              <w:t>Event</w:t>
            </w:r>
          </w:p>
        </w:tc>
        <w:tc>
          <w:tcPr>
            <w:tcW w:type="dxa" w:w="850"/>
            <w:shd w:val="clear" w:color="auto" w:fill="10375C"/>
          </w:tcPr>
          <w:p>
            <w:pPr>
              <w:spacing w:after="50" w:before="50"/>
            </w:pPr>
            <w:r>
              <w:rPr>
                <w:b/>
                <w:color w:val="FFFFFF"/>
                <w:sz w:val="17"/>
              </w:rPr>
              <w:t>Window</w:t>
            </w:r>
          </w:p>
        </w:tc>
        <w:tc>
          <w:tcPr>
            <w:tcW w:type="dxa" w:w="2787"/>
            <w:shd w:val="clear" w:color="auto" w:fill="10375C"/>
          </w:tcPr>
          <w:p>
            <w:pPr>
              <w:spacing w:after="50" w:before="50"/>
            </w:pPr>
            <w:r>
              <w:rPr>
                <w:b/>
                <w:color w:val="FFFFFF"/>
                <w:sz w:val="17"/>
              </w:rPr>
              <w:t>Equator's role</w:t>
            </w:r>
          </w:p>
        </w:tc>
        <w:tc>
          <w:tcPr>
            <w:tcW w:type="dxa" w:w="912"/>
            <w:shd w:val="clear" w:color="auto" w:fill="10375C"/>
          </w:tcPr>
          <w:p>
            <w:pPr>
              <w:spacing w:after="50" w:before="50"/>
            </w:pPr>
            <w:r>
              <w:rPr>
                <w:b/>
                <w:color w:val="FFFFFF"/>
                <w:sz w:val="17"/>
              </w:rPr>
              <w:t>Cost</w:t>
            </w:r>
          </w:p>
        </w:tc>
      </w:tr>
      <w:tr>
        <w:tc>
          <w:tcPr>
            <w:tcW w:type="dxa" w:w="4949"/>
          </w:tcPr>
          <w:p>
            <w:pPr>
              <w:spacing w:after="50" w:before="50" w:line="252" w:lineRule="auto"/>
            </w:pPr>
            <w:r>
              <w:rPr>
                <w:sz w:val="17"/>
              </w:rPr>
              <w:t>Fox &amp; Mandal–NALSAR Mediation Tournament</w:t>
            </w:r>
          </w:p>
        </w:tc>
        <w:tc>
          <w:tcPr>
            <w:tcW w:type="dxa" w:w="850"/>
          </w:tcPr>
          <w:p>
            <w:pPr>
              <w:spacing w:after="50" w:before="50" w:line="252" w:lineRule="auto"/>
            </w:pPr>
            <w:r>
              <w:rPr>
                <w:sz w:val="17"/>
              </w:rPr>
              <w:t>February</w:t>
            </w:r>
          </w:p>
        </w:tc>
        <w:tc>
          <w:tcPr>
            <w:tcW w:type="dxa" w:w="2787"/>
          </w:tcPr>
          <w:p>
            <w:pPr>
              <w:spacing w:after="50" w:before="50" w:line="252" w:lineRule="auto"/>
            </w:pPr>
            <w:r>
              <w:rPr>
                <w:sz w:val="17"/>
              </w:rPr>
              <w:t>Judges; delegate presence</w:t>
            </w:r>
          </w:p>
        </w:tc>
        <w:tc>
          <w:tcPr>
            <w:tcW w:type="dxa" w:w="912"/>
          </w:tcPr>
          <w:p>
            <w:pPr>
              <w:spacing w:after="50" w:before="50" w:line="252" w:lineRule="auto"/>
            </w:pPr>
            <w:r>
              <w:rPr>
                <w:sz w:val="17"/>
              </w:rPr>
              <w:t>60,000</w:t>
            </w:r>
          </w:p>
        </w:tc>
      </w:tr>
      <w:tr>
        <w:tc>
          <w:tcPr>
            <w:tcW w:type="dxa" w:w="4949"/>
            <w:shd w:val="clear" w:color="auto" w:fill="EAF1F4"/>
          </w:tcPr>
          <w:p>
            <w:pPr>
              <w:spacing w:after="50" w:before="50" w:line="252" w:lineRule="auto"/>
            </w:pPr>
            <w:r>
              <w:rPr>
                <w:sz w:val="17"/>
              </w:rPr>
              <w:t>XIV International Mediation Tournament, CADR, NLIU Bhopal</w:t>
            </w:r>
          </w:p>
        </w:tc>
        <w:tc>
          <w:tcPr>
            <w:tcW w:type="dxa" w:w="850"/>
            <w:shd w:val="clear" w:color="auto" w:fill="EAF1F4"/>
          </w:tcPr>
          <w:p>
            <w:pPr>
              <w:spacing w:after="50" w:before="50" w:line="252" w:lineRule="auto"/>
            </w:pPr>
            <w:r>
              <w:rPr>
                <w:sz w:val="17"/>
              </w:rPr>
              <w:t>March</w:t>
            </w:r>
          </w:p>
        </w:tc>
        <w:tc>
          <w:tcPr>
            <w:tcW w:type="dxa" w:w="2787"/>
            <w:shd w:val="clear" w:color="auto" w:fill="EAF1F4"/>
          </w:tcPr>
          <w:p>
            <w:pPr>
              <w:spacing w:after="50" w:before="50" w:line="252" w:lineRule="auto"/>
            </w:pPr>
            <w:r>
              <w:rPr>
                <w:sz w:val="17"/>
              </w:rPr>
              <w:t>Named round or award sponsor; judges</w:t>
            </w:r>
          </w:p>
        </w:tc>
        <w:tc>
          <w:tcPr>
            <w:tcW w:type="dxa" w:w="912"/>
            <w:shd w:val="clear" w:color="auto" w:fill="EAF1F4"/>
          </w:tcPr>
          <w:p>
            <w:pPr>
              <w:spacing w:after="50" w:before="50" w:line="252" w:lineRule="auto"/>
            </w:pPr>
            <w:r>
              <w:rPr>
                <w:sz w:val="17"/>
              </w:rPr>
              <w:t>1,50,000</w:t>
            </w:r>
          </w:p>
        </w:tc>
      </w:tr>
      <w:tr>
        <w:tc>
          <w:tcPr>
            <w:tcW w:type="dxa" w:w="4949"/>
          </w:tcPr>
          <w:p>
            <w:pPr>
              <w:spacing w:after="50" w:before="50" w:line="252" w:lineRule="auto"/>
            </w:pPr>
            <w:r>
              <w:rPr>
                <w:sz w:val="17"/>
              </w:rPr>
              <w:t>Jamia Millia Islamia National Mediation Competition</w:t>
            </w:r>
          </w:p>
        </w:tc>
        <w:tc>
          <w:tcPr>
            <w:tcW w:type="dxa" w:w="850"/>
          </w:tcPr>
          <w:p>
            <w:pPr>
              <w:spacing w:after="50" w:before="50" w:line="252" w:lineRule="auto"/>
            </w:pPr>
            <w:r>
              <w:rPr>
                <w:sz w:val="17"/>
              </w:rPr>
              <w:t>February</w:t>
            </w:r>
          </w:p>
        </w:tc>
        <w:tc>
          <w:tcPr>
            <w:tcW w:type="dxa" w:w="2787"/>
          </w:tcPr>
          <w:p>
            <w:pPr>
              <w:spacing w:after="50" w:before="50" w:line="252" w:lineRule="auto"/>
            </w:pPr>
            <w:r>
              <w:rPr>
                <w:sz w:val="17"/>
              </w:rPr>
              <w:t>Judges; award sponsor</w:t>
            </w:r>
          </w:p>
        </w:tc>
        <w:tc>
          <w:tcPr>
            <w:tcW w:type="dxa" w:w="912"/>
          </w:tcPr>
          <w:p>
            <w:pPr>
              <w:spacing w:after="50" w:before="50" w:line="252" w:lineRule="auto"/>
            </w:pPr>
            <w:r>
              <w:rPr>
                <w:sz w:val="17"/>
              </w:rPr>
              <w:t>75,000</w:t>
            </w:r>
          </w:p>
        </w:tc>
      </w:tr>
      <w:tr>
        <w:tc>
          <w:tcPr>
            <w:tcW w:type="dxa" w:w="4949"/>
            <w:shd w:val="clear" w:color="auto" w:fill="EAF1F4"/>
          </w:tcPr>
          <w:p>
            <w:pPr>
              <w:spacing w:after="50" w:before="50" w:line="252" w:lineRule="auto"/>
            </w:pPr>
            <w:r>
              <w:rPr>
                <w:sz w:val="17"/>
              </w:rPr>
              <w:t>NMIMS Indore Inter-University Mediation Competition</w:t>
            </w:r>
          </w:p>
        </w:tc>
        <w:tc>
          <w:tcPr>
            <w:tcW w:type="dxa" w:w="850"/>
            <w:shd w:val="clear" w:color="auto" w:fill="EAF1F4"/>
          </w:tcPr>
          <w:p>
            <w:pPr>
              <w:spacing w:after="50" w:before="50" w:line="252" w:lineRule="auto"/>
            </w:pPr>
            <w:r>
              <w:rPr>
                <w:sz w:val="17"/>
              </w:rPr>
              <w:t>2026 cycle</w:t>
            </w:r>
          </w:p>
        </w:tc>
        <w:tc>
          <w:tcPr>
            <w:tcW w:type="dxa" w:w="2787"/>
            <w:shd w:val="clear" w:color="auto" w:fill="EAF1F4"/>
          </w:tcPr>
          <w:p>
            <w:pPr>
              <w:spacing w:after="50" w:before="50" w:line="252" w:lineRule="auto"/>
            </w:pPr>
            <w:r>
              <w:rPr>
                <w:sz w:val="17"/>
              </w:rPr>
              <w:t>Judges</w:t>
            </w:r>
          </w:p>
        </w:tc>
        <w:tc>
          <w:tcPr>
            <w:tcW w:type="dxa" w:w="912"/>
            <w:shd w:val="clear" w:color="auto" w:fill="EAF1F4"/>
          </w:tcPr>
          <w:p>
            <w:pPr>
              <w:spacing w:after="50" w:before="50" w:line="252" w:lineRule="auto"/>
            </w:pPr>
            <w:r>
              <w:rPr>
                <w:sz w:val="17"/>
              </w:rPr>
              <w:t>40,000</w:t>
            </w:r>
          </w:p>
        </w:tc>
      </w:tr>
      <w:tr>
        <w:tc>
          <w:tcPr>
            <w:tcW w:type="dxa" w:w="4949"/>
          </w:tcPr>
          <w:p>
            <w:pPr>
              <w:spacing w:after="50" w:before="50" w:line="252" w:lineRule="auto"/>
            </w:pPr>
            <w:r>
              <w:rPr>
                <w:sz w:val="17"/>
              </w:rPr>
              <w:t>INADR International Law School Mediation Tournament, DY Patil</w:t>
            </w:r>
          </w:p>
        </w:tc>
        <w:tc>
          <w:tcPr>
            <w:tcW w:type="dxa" w:w="850"/>
          </w:tcPr>
          <w:p>
            <w:pPr>
              <w:spacing w:after="50" w:before="50" w:line="252" w:lineRule="auto"/>
            </w:pPr>
            <w:r>
              <w:rPr>
                <w:sz w:val="17"/>
              </w:rPr>
              <w:t>November</w:t>
            </w:r>
          </w:p>
        </w:tc>
        <w:tc>
          <w:tcPr>
            <w:tcW w:type="dxa" w:w="2787"/>
          </w:tcPr>
          <w:p>
            <w:pPr>
              <w:spacing w:after="50" w:before="50" w:line="252" w:lineRule="auto"/>
            </w:pPr>
            <w:r>
              <w:rPr>
                <w:sz w:val="17"/>
              </w:rPr>
              <w:t>Judges; observation for format learning</w:t>
            </w:r>
          </w:p>
        </w:tc>
        <w:tc>
          <w:tcPr>
            <w:tcW w:type="dxa" w:w="912"/>
          </w:tcPr>
          <w:p>
            <w:pPr>
              <w:spacing w:after="50" w:before="50" w:line="252" w:lineRule="auto"/>
            </w:pPr>
            <w:r>
              <w:rPr>
                <w:sz w:val="17"/>
              </w:rPr>
              <w:t>25,000</w:t>
            </w:r>
          </w:p>
        </w:tc>
      </w:tr>
      <w:tr>
        <w:tc>
          <w:tcPr>
            <w:tcW w:type="dxa" w:w="4949"/>
            <w:shd w:val="clear" w:color="auto" w:fill="EAF1F4"/>
          </w:tcPr>
          <w:p>
            <w:pPr>
              <w:spacing w:after="50" w:before="50" w:line="252" w:lineRule="auto"/>
            </w:pPr>
            <w:r>
              <w:rPr>
                <w:b/>
                <w:sz w:val="17"/>
              </w:rPr>
              <w:t>Total</w:t>
            </w:r>
          </w:p>
        </w:tc>
        <w:tc>
          <w:tcPr>
            <w:tcW w:type="dxa" w:w="850"/>
            <w:shd w:val="clear" w:color="auto" w:fill="EAF1F4"/>
          </w:tcPr>
          <w:p>
            <w:pPr>
              <w:spacing w:after="50" w:before="50" w:line="252" w:lineRule="auto"/>
            </w:pPr>
          </w:p>
        </w:tc>
        <w:tc>
          <w:tcPr>
            <w:tcW w:type="dxa" w:w="2787"/>
            <w:shd w:val="clear" w:color="auto" w:fill="EAF1F4"/>
          </w:tcPr>
          <w:p>
            <w:pPr>
              <w:spacing w:after="50" w:before="50" w:line="252" w:lineRule="auto"/>
            </w:pPr>
          </w:p>
        </w:tc>
        <w:tc>
          <w:tcPr>
            <w:tcW w:type="dxa" w:w="912"/>
            <w:shd w:val="clear" w:color="auto" w:fill="EAF1F4"/>
          </w:tcPr>
          <w:p>
            <w:pPr>
              <w:spacing w:after="50" w:before="50" w:line="252" w:lineRule="auto"/>
            </w:pPr>
            <w:r>
              <w:rPr>
                <w:b/>
                <w:sz w:val="17"/>
              </w:rPr>
              <w:t>3,50,000</w:t>
            </w:r>
          </w:p>
        </w:tc>
      </w:tr>
    </w:tbl>
    <w:p>
      <w:pPr>
        <w:spacing w:after="80" w:before="0"/>
      </w:pPr>
    </w:p>
    <w:p>
      <w:r>
        <w:rPr>
          <w:b/>
        </w:rPr>
        <w:t>Objectives, in order:</w:t>
      </w:r>
      <w:r>
        <w:t xml:space="preserve"> identify and build relationships with the five sponsors who fund this circuit; recruit six judges to Equator's panel; sell coaching to at least four participating institutions; and select the host campus for Equator's own edition in year 2.</w:t>
      </w:r>
    </w:p>
    <w:p>
      <w:r>
        <w:rPr>
          <w:b/>
        </w:rPr>
        <w:t>[verify — confirm current edition dates and sponsorship availability with each organiser.]</w:t>
      </w:r>
    </w:p>
    <w:p>
      <w:pPr>
        <w:spacing w:before="80" w:after="160"/>
        <w:pBdr>
          <w:bottom w:val="single" w:sz="6" w:space="1" w:color="C9D6DE"/>
        </w:pBdr>
      </w:pPr>
    </w:p>
    <w:p>
      <w:pPr>
        <w:pStyle w:val="Heading1"/>
        <w:pBdr>
          <w:bottom w:val="single" w:sz="8" w:space="4" w:color="C9D6DE"/>
        </w:pBdr>
      </w:pPr>
      <w:r>
        <w:t>8. The bench-city strategy</w:t>
      </w:r>
    </w:p>
    <w:p>
      <w:r>
        <w:t xml:space="preserve">Student delivery is only economic where four or more certified trainers are locally available. The revised plan therefore treats trainer density as a </w:t>
      </w:r>
      <w:r>
        <w:rPr>
          <w:b/>
        </w:rPr>
        <w:t>geographic</w:t>
      </w:r>
      <w:r>
        <w:t xml:space="preserve"> objective, not a national one.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971"/>
            <w:shd w:val="clear" w:color="auto" w:fill="10375C"/>
          </w:tcPr>
          <w:p>
            <w:pPr>
              <w:spacing w:after="50" w:before="50"/>
            </w:pPr>
            <w:r>
              <w:rPr>
                <w:b/>
                <w:color w:val="FFFFFF"/>
                <w:sz w:val="17"/>
              </w:rPr>
              <w:t>Year</w:t>
            </w:r>
          </w:p>
        </w:tc>
        <w:tc>
          <w:tcPr>
            <w:tcW w:type="dxa" w:w="3285"/>
            <w:shd w:val="clear" w:color="auto" w:fill="10375C"/>
          </w:tcPr>
          <w:p>
            <w:pPr>
              <w:spacing w:after="50" w:before="50"/>
            </w:pPr>
            <w:r>
              <w:rPr>
                <w:b/>
                <w:color w:val="FFFFFF"/>
                <w:sz w:val="17"/>
              </w:rPr>
              <w:t>Bench cities</w:t>
            </w:r>
          </w:p>
        </w:tc>
        <w:tc>
          <w:tcPr>
            <w:tcW w:type="dxa" w:w="1950"/>
            <w:shd w:val="clear" w:color="auto" w:fill="10375C"/>
          </w:tcPr>
          <w:p>
            <w:pPr>
              <w:spacing w:after="50" w:before="50"/>
            </w:pPr>
            <w:r>
              <w:rPr>
                <w:b/>
                <w:color w:val="FFFFFF"/>
                <w:sz w:val="17"/>
              </w:rPr>
              <w:t>Certified trainers</w:t>
            </w:r>
          </w:p>
        </w:tc>
        <w:tc>
          <w:tcPr>
            <w:tcW w:type="dxa" w:w="3261"/>
            <w:shd w:val="clear" w:color="auto" w:fill="10375C"/>
          </w:tcPr>
          <w:p>
            <w:pPr>
              <w:spacing w:after="50" w:before="50"/>
            </w:pPr>
            <w:r>
              <w:rPr>
                <w:b/>
                <w:color w:val="FFFFFF"/>
                <w:sz w:val="17"/>
              </w:rPr>
              <w:t>Student cohorts possible</w:t>
            </w:r>
          </w:p>
        </w:tc>
      </w:tr>
      <w:tr>
        <w:tc>
          <w:tcPr>
            <w:tcW w:type="dxa" w:w="971"/>
          </w:tcPr>
          <w:p>
            <w:pPr>
              <w:spacing w:after="50" w:before="50" w:line="252" w:lineRule="auto"/>
            </w:pPr>
            <w:r>
              <w:rPr>
                <w:sz w:val="17"/>
              </w:rPr>
              <w:t>1</w:t>
            </w:r>
          </w:p>
        </w:tc>
        <w:tc>
          <w:tcPr>
            <w:tcW w:type="dxa" w:w="3285"/>
          </w:tcPr>
          <w:p>
            <w:pPr>
              <w:spacing w:after="50" w:before="50" w:line="252" w:lineRule="auto"/>
            </w:pPr>
            <w:r>
              <w:rPr>
                <w:sz w:val="17"/>
              </w:rPr>
              <w:t xml:space="preserve">1 — </w:t>
            </w:r>
            <w:r>
              <w:rPr>
                <w:b/>
                <w:sz w:val="17"/>
              </w:rPr>
              <w:t>[●], recommended [●]</w:t>
            </w:r>
          </w:p>
        </w:tc>
        <w:tc>
          <w:tcPr>
            <w:tcW w:type="dxa" w:w="1950"/>
          </w:tcPr>
          <w:p>
            <w:pPr>
              <w:spacing w:after="50" w:before="50" w:line="252" w:lineRule="auto"/>
            </w:pPr>
            <w:r>
              <w:rPr>
                <w:sz w:val="17"/>
              </w:rPr>
              <w:t>6</w:t>
            </w:r>
          </w:p>
        </w:tc>
        <w:tc>
          <w:tcPr>
            <w:tcW w:type="dxa" w:w="3261"/>
          </w:tcPr>
          <w:p>
            <w:pPr>
              <w:spacing w:after="50" w:before="50" w:line="252" w:lineRule="auto"/>
            </w:pPr>
            <w:r>
              <w:rPr>
                <w:sz w:val="17"/>
              </w:rPr>
              <w:t>0, bench in training</w:t>
            </w:r>
          </w:p>
        </w:tc>
      </w:tr>
      <w:tr>
        <w:tc>
          <w:tcPr>
            <w:tcW w:type="dxa" w:w="971"/>
            <w:shd w:val="clear" w:color="auto" w:fill="EAF1F4"/>
          </w:tcPr>
          <w:p>
            <w:pPr>
              <w:spacing w:after="50" w:before="50" w:line="252" w:lineRule="auto"/>
            </w:pPr>
            <w:r>
              <w:rPr>
                <w:sz w:val="17"/>
              </w:rPr>
              <w:t>2</w:t>
            </w:r>
          </w:p>
        </w:tc>
        <w:tc>
          <w:tcPr>
            <w:tcW w:type="dxa" w:w="3285"/>
            <w:shd w:val="clear" w:color="auto" w:fill="EAF1F4"/>
          </w:tcPr>
          <w:p>
            <w:pPr>
              <w:spacing w:after="50" w:before="50" w:line="252" w:lineRule="auto"/>
            </w:pPr>
            <w:r>
              <w:rPr>
                <w:sz w:val="17"/>
              </w:rPr>
              <w:t>2</w:t>
            </w:r>
          </w:p>
        </w:tc>
        <w:tc>
          <w:tcPr>
            <w:tcW w:type="dxa" w:w="1950"/>
            <w:shd w:val="clear" w:color="auto" w:fill="EAF1F4"/>
          </w:tcPr>
          <w:p>
            <w:pPr>
              <w:spacing w:after="50" w:before="50" w:line="252" w:lineRule="auto"/>
            </w:pPr>
            <w:r>
              <w:rPr>
                <w:sz w:val="17"/>
              </w:rPr>
              <w:t>14</w:t>
            </w:r>
          </w:p>
        </w:tc>
        <w:tc>
          <w:tcPr>
            <w:tcW w:type="dxa" w:w="3261"/>
            <w:shd w:val="clear" w:color="auto" w:fill="EAF1F4"/>
          </w:tcPr>
          <w:p>
            <w:pPr>
              <w:spacing w:after="50" w:before="50" w:line="252" w:lineRule="auto"/>
            </w:pPr>
            <w:r>
              <w:rPr>
                <w:sz w:val="17"/>
              </w:rPr>
              <w:t>8</w:t>
            </w:r>
          </w:p>
        </w:tc>
      </w:tr>
      <w:tr>
        <w:tc>
          <w:tcPr>
            <w:tcW w:type="dxa" w:w="971"/>
          </w:tcPr>
          <w:p>
            <w:pPr>
              <w:spacing w:after="50" w:before="50" w:line="252" w:lineRule="auto"/>
            </w:pPr>
            <w:r>
              <w:rPr>
                <w:sz w:val="17"/>
              </w:rPr>
              <w:t>3</w:t>
            </w:r>
          </w:p>
        </w:tc>
        <w:tc>
          <w:tcPr>
            <w:tcW w:type="dxa" w:w="3285"/>
          </w:tcPr>
          <w:p>
            <w:pPr>
              <w:spacing w:after="50" w:before="50" w:line="252" w:lineRule="auto"/>
            </w:pPr>
            <w:r>
              <w:rPr>
                <w:sz w:val="17"/>
              </w:rPr>
              <w:t>4</w:t>
            </w:r>
          </w:p>
        </w:tc>
        <w:tc>
          <w:tcPr>
            <w:tcW w:type="dxa" w:w="1950"/>
          </w:tcPr>
          <w:p>
            <w:pPr>
              <w:spacing w:after="50" w:before="50" w:line="252" w:lineRule="auto"/>
            </w:pPr>
            <w:r>
              <w:rPr>
                <w:sz w:val="17"/>
              </w:rPr>
              <w:t>26</w:t>
            </w:r>
          </w:p>
        </w:tc>
        <w:tc>
          <w:tcPr>
            <w:tcW w:type="dxa" w:w="3261"/>
          </w:tcPr>
          <w:p>
            <w:pPr>
              <w:spacing w:after="50" w:before="50" w:line="252" w:lineRule="auto"/>
            </w:pPr>
            <w:r>
              <w:rPr>
                <w:sz w:val="17"/>
              </w:rPr>
              <w:t>22</w:t>
            </w:r>
          </w:p>
        </w:tc>
      </w:tr>
    </w:tbl>
    <w:p>
      <w:pPr>
        <w:spacing w:after="80" w:before="0"/>
      </w:pPr>
    </w:p>
    <w:p>
      <w:r>
        <w:rPr>
          <w:b/>
        </w:rPr>
        <w:t>City selection criteria</w:t>
      </w:r>
      <w:r>
        <w:t>, in order: density of target institutions within 90 minutes' travel; availability of practising mediators willing to train; presence of a court-annexed mediation centre from which to recruit; Equator's own case volume in that city; and cost of living, which sets the trainer day rate.</w:t>
      </w:r>
    </w:p>
    <w:p>
      <w:r>
        <w:rPr>
          <w:b/>
        </w:rPr>
        <w:t>Rule: no student certificate course is sold in a city with fewer than four certified trainers.</w:t>
      </w:r>
      <w:r>
        <w:t xml:space="preserve"> Where an institution in a non-bench city wants student training, sell the institution-paid block model instead, which absorbs travel, or defer.</w:t>
      </w:r>
    </w:p>
    <w:p>
      <w:pPr>
        <w:spacing w:before="80" w:after="160"/>
        <w:pBdr>
          <w:bottom w:val="single" w:sz="6" w:space="1" w:color="C9D6DE"/>
        </w:pBdr>
      </w:pPr>
    </w:p>
    <w:p>
      <w:pPr>
        <w:pStyle w:val="Heading1"/>
        <w:pBdr>
          <w:bottom w:val="single" w:sz="8" w:space="4" w:color="C9D6DE"/>
        </w:pBdr>
      </w:pPr>
      <w:r>
        <w:t>9. Revised twelve-month calendar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Month</w:t>
            </w:r>
          </w:p>
        </w:tc>
        <w:tc>
          <w:tcPr>
            <w:tcW w:type="dxa" w:w="2257"/>
            <w:shd w:val="clear" w:color="auto" w:fill="10375C"/>
          </w:tcPr>
          <w:p>
            <w:pPr>
              <w:spacing w:after="50" w:before="50"/>
            </w:pPr>
            <w:r>
              <w:rPr>
                <w:b/>
                <w:color w:val="FFFFFF"/>
                <w:sz w:val="17"/>
              </w:rPr>
              <w:t>Objective</w:t>
            </w:r>
          </w:p>
        </w:tc>
        <w:tc>
          <w:tcPr>
            <w:tcW w:type="dxa" w:w="6555"/>
            <w:shd w:val="clear" w:color="auto" w:fill="10375C"/>
          </w:tcPr>
          <w:p>
            <w:pPr>
              <w:spacing w:after="50" w:before="50"/>
            </w:pPr>
            <w:r>
              <w:rPr>
                <w:b/>
                <w:color w:val="FFFFFF"/>
                <w:sz w:val="17"/>
              </w:rPr>
              <w:t>Milestone</w:t>
            </w:r>
          </w:p>
        </w:tc>
      </w:tr>
      <w:tr>
        <w:tc>
          <w:tcPr>
            <w:tcW w:type="dxa" w:w="850"/>
          </w:tcPr>
          <w:p>
            <w:pPr>
              <w:spacing w:after="50" w:before="50" w:line="252" w:lineRule="auto"/>
            </w:pPr>
            <w:r>
              <w:rPr>
                <w:sz w:val="17"/>
              </w:rPr>
              <w:t>1</w:t>
            </w:r>
          </w:p>
        </w:tc>
        <w:tc>
          <w:tcPr>
            <w:tcW w:type="dxa" w:w="2257"/>
          </w:tcPr>
          <w:p>
            <w:pPr>
              <w:spacing w:after="50" w:before="50" w:line="252" w:lineRule="auto"/>
            </w:pPr>
            <w:r>
              <w:rPr>
                <w:sz w:val="17"/>
              </w:rPr>
              <w:t>Foundations</w:t>
            </w:r>
          </w:p>
        </w:tc>
        <w:tc>
          <w:tcPr>
            <w:tcW w:type="dxa" w:w="6555"/>
          </w:tcPr>
          <w:p>
            <w:pPr>
              <w:spacing w:after="50" w:before="50" w:line="252" w:lineRule="auto"/>
            </w:pPr>
            <w:r>
              <w:rPr>
                <w:sz w:val="17"/>
              </w:rPr>
              <w:t>Scenario A team in place; bench city selected; target longlist scored</w:t>
            </w:r>
          </w:p>
        </w:tc>
      </w:tr>
      <w:tr>
        <w:tc>
          <w:tcPr>
            <w:tcW w:type="dxa" w:w="850"/>
            <w:shd w:val="clear" w:color="auto" w:fill="EAF1F4"/>
          </w:tcPr>
          <w:p>
            <w:pPr>
              <w:spacing w:after="50" w:before="50" w:line="252" w:lineRule="auto"/>
            </w:pPr>
            <w:r>
              <w:rPr>
                <w:sz w:val="17"/>
              </w:rPr>
              <w:t>2</w:t>
            </w:r>
          </w:p>
        </w:tc>
        <w:tc>
          <w:tcPr>
            <w:tcW w:type="dxa" w:w="2257"/>
            <w:shd w:val="clear" w:color="auto" w:fill="EAF1F4"/>
          </w:tcPr>
          <w:p>
            <w:pPr>
              <w:spacing w:after="50" w:before="50" w:line="252" w:lineRule="auto"/>
            </w:pPr>
            <w:r>
              <w:rPr>
                <w:sz w:val="17"/>
              </w:rPr>
              <w:t>Advisory launch</w:t>
            </w:r>
          </w:p>
        </w:tc>
        <w:tc>
          <w:tcPr>
            <w:tcW w:type="dxa" w:w="6555"/>
            <w:shd w:val="clear" w:color="auto" w:fill="EAF1F4"/>
          </w:tcPr>
          <w:p>
            <w:pPr>
              <w:spacing w:after="50" w:before="50" w:line="252" w:lineRule="auto"/>
            </w:pPr>
            <w:r>
              <w:rPr>
                <w:sz w:val="17"/>
              </w:rPr>
              <w:t>Advisory collateral complete; first 10 Registrar approaches</w:t>
            </w:r>
          </w:p>
        </w:tc>
      </w:tr>
      <w:tr>
        <w:tc>
          <w:tcPr>
            <w:tcW w:type="dxa" w:w="850"/>
          </w:tcPr>
          <w:p>
            <w:pPr>
              <w:spacing w:after="50" w:before="50" w:line="252" w:lineRule="auto"/>
            </w:pPr>
            <w:r>
              <w:rPr>
                <w:sz w:val="17"/>
              </w:rPr>
              <w:t>3</w:t>
            </w:r>
          </w:p>
        </w:tc>
        <w:tc>
          <w:tcPr>
            <w:tcW w:type="dxa" w:w="2257"/>
          </w:tcPr>
          <w:p>
            <w:pPr>
              <w:spacing w:after="50" w:before="50" w:line="252" w:lineRule="auto"/>
            </w:pPr>
            <w:r>
              <w:rPr>
                <w:sz w:val="17"/>
              </w:rPr>
              <w:t>First revenue</w:t>
            </w:r>
          </w:p>
        </w:tc>
        <w:tc>
          <w:tcPr>
            <w:tcW w:type="dxa" w:w="6555"/>
          </w:tcPr>
          <w:p>
            <w:pPr>
              <w:spacing w:after="50" w:before="50" w:line="252" w:lineRule="auto"/>
            </w:pPr>
            <w:r>
              <w:rPr>
                <w:sz w:val="17"/>
              </w:rPr>
              <w:t>First FDP delivered; first advisory retainer signed</w:t>
            </w:r>
          </w:p>
        </w:tc>
      </w:tr>
      <w:tr>
        <w:tc>
          <w:tcPr>
            <w:tcW w:type="dxa" w:w="850"/>
            <w:shd w:val="clear" w:color="auto" w:fill="EAF1F4"/>
          </w:tcPr>
          <w:p>
            <w:pPr>
              <w:spacing w:after="50" w:before="50" w:line="252" w:lineRule="auto"/>
            </w:pPr>
            <w:r>
              <w:rPr>
                <w:sz w:val="17"/>
              </w:rPr>
              <w:t>4</w:t>
            </w:r>
          </w:p>
        </w:tc>
        <w:tc>
          <w:tcPr>
            <w:tcW w:type="dxa" w:w="2257"/>
            <w:shd w:val="clear" w:color="auto" w:fill="EAF1F4"/>
          </w:tcPr>
          <w:p>
            <w:pPr>
              <w:spacing w:after="50" w:before="50" w:line="252" w:lineRule="auto"/>
            </w:pPr>
            <w:r>
              <w:rPr>
                <w:sz w:val="17"/>
              </w:rPr>
              <w:t>Bench recruitment</w:t>
            </w:r>
          </w:p>
        </w:tc>
        <w:tc>
          <w:tcPr>
            <w:tcW w:type="dxa" w:w="6555"/>
            <w:shd w:val="clear" w:color="auto" w:fill="EAF1F4"/>
          </w:tcPr>
          <w:p>
            <w:pPr>
              <w:spacing w:after="50" w:before="50" w:line="252" w:lineRule="auto"/>
            </w:pPr>
            <w:r>
              <w:rPr>
                <w:sz w:val="17"/>
              </w:rPr>
              <w:t>8 trainer candidates identified; train-the-trainer scheduled</w:t>
            </w:r>
          </w:p>
        </w:tc>
      </w:tr>
      <w:tr>
        <w:tc>
          <w:tcPr>
            <w:tcW w:type="dxa" w:w="850"/>
          </w:tcPr>
          <w:p>
            <w:pPr>
              <w:spacing w:after="50" w:before="50" w:line="252" w:lineRule="auto"/>
            </w:pPr>
            <w:r>
              <w:rPr>
                <w:sz w:val="17"/>
              </w:rPr>
              <w:t>5</w:t>
            </w:r>
          </w:p>
        </w:tc>
        <w:tc>
          <w:tcPr>
            <w:tcW w:type="dxa" w:w="2257"/>
          </w:tcPr>
          <w:p>
            <w:pPr>
              <w:spacing w:after="50" w:before="50" w:line="252" w:lineRule="auto"/>
            </w:pPr>
            <w:r>
              <w:rPr>
                <w:sz w:val="17"/>
              </w:rPr>
              <w:t>Coaching season opens</w:t>
            </w:r>
          </w:p>
        </w:tc>
        <w:tc>
          <w:tcPr>
            <w:tcW w:type="dxa" w:w="6555"/>
          </w:tcPr>
          <w:p>
            <w:pPr>
              <w:spacing w:after="50" w:before="50" w:line="252" w:lineRule="auto"/>
            </w:pPr>
            <w:r>
              <w:rPr>
                <w:sz w:val="17"/>
              </w:rPr>
              <w:t>5 coaching engagements contracted for the Feb circuit</w:t>
            </w:r>
          </w:p>
        </w:tc>
      </w:tr>
      <w:tr>
        <w:tc>
          <w:tcPr>
            <w:tcW w:type="dxa" w:w="850"/>
            <w:shd w:val="clear" w:color="auto" w:fill="EAF1F4"/>
          </w:tcPr>
          <w:p>
            <w:pPr>
              <w:spacing w:after="50" w:before="50" w:line="252" w:lineRule="auto"/>
            </w:pPr>
            <w:r>
              <w:rPr>
                <w:sz w:val="17"/>
              </w:rPr>
              <w:t>6</w:t>
            </w:r>
          </w:p>
        </w:tc>
        <w:tc>
          <w:tcPr>
            <w:tcW w:type="dxa" w:w="2257"/>
            <w:shd w:val="clear" w:color="auto" w:fill="EAF1F4"/>
          </w:tcPr>
          <w:p>
            <w:pPr>
              <w:spacing w:after="50" w:before="50" w:line="252" w:lineRule="auto"/>
            </w:pPr>
            <w:r>
              <w:rPr>
                <w:sz w:val="17"/>
              </w:rPr>
              <w:t>Bench build</w:t>
            </w:r>
          </w:p>
        </w:tc>
        <w:tc>
          <w:tcPr>
            <w:tcW w:type="dxa" w:w="6555"/>
            <w:shd w:val="clear" w:color="auto" w:fill="EAF1F4"/>
          </w:tcPr>
          <w:p>
            <w:pPr>
              <w:spacing w:after="50" w:before="50" w:line="252" w:lineRule="auto"/>
            </w:pPr>
            <w:r>
              <w:rPr>
                <w:sz w:val="17"/>
              </w:rPr>
              <w:t>First train-the-trainer cohort delivered; 6 trainers certified</w:t>
            </w:r>
          </w:p>
        </w:tc>
      </w:tr>
      <w:tr>
        <w:tc>
          <w:tcPr>
            <w:tcW w:type="dxa" w:w="850"/>
          </w:tcPr>
          <w:p>
            <w:pPr>
              <w:spacing w:after="50" w:before="50" w:line="252" w:lineRule="auto"/>
            </w:pPr>
            <w:r>
              <w:rPr>
                <w:sz w:val="17"/>
              </w:rPr>
              <w:t>7</w:t>
            </w:r>
          </w:p>
        </w:tc>
        <w:tc>
          <w:tcPr>
            <w:tcW w:type="dxa" w:w="2257"/>
          </w:tcPr>
          <w:p>
            <w:pPr>
              <w:spacing w:after="50" w:before="50" w:line="252" w:lineRule="auto"/>
            </w:pPr>
            <w:r>
              <w:rPr>
                <w:sz w:val="17"/>
              </w:rPr>
              <w:t>Consolidation</w:t>
            </w:r>
          </w:p>
        </w:tc>
        <w:tc>
          <w:tcPr>
            <w:tcW w:type="dxa" w:w="6555"/>
          </w:tcPr>
          <w:p>
            <w:pPr>
              <w:spacing w:after="50" w:before="50" w:line="252" w:lineRule="auto"/>
            </w:pPr>
            <w:r>
              <w:rPr>
                <w:sz w:val="17"/>
              </w:rPr>
              <w:t>3 advisory retainers live; 3 FDPs delivered; membership tier designed</w:t>
            </w:r>
          </w:p>
        </w:tc>
      </w:tr>
      <w:tr>
        <w:tc>
          <w:tcPr>
            <w:tcW w:type="dxa" w:w="850"/>
            <w:shd w:val="clear" w:color="auto" w:fill="EAF1F4"/>
          </w:tcPr>
          <w:p>
            <w:pPr>
              <w:spacing w:after="50" w:before="50" w:line="252" w:lineRule="auto"/>
            </w:pPr>
            <w:r>
              <w:rPr>
                <w:sz w:val="17"/>
              </w:rPr>
              <w:t>8</w:t>
            </w:r>
          </w:p>
        </w:tc>
        <w:tc>
          <w:tcPr>
            <w:tcW w:type="dxa" w:w="2257"/>
            <w:shd w:val="clear" w:color="auto" w:fill="EAF1F4"/>
          </w:tcPr>
          <w:p>
            <w:pPr>
              <w:spacing w:after="50" w:before="50" w:line="252" w:lineRule="auto"/>
            </w:pPr>
            <w:r>
              <w:rPr>
                <w:sz w:val="17"/>
              </w:rPr>
              <w:t>Circuit preparation</w:t>
            </w:r>
          </w:p>
        </w:tc>
        <w:tc>
          <w:tcPr>
            <w:tcW w:type="dxa" w:w="6555"/>
            <w:shd w:val="clear" w:color="auto" w:fill="EAF1F4"/>
          </w:tcPr>
          <w:p>
            <w:pPr>
              <w:spacing w:after="50" w:before="50" w:line="252" w:lineRule="auto"/>
            </w:pPr>
            <w:r>
              <w:rPr>
                <w:sz w:val="17"/>
              </w:rPr>
              <w:t>Competition sponsorships contracted; judges recruited</w:t>
            </w:r>
          </w:p>
        </w:tc>
      </w:tr>
      <w:tr>
        <w:tc>
          <w:tcPr>
            <w:tcW w:type="dxa" w:w="850"/>
          </w:tcPr>
          <w:p>
            <w:pPr>
              <w:spacing w:after="50" w:before="50" w:line="252" w:lineRule="auto"/>
            </w:pPr>
            <w:r>
              <w:rPr>
                <w:sz w:val="17"/>
              </w:rPr>
              <w:t>9</w:t>
            </w:r>
          </w:p>
        </w:tc>
        <w:tc>
          <w:tcPr>
            <w:tcW w:type="dxa" w:w="2257"/>
          </w:tcPr>
          <w:p>
            <w:pPr>
              <w:spacing w:after="50" w:before="50" w:line="252" w:lineRule="auto"/>
            </w:pPr>
            <w:r>
              <w:rPr>
                <w:sz w:val="17"/>
              </w:rPr>
              <w:t>Evidence</w:t>
            </w:r>
          </w:p>
        </w:tc>
        <w:tc>
          <w:tcPr>
            <w:tcW w:type="dxa" w:w="6555"/>
          </w:tcPr>
          <w:p>
            <w:pPr>
              <w:spacing w:after="50" w:before="50" w:line="252" w:lineRule="auto"/>
            </w:pPr>
            <w:r>
              <w:rPr>
                <w:sz w:val="17"/>
              </w:rPr>
              <w:t>First case study published; first partner satisfaction survey</w:t>
            </w:r>
          </w:p>
        </w:tc>
      </w:tr>
      <w:tr>
        <w:tc>
          <w:tcPr>
            <w:tcW w:type="dxa" w:w="850"/>
            <w:shd w:val="clear" w:color="auto" w:fill="EAF1F4"/>
          </w:tcPr>
          <w:p>
            <w:pPr>
              <w:spacing w:after="50" w:before="50" w:line="252" w:lineRule="auto"/>
            </w:pPr>
            <w:r>
              <w:rPr>
                <w:sz w:val="17"/>
              </w:rPr>
              <w:t>10</w:t>
            </w:r>
          </w:p>
        </w:tc>
        <w:tc>
          <w:tcPr>
            <w:tcW w:type="dxa" w:w="2257"/>
            <w:shd w:val="clear" w:color="auto" w:fill="EAF1F4"/>
          </w:tcPr>
          <w:p>
            <w:pPr>
              <w:spacing w:after="50" w:before="50" w:line="252" w:lineRule="auto"/>
            </w:pPr>
            <w:r>
              <w:rPr>
                <w:sz w:val="17"/>
              </w:rPr>
              <w:t>Mediation Week</w:t>
            </w:r>
          </w:p>
        </w:tc>
        <w:tc>
          <w:tcPr>
            <w:tcW w:type="dxa" w:w="6555"/>
            <w:shd w:val="clear" w:color="auto" w:fill="EAF1F4"/>
          </w:tcPr>
          <w:p>
            <w:pPr>
              <w:spacing w:after="50" w:before="50" w:line="252" w:lineRule="auto"/>
            </w:pPr>
            <w:r>
              <w:rPr>
                <w:sz w:val="17"/>
              </w:rPr>
              <w:t>Mediation Week run at two partner campuses; first workshops at scale</w:t>
            </w:r>
          </w:p>
        </w:tc>
      </w:tr>
      <w:tr>
        <w:tc>
          <w:tcPr>
            <w:tcW w:type="dxa" w:w="850"/>
          </w:tcPr>
          <w:p>
            <w:pPr>
              <w:spacing w:after="50" w:before="50" w:line="252" w:lineRule="auto"/>
            </w:pPr>
            <w:r>
              <w:rPr>
                <w:sz w:val="17"/>
              </w:rPr>
              <w:t>11</w:t>
            </w:r>
          </w:p>
        </w:tc>
        <w:tc>
          <w:tcPr>
            <w:tcW w:type="dxa" w:w="2257"/>
          </w:tcPr>
          <w:p>
            <w:pPr>
              <w:spacing w:after="50" w:before="50" w:line="252" w:lineRule="auto"/>
            </w:pPr>
            <w:r>
              <w:rPr>
                <w:sz w:val="17"/>
              </w:rPr>
              <w:t>Circuit</w:t>
            </w:r>
          </w:p>
        </w:tc>
        <w:tc>
          <w:tcPr>
            <w:tcW w:type="dxa" w:w="6555"/>
          </w:tcPr>
          <w:p>
            <w:pPr>
              <w:spacing w:after="50" w:before="50" w:line="252" w:lineRule="auto"/>
            </w:pPr>
            <w:r>
              <w:rPr>
                <w:sz w:val="17"/>
              </w:rPr>
              <w:t>Judging and sponsorship at the national circuit begins</w:t>
            </w:r>
          </w:p>
        </w:tc>
      </w:tr>
      <w:tr>
        <w:tc>
          <w:tcPr>
            <w:tcW w:type="dxa" w:w="850"/>
            <w:shd w:val="clear" w:color="auto" w:fill="EAF1F4"/>
          </w:tcPr>
          <w:p>
            <w:pPr>
              <w:spacing w:after="50" w:before="50" w:line="252" w:lineRule="auto"/>
            </w:pPr>
            <w:r>
              <w:rPr>
                <w:sz w:val="17"/>
              </w:rPr>
              <w:t>12</w:t>
            </w:r>
          </w:p>
        </w:tc>
        <w:tc>
          <w:tcPr>
            <w:tcW w:type="dxa" w:w="2257"/>
            <w:shd w:val="clear" w:color="auto" w:fill="EAF1F4"/>
          </w:tcPr>
          <w:p>
            <w:pPr>
              <w:spacing w:after="50" w:before="50" w:line="252" w:lineRule="auto"/>
            </w:pPr>
            <w:r>
              <w:rPr>
                <w:sz w:val="17"/>
              </w:rPr>
              <w:t>Review and gate</w:t>
            </w:r>
          </w:p>
        </w:tc>
        <w:tc>
          <w:tcPr>
            <w:tcW w:type="dxa" w:w="6555"/>
            <w:shd w:val="clear" w:color="auto" w:fill="EAF1F4"/>
          </w:tcPr>
          <w:p>
            <w:pPr>
              <w:spacing w:after="50" w:before="50" w:line="252" w:lineRule="auto"/>
            </w:pPr>
            <w:r>
              <w:rPr>
                <w:sz w:val="17"/>
              </w:rPr>
              <w:t>Board review; Scenario B hiring gate tested; year 2 plan approved</w:t>
            </w:r>
          </w:p>
        </w:tc>
      </w:tr>
    </w:tbl>
    <w:p>
      <w:pPr>
        <w:spacing w:after="80" w:before="0"/>
      </w:pPr>
    </w:p>
    <w:p>
      <w:pPr>
        <w:spacing w:before="80" w:after="160"/>
        <w:pBdr>
          <w:bottom w:val="single" w:sz="6" w:space="1" w:color="C9D6DE"/>
        </w:pBdr>
      </w:pPr>
    </w:p>
    <w:p>
      <w:pPr>
        <w:pStyle w:val="Heading1"/>
        <w:pBdr>
          <w:bottom w:val="single" w:sz="8" w:space="4" w:color="C9D6DE"/>
        </w:pBdr>
      </w:pPr>
      <w:r>
        <w:t>10. What must be true for this plan to work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4010"/>
            <w:shd w:val="clear" w:color="auto" w:fill="10375C"/>
          </w:tcPr>
          <w:p>
            <w:pPr>
              <w:spacing w:after="50" w:before="50"/>
            </w:pPr>
            <w:r>
              <w:rPr>
                <w:b/>
                <w:color w:val="FFFFFF"/>
                <w:sz w:val="17"/>
              </w:rPr>
              <w:t>Condition</w:t>
            </w:r>
          </w:p>
        </w:tc>
        <w:tc>
          <w:tcPr>
            <w:tcW w:type="dxa" w:w="1048"/>
            <w:shd w:val="clear" w:color="auto" w:fill="10375C"/>
          </w:tcPr>
          <w:p>
            <w:pPr>
              <w:spacing w:after="50" w:before="50"/>
            </w:pPr>
            <w:r>
              <w:rPr>
                <w:b/>
                <w:color w:val="FFFFFF"/>
                <w:sz w:val="17"/>
              </w:rPr>
              <w:t>Owner</w:t>
            </w:r>
          </w:p>
        </w:tc>
        <w:tc>
          <w:tcPr>
            <w:tcW w:type="dxa" w:w="4010"/>
            <w:shd w:val="clear" w:color="auto" w:fill="10375C"/>
          </w:tcPr>
          <w:p>
            <w:pPr>
              <w:spacing w:after="50" w:before="50"/>
            </w:pPr>
            <w:r>
              <w:rPr>
                <w:b/>
                <w:color w:val="FFFFFF"/>
                <w:sz w:val="17"/>
              </w:rPr>
              <w:t>If it fails</w:t>
            </w:r>
          </w:p>
        </w:tc>
      </w:tr>
      <w:tr>
        <w:tc>
          <w:tcPr>
            <w:tcW w:type="dxa" w:w="850"/>
          </w:tcPr>
          <w:p>
            <w:pPr>
              <w:spacing w:after="50" w:before="50" w:line="252" w:lineRule="auto"/>
            </w:pPr>
            <w:r>
              <w:rPr>
                <w:sz w:val="17"/>
              </w:rPr>
              <w:t>1</w:t>
            </w:r>
          </w:p>
        </w:tc>
        <w:tc>
          <w:tcPr>
            <w:tcW w:type="dxa" w:w="4010"/>
          </w:tcPr>
          <w:p>
            <w:pPr>
              <w:spacing w:after="50" w:before="50" w:line="252" w:lineRule="auto"/>
            </w:pPr>
            <w:r>
              <w:rPr>
                <w:sz w:val="17"/>
              </w:rPr>
              <w:t>Six trainers certified in the bench city by month 6</w:t>
            </w:r>
          </w:p>
        </w:tc>
        <w:tc>
          <w:tcPr>
            <w:tcW w:type="dxa" w:w="1048"/>
          </w:tcPr>
          <w:p>
            <w:pPr>
              <w:spacing w:after="50" w:before="50" w:line="252" w:lineRule="auto"/>
            </w:pPr>
            <w:r>
              <w:rPr>
                <w:sz w:val="17"/>
              </w:rPr>
              <w:t>Head of Curriculum</w:t>
            </w:r>
          </w:p>
        </w:tc>
        <w:tc>
          <w:tcPr>
            <w:tcW w:type="dxa" w:w="4010"/>
          </w:tcPr>
          <w:p>
            <w:pPr>
              <w:spacing w:after="50" w:before="50" w:line="252" w:lineRule="auto"/>
            </w:pPr>
            <w:r>
              <w:rPr>
                <w:sz w:val="17"/>
              </w:rPr>
              <w:t>Student courses slip to year 3; year 2 revenue falls ~₹21 lakh</w:t>
            </w:r>
          </w:p>
        </w:tc>
      </w:tr>
      <w:tr>
        <w:tc>
          <w:tcPr>
            <w:tcW w:type="dxa" w:w="850"/>
            <w:shd w:val="clear" w:color="auto" w:fill="EAF1F4"/>
          </w:tcPr>
          <w:p>
            <w:pPr>
              <w:spacing w:after="50" w:before="50" w:line="252" w:lineRule="auto"/>
            </w:pPr>
            <w:r>
              <w:rPr>
                <w:sz w:val="17"/>
              </w:rPr>
              <w:t>2</w:t>
            </w:r>
          </w:p>
        </w:tc>
        <w:tc>
          <w:tcPr>
            <w:tcW w:type="dxa" w:w="4010"/>
            <w:shd w:val="clear" w:color="auto" w:fill="EAF1F4"/>
          </w:tcPr>
          <w:p>
            <w:pPr>
              <w:spacing w:after="50" w:before="50" w:line="252" w:lineRule="auto"/>
            </w:pPr>
            <w:r>
              <w:rPr>
                <w:sz w:val="17"/>
              </w:rPr>
              <w:t>Six advisory retainers signed by month 12</w:t>
            </w:r>
          </w:p>
        </w:tc>
        <w:tc>
          <w:tcPr>
            <w:tcW w:type="dxa" w:w="1048"/>
            <w:shd w:val="clear" w:color="auto" w:fill="EAF1F4"/>
          </w:tcPr>
          <w:p>
            <w:pPr>
              <w:spacing w:after="50" w:before="50" w:line="252" w:lineRule="auto"/>
            </w:pPr>
            <w:r>
              <w:rPr>
                <w:sz w:val="17"/>
              </w:rPr>
              <w:t>Director</w:t>
            </w:r>
          </w:p>
        </w:tc>
        <w:tc>
          <w:tcPr>
            <w:tcW w:type="dxa" w:w="4010"/>
            <w:shd w:val="clear" w:color="auto" w:fill="EAF1F4"/>
          </w:tcPr>
          <w:p>
            <w:pPr>
              <w:spacing w:after="50" w:before="50" w:line="252" w:lineRule="auto"/>
            </w:pPr>
            <w:r>
              <w:rPr>
                <w:sz w:val="17"/>
              </w:rPr>
              <w:t>The most reliable revenue line is unproven; reconsider the whole advisory thesis</w:t>
            </w:r>
          </w:p>
        </w:tc>
      </w:tr>
      <w:tr>
        <w:tc>
          <w:tcPr>
            <w:tcW w:type="dxa" w:w="850"/>
          </w:tcPr>
          <w:p>
            <w:pPr>
              <w:spacing w:after="50" w:before="50" w:line="252" w:lineRule="auto"/>
            </w:pPr>
            <w:r>
              <w:rPr>
                <w:sz w:val="17"/>
              </w:rPr>
              <w:t>3</w:t>
            </w:r>
          </w:p>
        </w:tc>
        <w:tc>
          <w:tcPr>
            <w:tcW w:type="dxa" w:w="4010"/>
          </w:tcPr>
          <w:p>
            <w:pPr>
              <w:spacing w:after="50" w:before="50" w:line="252" w:lineRule="auto"/>
            </w:pPr>
            <w:r>
              <w:rPr>
                <w:sz w:val="17"/>
              </w:rPr>
              <w:t>Eight coaching engagements contracted by month 5</w:t>
            </w:r>
          </w:p>
        </w:tc>
        <w:tc>
          <w:tcPr>
            <w:tcW w:type="dxa" w:w="1048"/>
          </w:tcPr>
          <w:p>
            <w:pPr>
              <w:spacing w:after="50" w:before="50" w:line="252" w:lineRule="auto"/>
            </w:pPr>
            <w:r>
              <w:rPr>
                <w:sz w:val="17"/>
              </w:rPr>
              <w:t>BD</w:t>
            </w:r>
          </w:p>
        </w:tc>
        <w:tc>
          <w:tcPr>
            <w:tcW w:type="dxa" w:w="4010"/>
          </w:tcPr>
          <w:p>
            <w:pPr>
              <w:spacing w:after="50" w:before="50" w:line="252" w:lineRule="auto"/>
            </w:pPr>
            <w:r>
              <w:rPr>
                <w:sz w:val="17"/>
              </w:rPr>
              <w:t>Margin mix falls; year 1 loss widens to ~₹24 lakh</w:t>
            </w:r>
          </w:p>
        </w:tc>
      </w:tr>
      <w:tr>
        <w:tc>
          <w:tcPr>
            <w:tcW w:type="dxa" w:w="850"/>
            <w:shd w:val="clear" w:color="auto" w:fill="EAF1F4"/>
          </w:tcPr>
          <w:p>
            <w:pPr>
              <w:spacing w:after="50" w:before="50" w:line="252" w:lineRule="auto"/>
            </w:pPr>
            <w:r>
              <w:rPr>
                <w:sz w:val="17"/>
              </w:rPr>
              <w:t>4</w:t>
            </w:r>
          </w:p>
        </w:tc>
        <w:tc>
          <w:tcPr>
            <w:tcW w:type="dxa" w:w="4010"/>
            <w:shd w:val="clear" w:color="auto" w:fill="EAF1F4"/>
          </w:tcPr>
          <w:p>
            <w:pPr>
              <w:spacing w:after="50" w:before="50" w:line="252" w:lineRule="auto"/>
            </w:pPr>
            <w:r>
              <w:rPr>
                <w:sz w:val="17"/>
              </w:rPr>
              <w:t>Simulation packs and workbook complete by month 2</w:t>
            </w:r>
          </w:p>
        </w:tc>
        <w:tc>
          <w:tcPr>
            <w:tcW w:type="dxa" w:w="1048"/>
            <w:shd w:val="clear" w:color="auto" w:fill="EAF1F4"/>
          </w:tcPr>
          <w:p>
            <w:pPr>
              <w:spacing w:after="50" w:before="50" w:line="252" w:lineRule="auto"/>
            </w:pPr>
            <w:r>
              <w:rPr>
                <w:sz w:val="17"/>
              </w:rPr>
              <w:t>Head of Curriculum</w:t>
            </w:r>
          </w:p>
        </w:tc>
        <w:tc>
          <w:tcPr>
            <w:tcW w:type="dxa" w:w="4010"/>
            <w:shd w:val="clear" w:color="auto" w:fill="EAF1F4"/>
          </w:tcPr>
          <w:p>
            <w:pPr>
              <w:spacing w:after="50" w:before="50" w:line="252" w:lineRule="auto"/>
            </w:pPr>
            <w:r>
              <w:rPr>
                <w:b/>
                <w:sz w:val="17"/>
              </w:rPr>
              <w:t>Nothing is deliverable.</w:t>
            </w:r>
            <w:r>
              <w:rPr>
                <w:sz w:val="17"/>
              </w:rPr>
              <w:t xml:space="preserve"> This is the hard prerequisite</w:t>
            </w:r>
          </w:p>
        </w:tc>
      </w:tr>
      <w:tr>
        <w:tc>
          <w:tcPr>
            <w:tcW w:type="dxa" w:w="850"/>
          </w:tcPr>
          <w:p>
            <w:pPr>
              <w:spacing w:after="50" w:before="50" w:line="252" w:lineRule="auto"/>
            </w:pPr>
            <w:r>
              <w:rPr>
                <w:sz w:val="17"/>
              </w:rPr>
              <w:t>5</w:t>
            </w:r>
          </w:p>
        </w:tc>
        <w:tc>
          <w:tcPr>
            <w:tcW w:type="dxa" w:w="4010"/>
          </w:tcPr>
          <w:p>
            <w:pPr>
              <w:spacing w:after="50" w:before="50" w:line="252" w:lineRule="auto"/>
            </w:pPr>
            <w:r>
              <w:rPr>
                <w:sz w:val="17"/>
              </w:rPr>
              <w:t>Pitch deck and advisory collateral complete by month 2</w:t>
            </w:r>
          </w:p>
        </w:tc>
        <w:tc>
          <w:tcPr>
            <w:tcW w:type="dxa" w:w="1048"/>
          </w:tcPr>
          <w:p>
            <w:pPr>
              <w:spacing w:after="50" w:before="50" w:line="252" w:lineRule="auto"/>
            </w:pPr>
            <w:r>
              <w:rPr>
                <w:sz w:val="17"/>
              </w:rPr>
              <w:t>Marketing</w:t>
            </w:r>
          </w:p>
        </w:tc>
        <w:tc>
          <w:tcPr>
            <w:tcW w:type="dxa" w:w="4010"/>
          </w:tcPr>
          <w:p>
            <w:pPr>
              <w:spacing w:after="50" w:before="50" w:line="252" w:lineRule="auto"/>
            </w:pPr>
            <w:r>
              <w:rPr>
                <w:sz w:val="17"/>
              </w:rPr>
              <w:t>BD cannot start</w:t>
            </w:r>
          </w:p>
        </w:tc>
      </w:tr>
      <w:tr>
        <w:tc>
          <w:tcPr>
            <w:tcW w:type="dxa" w:w="850"/>
            <w:shd w:val="clear" w:color="auto" w:fill="EAF1F4"/>
          </w:tcPr>
          <w:p>
            <w:pPr>
              <w:spacing w:after="50" w:before="50" w:line="252" w:lineRule="auto"/>
            </w:pPr>
            <w:r>
              <w:rPr>
                <w:sz w:val="17"/>
              </w:rPr>
              <w:t>6</w:t>
            </w:r>
          </w:p>
        </w:tc>
        <w:tc>
          <w:tcPr>
            <w:tcW w:type="dxa" w:w="4010"/>
            <w:shd w:val="clear" w:color="auto" w:fill="EAF1F4"/>
          </w:tcPr>
          <w:p>
            <w:pPr>
              <w:spacing w:after="50" w:before="50" w:line="252" w:lineRule="auto"/>
            </w:pPr>
            <w:r>
              <w:rPr>
                <w:sz w:val="17"/>
              </w:rPr>
              <w:t>Competition sponsorships secured for year 2 by month 12</w:t>
            </w:r>
          </w:p>
        </w:tc>
        <w:tc>
          <w:tcPr>
            <w:tcW w:type="dxa" w:w="1048"/>
            <w:shd w:val="clear" w:color="auto" w:fill="EAF1F4"/>
          </w:tcPr>
          <w:p>
            <w:pPr>
              <w:spacing w:after="50" w:before="50" w:line="252" w:lineRule="auto"/>
            </w:pPr>
            <w:r>
              <w:rPr>
                <w:sz w:val="17"/>
              </w:rPr>
              <w:t>Director</w:t>
            </w:r>
          </w:p>
        </w:tc>
        <w:tc>
          <w:tcPr>
            <w:tcW w:type="dxa" w:w="4010"/>
            <w:shd w:val="clear" w:color="auto" w:fill="EAF1F4"/>
          </w:tcPr>
          <w:p>
            <w:pPr>
              <w:spacing w:after="50" w:before="50" w:line="252" w:lineRule="auto"/>
            </w:pPr>
            <w:r>
              <w:rPr>
                <w:sz w:val="17"/>
              </w:rPr>
              <w:t>Own competition slips to year 3</w:t>
            </w:r>
          </w:p>
        </w:tc>
      </w:tr>
      <w:tr>
        <w:tc>
          <w:tcPr>
            <w:tcW w:type="dxa" w:w="850"/>
          </w:tcPr>
          <w:p>
            <w:pPr>
              <w:spacing w:after="50" w:before="50" w:line="252" w:lineRule="auto"/>
            </w:pPr>
            <w:r>
              <w:rPr>
                <w:sz w:val="17"/>
              </w:rPr>
              <w:t>7</w:t>
            </w:r>
          </w:p>
        </w:tc>
        <w:tc>
          <w:tcPr>
            <w:tcW w:type="dxa" w:w="4010"/>
          </w:tcPr>
          <w:p>
            <w:pPr>
              <w:spacing w:after="50" w:before="50" w:line="252" w:lineRule="auto"/>
            </w:pPr>
            <w:r>
              <w:rPr>
                <w:sz w:val="17"/>
              </w:rPr>
              <w:t>Membership tier designed and priced by month 7</w:t>
            </w:r>
          </w:p>
        </w:tc>
        <w:tc>
          <w:tcPr>
            <w:tcW w:type="dxa" w:w="1048"/>
          </w:tcPr>
          <w:p>
            <w:pPr>
              <w:spacing w:after="50" w:before="50" w:line="252" w:lineRule="auto"/>
            </w:pPr>
            <w:r>
              <w:rPr>
                <w:sz w:val="17"/>
              </w:rPr>
              <w:t>Finance</w:t>
            </w:r>
          </w:p>
        </w:tc>
        <w:tc>
          <w:tcPr>
            <w:tcW w:type="dxa" w:w="4010"/>
          </w:tcPr>
          <w:p>
            <w:pPr>
              <w:spacing w:after="50" w:before="50" w:line="252" w:lineRule="auto"/>
            </w:pPr>
            <w:r>
              <w:rPr>
                <w:sz w:val="17"/>
              </w:rPr>
              <w:t>Year 2 profit turns negative — this line is ₹18 lakh of it</w:t>
            </w:r>
          </w:p>
        </w:tc>
      </w:tr>
    </w:tbl>
    <w:p>
      <w:pPr>
        <w:spacing w:after="80" w:before="0"/>
      </w:pPr>
    </w:p>
    <w:p>
      <w:r>
        <w:rPr>
          <w:b/>
        </w:rPr>
        <w:t>Condition 4 is the one to act on this week.</w:t>
      </w:r>
      <w:r>
        <w:t xml:space="preserve"> Every other condition assumes a curriculum that is currently designed but not manufactured.</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Revised Go-to-Market Sequencing &amp; Lean Year 1 Plan</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DE88079-B200-4C38-8BC4-2C544DD662F7}"/>
</file>

<file path=customXml/itemProps3.xml><?xml version="1.0" encoding="utf-8"?>
<ds:datastoreItem xmlns:ds="http://schemas.openxmlformats.org/officeDocument/2006/customXml" ds:itemID="{11AA011C-DB81-4BC0-B1E1-3A68AA390817}"/>
</file>

<file path=customXml/itemProps4.xml><?xml version="1.0" encoding="utf-8"?>
<ds:datastoreItem xmlns:ds="http://schemas.openxmlformats.org/officeDocument/2006/customXml" ds:itemID="{5F2A7156-345E-4794-A9F0-B6DEBCEF80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