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Competitive Landscape &amp; Battlecards</w:t>
      </w:r>
    </w:p>
    <w:p>
      <w:pPr>
        <w:spacing w:after="280" w:line="276" w:lineRule="auto"/>
      </w:pPr>
      <w:r>
        <w:rPr>
          <w:rFonts w:ascii="Calibri" w:hAnsi="Calibri"/>
          <w:i/>
          <w:color w:val="3E6B8A"/>
          <w:sz w:val="25"/>
        </w:rPr>
        <w:t>Who else is doing this in India, which institutions are already taken, and how Equator wins against each competitor type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 Not for external release.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finding that matters most</w:t>
      </w:r>
    </w:p>
    <w:p>
      <w:r>
        <w:rPr>
          <w:b/>
        </w:rPr>
        <w:t>The leading law schools are largely already partnered.</w:t>
      </w:r>
      <w:r>
        <w:t xml:space="preserve"> Mapping known arrangements as at July 2026:</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498"/>
            <w:shd w:val="clear" w:color="auto" w:fill="10375C"/>
          </w:tcPr>
          <w:p>
            <w:pPr>
              <w:spacing w:after="50" w:before="50"/>
            </w:pPr>
            <w:r>
              <w:rPr>
                <w:b/>
                <w:color w:val="FFFFFF"/>
                <w:sz w:val="17"/>
              </w:rPr>
              <w:t>Institution</w:t>
            </w:r>
          </w:p>
        </w:tc>
        <w:tc>
          <w:tcPr>
            <w:tcW w:type="dxa" w:w="3485"/>
            <w:shd w:val="clear" w:color="auto" w:fill="10375C"/>
          </w:tcPr>
          <w:p>
            <w:pPr>
              <w:spacing w:after="50" w:before="50"/>
            </w:pPr>
            <w:r>
              <w:rPr>
                <w:b/>
                <w:color w:val="FFFFFF"/>
                <w:sz w:val="17"/>
              </w:rPr>
              <w:t>Partnered with</w:t>
            </w:r>
          </w:p>
        </w:tc>
        <w:tc>
          <w:tcPr>
            <w:tcW w:type="dxa" w:w="3485"/>
            <w:shd w:val="clear" w:color="auto" w:fill="10375C"/>
          </w:tcPr>
          <w:p>
            <w:pPr>
              <w:spacing w:after="50" w:before="50"/>
            </w:pPr>
            <w:r>
              <w:rPr>
                <w:b/>
                <w:color w:val="FFFFFF"/>
                <w:sz w:val="17"/>
              </w:rPr>
              <w:t>Nature</w:t>
            </w:r>
          </w:p>
        </w:tc>
      </w:tr>
      <w:tr>
        <w:tc>
          <w:tcPr>
            <w:tcW w:type="dxa" w:w="2498"/>
          </w:tcPr>
          <w:p>
            <w:pPr>
              <w:spacing w:after="50" w:before="50" w:line="252" w:lineRule="auto"/>
            </w:pPr>
            <w:r>
              <w:rPr>
                <w:sz w:val="17"/>
              </w:rPr>
              <w:t>NALSAR University of Law, Hyderabad</w:t>
            </w:r>
          </w:p>
        </w:tc>
        <w:tc>
          <w:tcPr>
            <w:tcW w:type="dxa" w:w="3485"/>
          </w:tcPr>
          <w:p>
            <w:pPr>
              <w:spacing w:after="50" w:before="50" w:line="252" w:lineRule="auto"/>
            </w:pPr>
            <w:r>
              <w:rPr>
                <w:b/>
                <w:sz w:val="17"/>
              </w:rPr>
              <w:t>International Arbitration and Mediation Centre (IAMC), Hyderabad</w:t>
            </w:r>
          </w:p>
        </w:tc>
        <w:tc>
          <w:tcPr>
            <w:tcW w:type="dxa" w:w="3485"/>
          </w:tcPr>
          <w:p>
            <w:pPr>
              <w:spacing w:after="50" w:before="50" w:line="252" w:lineRule="auto"/>
            </w:pPr>
            <w:r>
              <w:rPr>
                <w:sz w:val="17"/>
              </w:rPr>
              <w:t>MoU to promote ADR culture and build capacity</w:t>
            </w:r>
          </w:p>
        </w:tc>
      </w:tr>
      <w:tr>
        <w:tc>
          <w:tcPr>
            <w:tcW w:type="dxa" w:w="2498"/>
            <w:shd w:val="clear" w:color="auto" w:fill="EAF1F4"/>
          </w:tcPr>
          <w:p>
            <w:pPr>
              <w:spacing w:after="50" w:before="50" w:line="252" w:lineRule="auto"/>
            </w:pPr>
            <w:r>
              <w:rPr>
                <w:sz w:val="17"/>
              </w:rPr>
              <w:t>Jindal Global Law School</w:t>
            </w:r>
          </w:p>
        </w:tc>
        <w:tc>
          <w:tcPr>
            <w:tcW w:type="dxa" w:w="3485"/>
            <w:shd w:val="clear" w:color="auto" w:fill="EAF1F4"/>
          </w:tcPr>
          <w:p>
            <w:pPr>
              <w:spacing w:after="50" w:before="50" w:line="252" w:lineRule="auto"/>
            </w:pPr>
            <w:r>
              <w:rPr>
                <w:b/>
                <w:sz w:val="17"/>
              </w:rPr>
              <w:t>ADR ODR International</w:t>
            </w:r>
          </w:p>
        </w:tc>
        <w:tc>
          <w:tcPr>
            <w:tcW w:type="dxa" w:w="3485"/>
            <w:shd w:val="clear" w:color="auto" w:fill="EAF1F4"/>
          </w:tcPr>
          <w:p>
            <w:pPr>
              <w:spacing w:after="50" w:before="50" w:line="252" w:lineRule="auto"/>
            </w:pPr>
            <w:r>
              <w:rPr>
                <w:sz w:val="17"/>
              </w:rPr>
              <w:t>MoU covering mediation, arbitration and ODR — training, academic initiatives, international engagement</w:t>
            </w:r>
          </w:p>
        </w:tc>
      </w:tr>
      <w:tr>
        <w:tc>
          <w:tcPr>
            <w:tcW w:type="dxa" w:w="2498"/>
          </w:tcPr>
          <w:p>
            <w:pPr>
              <w:spacing w:after="50" w:before="50" w:line="252" w:lineRule="auto"/>
            </w:pPr>
            <w:r>
              <w:rPr>
                <w:sz w:val="17"/>
              </w:rPr>
              <w:t>National Law School of India University, Bengaluru</w:t>
            </w:r>
          </w:p>
        </w:tc>
        <w:tc>
          <w:tcPr>
            <w:tcW w:type="dxa" w:w="3485"/>
          </w:tcPr>
          <w:p>
            <w:pPr>
              <w:spacing w:after="50" w:before="50" w:line="252" w:lineRule="auto"/>
            </w:pPr>
            <w:r>
              <w:rPr>
                <w:b/>
                <w:sz w:val="17"/>
              </w:rPr>
              <w:t>UC Law San Francisco</w:t>
            </w:r>
          </w:p>
        </w:tc>
        <w:tc>
          <w:tcPr>
            <w:tcW w:type="dxa" w:w="3485"/>
          </w:tcPr>
          <w:p>
            <w:pPr>
              <w:spacing w:after="50" w:before="50" w:line="252" w:lineRule="auto"/>
            </w:pPr>
            <w:r>
              <w:rPr>
                <w:sz w:val="17"/>
              </w:rPr>
              <w:t>Multi-year effort to improve ADR education; Practice Development Workshop for ADR professors across the subcontinent, 2026</w:t>
            </w:r>
          </w:p>
        </w:tc>
      </w:tr>
      <w:tr>
        <w:tc>
          <w:tcPr>
            <w:tcW w:type="dxa" w:w="2498"/>
            <w:shd w:val="clear" w:color="auto" w:fill="EAF1F4"/>
          </w:tcPr>
          <w:p>
            <w:pPr>
              <w:spacing w:after="50" w:before="50" w:line="252" w:lineRule="auto"/>
            </w:pPr>
            <w:r>
              <w:rPr>
                <w:sz w:val="17"/>
              </w:rPr>
              <w:t>Hidayatullah National Law University</w:t>
            </w:r>
          </w:p>
        </w:tc>
        <w:tc>
          <w:tcPr>
            <w:tcW w:type="dxa" w:w="3485"/>
            <w:shd w:val="clear" w:color="auto" w:fill="EAF1F4"/>
          </w:tcPr>
          <w:p>
            <w:pPr>
              <w:spacing w:after="50" w:before="50" w:line="252" w:lineRule="auto"/>
            </w:pPr>
            <w:r>
              <w:rPr>
                <w:b/>
                <w:sz w:val="17"/>
              </w:rPr>
              <w:t>Mahindra University School of Law</w:t>
            </w:r>
          </w:p>
        </w:tc>
        <w:tc>
          <w:tcPr>
            <w:tcW w:type="dxa" w:w="3485"/>
            <w:shd w:val="clear" w:color="auto" w:fill="EAF1F4"/>
          </w:tcPr>
          <w:p>
            <w:pPr>
              <w:spacing w:after="50" w:before="50" w:line="252" w:lineRule="auto"/>
            </w:pPr>
            <w:r>
              <w:rPr>
                <w:sz w:val="17"/>
              </w:rPr>
              <w:t>Strategic MoU on legal education and arbitration practice</w:t>
            </w:r>
          </w:p>
        </w:tc>
      </w:tr>
      <w:tr>
        <w:tc>
          <w:tcPr>
            <w:tcW w:type="dxa" w:w="2498"/>
          </w:tcPr>
          <w:p>
            <w:pPr>
              <w:spacing w:after="50" w:before="50" w:line="252" w:lineRule="auto"/>
            </w:pPr>
            <w:r>
              <w:rPr>
                <w:sz w:val="17"/>
              </w:rPr>
              <w:t>Alliance University, Bengaluru</w:t>
            </w:r>
          </w:p>
        </w:tc>
        <w:tc>
          <w:tcPr>
            <w:tcW w:type="dxa" w:w="3485"/>
          </w:tcPr>
          <w:p>
            <w:pPr>
              <w:spacing w:after="50" w:before="50" w:line="252" w:lineRule="auto"/>
            </w:pPr>
            <w:r>
              <w:rPr>
                <w:b/>
                <w:sz w:val="17"/>
              </w:rPr>
              <w:t>Arbitration and Conciliation Centre, Bengaluru</w:t>
            </w:r>
            <w:r>
              <w:rPr>
                <w:sz w:val="17"/>
              </w:rPr>
              <w:t xml:space="preserve"> (High Court of Karnataka initiative)</w:t>
            </w:r>
          </w:p>
        </w:tc>
        <w:tc>
          <w:tcPr>
            <w:tcW w:type="dxa" w:w="3485"/>
          </w:tcPr>
          <w:p>
            <w:pPr>
              <w:spacing w:after="50" w:before="50" w:line="252" w:lineRule="auto"/>
            </w:pPr>
            <w:r>
              <w:rPr>
                <w:sz w:val="17"/>
              </w:rPr>
              <w:t>Internship Collaboration Programme — internships, workshops, faculty development, institutional visits</w:t>
            </w:r>
          </w:p>
        </w:tc>
      </w:tr>
      <w:tr>
        <w:tc>
          <w:tcPr>
            <w:tcW w:type="dxa" w:w="2498"/>
            <w:shd w:val="clear" w:color="auto" w:fill="EAF1F4"/>
          </w:tcPr>
          <w:p>
            <w:pPr>
              <w:spacing w:after="50" w:before="50" w:line="252" w:lineRule="auto"/>
            </w:pPr>
            <w:r>
              <w:rPr>
                <w:sz w:val="17"/>
              </w:rPr>
              <w:t>NALSAR</w:t>
            </w:r>
          </w:p>
        </w:tc>
        <w:tc>
          <w:tcPr>
            <w:tcW w:type="dxa" w:w="3485"/>
            <w:shd w:val="clear" w:color="auto" w:fill="EAF1F4"/>
          </w:tcPr>
          <w:p>
            <w:pPr>
              <w:spacing w:after="50" w:before="50" w:line="252" w:lineRule="auto"/>
            </w:pPr>
            <w:r>
              <w:rPr>
                <w:sz w:val="17"/>
              </w:rPr>
              <w:t>Fox &amp; Mandal</w:t>
            </w:r>
          </w:p>
        </w:tc>
        <w:tc>
          <w:tcPr>
            <w:tcW w:type="dxa" w:w="3485"/>
            <w:shd w:val="clear" w:color="auto" w:fill="EAF1F4"/>
          </w:tcPr>
          <w:p>
            <w:pPr>
              <w:spacing w:after="50" w:before="50" w:line="252" w:lineRule="auto"/>
            </w:pPr>
            <w:r>
              <w:rPr>
                <w:sz w:val="17"/>
              </w:rPr>
              <w:t>Named mediation tournament</w:t>
            </w:r>
          </w:p>
        </w:tc>
      </w:tr>
      <w:tr>
        <w:tc>
          <w:tcPr>
            <w:tcW w:type="dxa" w:w="2498"/>
          </w:tcPr>
          <w:p>
            <w:pPr>
              <w:spacing w:after="50" w:before="50" w:line="252" w:lineRule="auto"/>
            </w:pPr>
            <w:r>
              <w:rPr>
                <w:sz w:val="17"/>
              </w:rPr>
              <w:t>NMIMS Indore</w:t>
            </w:r>
          </w:p>
        </w:tc>
        <w:tc>
          <w:tcPr>
            <w:tcW w:type="dxa" w:w="3485"/>
          </w:tcPr>
          <w:p>
            <w:pPr>
              <w:spacing w:after="50" w:before="50" w:line="252" w:lineRule="auto"/>
            </w:pPr>
            <w:r>
              <w:rPr>
                <w:sz w:val="17"/>
              </w:rPr>
              <w:t>Mirae Asset Foundation and law firms</w:t>
            </w:r>
          </w:p>
        </w:tc>
        <w:tc>
          <w:tcPr>
            <w:tcW w:type="dxa" w:w="3485"/>
          </w:tcPr>
          <w:p>
            <w:pPr>
              <w:spacing w:after="50" w:before="50" w:line="252" w:lineRule="auto"/>
            </w:pPr>
            <w:r>
              <w:rPr>
                <w:sz w:val="17"/>
              </w:rPr>
              <w:t>Named inter-university mediation competition</w:t>
            </w:r>
          </w:p>
        </w:tc>
      </w:tr>
    </w:tbl>
    <w:p>
      <w:pPr>
        <w:spacing w:after="80" w:before="0"/>
      </w:pPr>
    </w:p>
    <w:p>
      <w:r>
        <w:rPr>
          <w:b/>
        </w:rPr>
        <w:t>[verify — confirm each arrangement, its scope and its exclusivity before relying on this table in any decision.]</w:t>
      </w:r>
    </w:p>
    <w:p>
      <w:pPr>
        <w:pStyle w:val="Heading2"/>
      </w:pPr>
      <w:r>
        <w:t>1.1 What follows strategically</w:t>
      </w:r>
    </w:p>
    <w:p>
      <w:pPr>
        <w:pStyle w:val="ListNumber"/>
      </w:pPr>
      <w:r>
        <w:rPr>
          <w:b/>
          <w:sz w:val="21"/>
        </w:rPr>
        <w:t>Do not lead with the NIRF top eight.</w:t>
      </w:r>
      <w:r>
        <w:rPr>
          <w:sz w:val="21"/>
        </w:rPr>
        <w:t xml:space="preserve"> NLSIU Bengaluru, NLU Delhi, NALSAR, WBNUJS, GNLU, IIT Kharagpur, Symbiosis Pune and Jamia Millia Islamia are either partnered, heavily courted, or both. Approaching them first means competing for attention against an incumbent, at the point where Equator has least evidence.</w:t>
      </w:r>
    </w:p>
    <w:p>
      <w:pPr>
        <w:pStyle w:val="ListNumber"/>
      </w:pPr>
      <w:r>
        <w:rPr>
          <w:b/>
          <w:sz w:val="21"/>
        </w:rPr>
        <w:t>The competitive ground is the tier immediately below</w:t>
      </w:r>
      <w:r>
        <w:rPr>
          <w:sz w:val="21"/>
        </w:rPr>
        <w:t xml:space="preserve"> — strong private universities, state universities with substantial law faculties, and the emerging private law schools building ADR centres from scratch. These have the same compliance obligations, larger student volumes, more budget flexibility and no incumbent.</w:t>
      </w:r>
    </w:p>
    <w:p>
      <w:pPr>
        <w:pStyle w:val="ListNumber"/>
      </w:pPr>
      <w:r>
        <w:rPr>
          <w:b/>
          <w:sz w:val="21"/>
        </w:rPr>
        <w:t>Management and commerce schools are essentially uncontested.</w:t>
      </w:r>
      <w:r>
        <w:rPr>
          <w:sz w:val="21"/>
        </w:rPr>
        <w:t xml:space="preserve"> No competitor in this landscape is selling negotiation and commercial dispute capability into business schools. This is open ground and it is where Equator's five-vertical practice is most differentiating.</w:t>
      </w:r>
    </w:p>
    <w:p>
      <w:pPr>
        <w:pStyle w:val="ListNumber"/>
      </w:pPr>
      <w:r>
        <w:rPr>
          <w:b/>
          <w:sz w:val="21"/>
        </w:rPr>
        <w:t>Mahindra University is a signal, not just a competitor.</w:t>
      </w:r>
      <w:r>
        <w:rPr>
          <w:sz w:val="21"/>
        </w:rPr>
        <w:t xml:space="preserve"> A private university building its own campus arbitration centre and signing MoUs with an NLU indicates that institutions now see ADR infrastructure as a differentiator worth investing in. That is demand, and it is exactly the buyer Equator wants.</w:t>
      </w:r>
    </w:p>
    <w:p>
      <w:pPr>
        <w:spacing w:before="80" w:after="160"/>
        <w:pBdr>
          <w:bottom w:val="single" w:sz="6" w:space="1" w:color="C9D6DE"/>
        </w:pBdr>
      </w:pPr>
    </w:p>
    <w:p>
      <w:pPr>
        <w:pStyle w:val="Heading1"/>
        <w:pBdr>
          <w:bottom w:val="single" w:sz="8" w:space="4" w:color="C9D6DE"/>
        </w:pBdr>
      </w:pPr>
      <w:r>
        <w:t>2. Competitor map</w:t>
      </w:r>
    </w:p>
    <w:p>
      <w:pPr>
        <w:pStyle w:val="Heading2"/>
      </w:pPr>
      <w:r>
        <w:t>2.1 Institutional ADR centres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887"/>
            <w:shd w:val="clear" w:color="auto" w:fill="10375C"/>
          </w:tcPr>
          <w:p>
            <w:pPr>
              <w:spacing w:after="50" w:before="50"/>
            </w:pPr>
            <w:r>
              <w:rPr>
                <w:b/>
                <w:color w:val="FFFFFF"/>
                <w:sz w:val="17"/>
              </w:rPr>
              <w:t>Competitor</w:t>
            </w:r>
          </w:p>
        </w:tc>
        <w:tc>
          <w:tcPr>
            <w:tcW w:type="dxa" w:w="2043"/>
            <w:shd w:val="clear" w:color="auto" w:fill="10375C"/>
          </w:tcPr>
          <w:p>
            <w:pPr>
              <w:spacing w:after="50" w:before="50"/>
            </w:pPr>
            <w:r>
              <w:rPr>
                <w:b/>
                <w:color w:val="FFFFFF"/>
                <w:sz w:val="17"/>
              </w:rPr>
              <w:t>What they are</w:t>
            </w:r>
          </w:p>
        </w:tc>
        <w:tc>
          <w:tcPr>
            <w:tcW w:type="dxa" w:w="2062"/>
            <w:shd w:val="clear" w:color="auto" w:fill="10375C"/>
          </w:tcPr>
          <w:p>
            <w:pPr>
              <w:spacing w:after="50" w:before="50"/>
            </w:pPr>
            <w:r>
              <w:rPr>
                <w:b/>
                <w:color w:val="FFFFFF"/>
                <w:sz w:val="17"/>
              </w:rPr>
              <w:t>Strengths</w:t>
            </w:r>
          </w:p>
        </w:tc>
        <w:tc>
          <w:tcPr>
            <w:tcW w:type="dxa" w:w="2062"/>
            <w:shd w:val="clear" w:color="auto" w:fill="10375C"/>
          </w:tcPr>
          <w:p>
            <w:pPr>
              <w:spacing w:after="50" w:before="50"/>
            </w:pPr>
            <w:r>
              <w:rPr>
                <w:b/>
                <w:color w:val="FFFFFF"/>
                <w:sz w:val="17"/>
              </w:rPr>
              <w:t>Weaknesses</w:t>
            </w:r>
          </w:p>
        </w:tc>
        <w:tc>
          <w:tcPr>
            <w:tcW w:type="dxa" w:w="1414"/>
            <w:shd w:val="clear" w:color="auto" w:fill="10375C"/>
          </w:tcPr>
          <w:p>
            <w:pPr>
              <w:spacing w:after="50" w:before="50"/>
            </w:pPr>
            <w:r>
              <w:rPr>
                <w:b/>
                <w:color w:val="FFFFFF"/>
                <w:sz w:val="17"/>
              </w:rPr>
              <w:t>Where they compete</w:t>
            </w:r>
          </w:p>
        </w:tc>
      </w:tr>
      <w:tr>
        <w:tc>
          <w:tcPr>
            <w:tcW w:type="dxa" w:w="1887"/>
          </w:tcPr>
          <w:p>
            <w:pPr>
              <w:spacing w:after="50" w:before="50" w:line="252" w:lineRule="auto"/>
            </w:pPr>
            <w:r>
              <w:rPr>
                <w:b/>
                <w:sz w:val="17"/>
              </w:rPr>
              <w:t>IAMC Hyderabad</w:t>
            </w:r>
          </w:p>
        </w:tc>
        <w:tc>
          <w:tcPr>
            <w:tcW w:type="dxa" w:w="2043"/>
          </w:tcPr>
          <w:p>
            <w:pPr>
              <w:spacing w:after="50" w:before="50" w:line="252" w:lineRule="auto"/>
            </w:pPr>
            <w:r>
              <w:rPr>
                <w:sz w:val="17"/>
              </w:rPr>
              <w:t>International Arbitration and Mediation Centre; high judicial patronage</w:t>
            </w:r>
          </w:p>
        </w:tc>
        <w:tc>
          <w:tcPr>
            <w:tcW w:type="dxa" w:w="2062"/>
          </w:tcPr>
          <w:p>
            <w:pPr>
              <w:spacing w:after="50" w:before="50" w:line="252" w:lineRule="auto"/>
            </w:pPr>
            <w:r>
              <w:rPr>
                <w:sz w:val="17"/>
              </w:rPr>
              <w:t>Prestige; international profile; judicial backing; deep pockets</w:t>
            </w:r>
          </w:p>
        </w:tc>
        <w:tc>
          <w:tcPr>
            <w:tcW w:type="dxa" w:w="2062"/>
          </w:tcPr>
          <w:p>
            <w:pPr>
              <w:spacing w:after="50" w:before="50" w:line="252" w:lineRule="auto"/>
            </w:pPr>
            <w:r>
              <w:rPr>
                <w:sz w:val="17"/>
              </w:rPr>
              <w:t>Single-city; arbitration-weighted; not a volume training business; limited sectoral breadth</w:t>
            </w:r>
          </w:p>
        </w:tc>
        <w:tc>
          <w:tcPr>
            <w:tcW w:type="dxa" w:w="1414"/>
          </w:tcPr>
          <w:p>
            <w:pPr>
              <w:spacing w:after="50" w:before="50" w:line="252" w:lineRule="auto"/>
            </w:pPr>
            <w:r>
              <w:rPr>
                <w:sz w:val="17"/>
              </w:rPr>
              <w:t>Tier 1 NLUs; flagship MoUs</w:t>
            </w:r>
          </w:p>
        </w:tc>
      </w:tr>
      <w:tr>
        <w:tc>
          <w:tcPr>
            <w:tcW w:type="dxa" w:w="1887"/>
            <w:shd w:val="clear" w:color="auto" w:fill="EAF1F4"/>
          </w:tcPr>
          <w:p>
            <w:pPr>
              <w:spacing w:after="50" w:before="50" w:line="252" w:lineRule="auto"/>
            </w:pPr>
            <w:r>
              <w:rPr>
                <w:b/>
                <w:sz w:val="17"/>
              </w:rPr>
              <w:t>Arbitration and Conciliation Centre, Bengaluru</w:t>
            </w:r>
          </w:p>
        </w:tc>
        <w:tc>
          <w:tcPr>
            <w:tcW w:type="dxa" w:w="2043"/>
            <w:shd w:val="clear" w:color="auto" w:fill="EAF1F4"/>
          </w:tcPr>
          <w:p>
            <w:pPr>
              <w:spacing w:after="50" w:before="50" w:line="252" w:lineRule="auto"/>
            </w:pPr>
            <w:r>
              <w:rPr>
                <w:sz w:val="17"/>
              </w:rPr>
              <w:t>High Court of Karnataka initiative</w:t>
            </w:r>
          </w:p>
        </w:tc>
        <w:tc>
          <w:tcPr>
            <w:tcW w:type="dxa" w:w="2062"/>
            <w:shd w:val="clear" w:color="auto" w:fill="EAF1F4"/>
          </w:tcPr>
          <w:p>
            <w:pPr>
              <w:spacing w:after="50" w:before="50" w:line="252" w:lineRule="auto"/>
            </w:pPr>
            <w:r>
              <w:rPr>
                <w:sz w:val="17"/>
              </w:rPr>
              <w:t>Official standing; free or near-free; internships at scale</w:t>
            </w:r>
          </w:p>
        </w:tc>
        <w:tc>
          <w:tcPr>
            <w:tcW w:type="dxa" w:w="2062"/>
            <w:shd w:val="clear" w:color="auto" w:fill="EAF1F4"/>
          </w:tcPr>
          <w:p>
            <w:pPr>
              <w:spacing w:after="50" w:before="50" w:line="252" w:lineRule="auto"/>
            </w:pPr>
            <w:r>
              <w:rPr>
                <w:sz w:val="17"/>
              </w:rPr>
              <w:t>Karnataka-bound; institutional pace; no commercial offering</w:t>
            </w:r>
          </w:p>
        </w:tc>
        <w:tc>
          <w:tcPr>
            <w:tcW w:type="dxa" w:w="1414"/>
            <w:shd w:val="clear" w:color="auto" w:fill="EAF1F4"/>
          </w:tcPr>
          <w:p>
            <w:pPr>
              <w:spacing w:after="50" w:before="50" w:line="252" w:lineRule="auto"/>
            </w:pPr>
            <w:r>
              <w:rPr>
                <w:sz w:val="17"/>
              </w:rPr>
              <w:t>Internships; Bengaluru institutions</w:t>
            </w:r>
          </w:p>
        </w:tc>
      </w:tr>
      <w:tr>
        <w:tc>
          <w:tcPr>
            <w:tcW w:type="dxa" w:w="1887"/>
          </w:tcPr>
          <w:p>
            <w:pPr>
              <w:spacing w:after="50" w:before="50" w:line="252" w:lineRule="auto"/>
            </w:pPr>
            <w:r>
              <w:rPr>
                <w:b/>
                <w:sz w:val="17"/>
              </w:rPr>
              <w:t>Delhi International Arbitration Centre and equivalents</w:t>
            </w:r>
          </w:p>
        </w:tc>
        <w:tc>
          <w:tcPr>
            <w:tcW w:type="dxa" w:w="2043"/>
          </w:tcPr>
          <w:p>
            <w:pPr>
              <w:spacing w:after="50" w:before="50" w:line="252" w:lineRule="auto"/>
            </w:pPr>
            <w:r>
              <w:rPr>
                <w:sz w:val="17"/>
              </w:rPr>
              <w:t>Court-annexed centres</w:t>
            </w:r>
          </w:p>
        </w:tc>
        <w:tc>
          <w:tcPr>
            <w:tcW w:type="dxa" w:w="2062"/>
          </w:tcPr>
          <w:p>
            <w:pPr>
              <w:spacing w:after="50" w:before="50" w:line="252" w:lineRule="auto"/>
            </w:pPr>
            <w:r>
              <w:rPr>
                <w:sz w:val="17"/>
              </w:rPr>
              <w:t>Statutory legitimacy; free training</w:t>
            </w:r>
          </w:p>
        </w:tc>
        <w:tc>
          <w:tcPr>
            <w:tcW w:type="dxa" w:w="2062"/>
          </w:tcPr>
          <w:p>
            <w:pPr>
              <w:spacing w:after="50" w:before="50" w:line="252" w:lineRule="auto"/>
            </w:pPr>
            <w:r>
              <w:rPr>
                <w:sz w:val="17"/>
              </w:rPr>
              <w:t>No commercial delivery; no competitions; no employment pathway</w:t>
            </w:r>
          </w:p>
        </w:tc>
        <w:tc>
          <w:tcPr>
            <w:tcW w:type="dxa" w:w="1414"/>
          </w:tcPr>
          <w:p>
            <w:pPr>
              <w:spacing w:after="50" w:before="50" w:line="252" w:lineRule="auto"/>
            </w:pPr>
            <w:r>
              <w:rPr>
                <w:sz w:val="17"/>
              </w:rPr>
              <w:t>Basic training</w:t>
            </w:r>
          </w:p>
        </w:tc>
      </w:tr>
      <w:tr>
        <w:tc>
          <w:tcPr>
            <w:tcW w:type="dxa" w:w="1887"/>
            <w:shd w:val="clear" w:color="auto" w:fill="EAF1F4"/>
          </w:tcPr>
          <w:p>
            <w:pPr>
              <w:spacing w:after="50" w:before="50" w:line="252" w:lineRule="auto"/>
            </w:pPr>
            <w:r>
              <w:rPr>
                <w:b/>
                <w:sz w:val="17"/>
              </w:rPr>
              <w:t>Mahindra University School of Law</w:t>
            </w:r>
          </w:p>
        </w:tc>
        <w:tc>
          <w:tcPr>
            <w:tcW w:type="dxa" w:w="2043"/>
            <w:shd w:val="clear" w:color="auto" w:fill="EAF1F4"/>
          </w:tcPr>
          <w:p>
            <w:pPr>
              <w:spacing w:after="50" w:before="50" w:line="252" w:lineRule="auto"/>
            </w:pPr>
            <w:r>
              <w:rPr>
                <w:sz w:val="17"/>
              </w:rPr>
              <w:t>University building its own centre</w:t>
            </w:r>
          </w:p>
        </w:tc>
        <w:tc>
          <w:tcPr>
            <w:tcW w:type="dxa" w:w="2062"/>
            <w:shd w:val="clear" w:color="auto" w:fill="EAF1F4"/>
          </w:tcPr>
          <w:p>
            <w:pPr>
              <w:spacing w:after="50" w:before="50" w:line="252" w:lineRule="auto"/>
            </w:pPr>
            <w:r>
              <w:rPr>
                <w:sz w:val="17"/>
              </w:rPr>
              <w:t>Institutional resources; can partner peer-to-peer with NLUs</w:t>
            </w:r>
          </w:p>
        </w:tc>
        <w:tc>
          <w:tcPr>
            <w:tcW w:type="dxa" w:w="2062"/>
            <w:shd w:val="clear" w:color="auto" w:fill="EAF1F4"/>
          </w:tcPr>
          <w:p>
            <w:pPr>
              <w:spacing w:after="50" w:before="50" w:line="252" w:lineRule="auto"/>
            </w:pPr>
            <w:r>
              <w:rPr>
                <w:sz w:val="17"/>
              </w:rPr>
              <w:t>A university, not a service provider; cannot scale to other campuses</w:t>
            </w:r>
          </w:p>
        </w:tc>
        <w:tc>
          <w:tcPr>
            <w:tcW w:type="dxa" w:w="1414"/>
            <w:shd w:val="clear" w:color="auto" w:fill="EAF1F4"/>
          </w:tcPr>
          <w:p>
            <w:pPr>
              <w:spacing w:after="50" w:before="50" w:line="252" w:lineRule="auto"/>
            </w:pPr>
            <w:r>
              <w:rPr>
                <w:sz w:val="17"/>
              </w:rPr>
              <w:t>Central and southern private universities</w:t>
            </w:r>
          </w:p>
        </w:tc>
      </w:tr>
    </w:tbl>
    <w:p>
      <w:pPr>
        <w:spacing w:after="80" w:before="0"/>
      </w:pPr>
    </w:p>
    <w:p>
      <w:pPr>
        <w:pStyle w:val="Heading2"/>
      </w:pPr>
      <w:r>
        <w:t>2.2 Private training providers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760"/>
            <w:shd w:val="clear" w:color="auto" w:fill="10375C"/>
          </w:tcPr>
          <w:p>
            <w:pPr>
              <w:spacing w:after="50" w:before="50"/>
            </w:pPr>
            <w:r>
              <w:rPr>
                <w:b/>
                <w:color w:val="FFFFFF"/>
                <w:sz w:val="17"/>
              </w:rPr>
              <w:t>Competitor</w:t>
            </w:r>
          </w:p>
        </w:tc>
        <w:tc>
          <w:tcPr>
            <w:tcW w:type="dxa" w:w="2672"/>
            <w:shd w:val="clear" w:color="auto" w:fill="10375C"/>
          </w:tcPr>
          <w:p>
            <w:pPr>
              <w:spacing w:after="50" w:before="50"/>
            </w:pPr>
            <w:r>
              <w:rPr>
                <w:b/>
                <w:color w:val="FFFFFF"/>
                <w:sz w:val="17"/>
              </w:rPr>
              <w:t>Offering</w:t>
            </w:r>
          </w:p>
        </w:tc>
        <w:tc>
          <w:tcPr>
            <w:tcW w:type="dxa" w:w="1274"/>
            <w:shd w:val="clear" w:color="auto" w:fill="10375C"/>
          </w:tcPr>
          <w:p>
            <w:pPr>
              <w:spacing w:after="50" w:before="50"/>
            </w:pPr>
            <w:r>
              <w:rPr>
                <w:b/>
                <w:color w:val="FFFFFF"/>
                <w:sz w:val="17"/>
              </w:rPr>
              <w:t>Observed pricing</w:t>
            </w:r>
          </w:p>
        </w:tc>
        <w:tc>
          <w:tcPr>
            <w:tcW w:type="dxa" w:w="2760"/>
            <w:shd w:val="clear" w:color="auto" w:fill="10375C"/>
          </w:tcPr>
          <w:p>
            <w:pPr>
              <w:spacing w:after="50" w:before="50"/>
            </w:pPr>
            <w:r>
              <w:rPr>
                <w:b/>
                <w:color w:val="FFFFFF"/>
                <w:sz w:val="17"/>
              </w:rPr>
              <w:t>Weaknesses</w:t>
            </w:r>
          </w:p>
        </w:tc>
      </w:tr>
      <w:tr>
        <w:tc>
          <w:tcPr>
            <w:tcW w:type="dxa" w:w="2760"/>
          </w:tcPr>
          <w:p>
            <w:pPr>
              <w:spacing w:after="50" w:before="50" w:line="252" w:lineRule="auto"/>
            </w:pPr>
            <w:r>
              <w:rPr>
                <w:b/>
                <w:sz w:val="17"/>
              </w:rPr>
              <w:t>ADR ODR International</w:t>
            </w:r>
          </w:p>
        </w:tc>
        <w:tc>
          <w:tcPr>
            <w:tcW w:type="dxa" w:w="2672"/>
          </w:tcPr>
          <w:p>
            <w:pPr>
              <w:spacing w:after="50" w:before="50" w:line="252" w:lineRule="auto"/>
            </w:pPr>
            <w:r>
              <w:rPr>
                <w:sz w:val="17"/>
              </w:rPr>
              <w:t>Civil and commercial mediation training, India delivery; JGLS MoU</w:t>
            </w:r>
          </w:p>
        </w:tc>
        <w:tc>
          <w:tcPr>
            <w:tcW w:type="dxa" w:w="1274"/>
          </w:tcPr>
          <w:p>
            <w:pPr>
              <w:spacing w:after="50" w:before="50" w:line="252" w:lineRule="auto"/>
            </w:pPr>
            <w:r>
              <w:rPr>
                <w:sz w:val="17"/>
              </w:rPr>
              <w:t>₹50,000 inclusive of tax</w:t>
            </w:r>
          </w:p>
        </w:tc>
        <w:tc>
          <w:tcPr>
            <w:tcW w:type="dxa" w:w="2760"/>
          </w:tcPr>
          <w:p>
            <w:pPr>
              <w:spacing w:after="50" w:before="50" w:line="252" w:lineRule="auto"/>
            </w:pPr>
            <w:r>
              <w:rPr>
                <w:sz w:val="17"/>
              </w:rPr>
              <w:t>International brand, thin India delivery footprint; not embedded in campuses; no competition circuit</w:t>
            </w:r>
          </w:p>
        </w:tc>
      </w:tr>
      <w:tr>
        <w:tc>
          <w:tcPr>
            <w:tcW w:type="dxa" w:w="2760"/>
            <w:shd w:val="clear" w:color="auto" w:fill="EAF1F4"/>
          </w:tcPr>
          <w:p>
            <w:pPr>
              <w:spacing w:after="50" w:before="50" w:line="252" w:lineRule="auto"/>
            </w:pPr>
            <w:r>
              <w:rPr>
                <w:b/>
                <w:sz w:val="17"/>
              </w:rPr>
              <w:t>Indian Institute of Arbitration and Mediation (IIAM)</w:t>
            </w:r>
          </w:p>
        </w:tc>
        <w:tc>
          <w:tcPr>
            <w:tcW w:type="dxa" w:w="2672"/>
            <w:shd w:val="clear" w:color="auto" w:fill="EAF1F4"/>
          </w:tcPr>
          <w:p>
            <w:pPr>
              <w:spacing w:after="50" w:before="50" w:line="252" w:lineRule="auto"/>
            </w:pPr>
            <w:r>
              <w:rPr>
                <w:sz w:val="17"/>
              </w:rPr>
              <w:t>APCAM certified mediation training</w:t>
            </w:r>
          </w:p>
        </w:tc>
        <w:tc>
          <w:tcPr>
            <w:tcW w:type="dxa" w:w="1274"/>
            <w:shd w:val="clear" w:color="auto" w:fill="EAF1F4"/>
          </w:tcPr>
          <w:p>
            <w:pPr>
              <w:spacing w:after="50" w:before="50" w:line="252" w:lineRule="auto"/>
            </w:pPr>
            <w:r>
              <w:rPr>
                <w:sz w:val="17"/>
              </w:rPr>
              <w:t>₹50,000 stage 1; ₹22,500 stage 2</w:t>
            </w:r>
          </w:p>
        </w:tc>
        <w:tc>
          <w:tcPr>
            <w:tcW w:type="dxa" w:w="2760"/>
            <w:shd w:val="clear" w:color="auto" w:fill="EAF1F4"/>
          </w:tcPr>
          <w:p>
            <w:pPr>
              <w:spacing w:after="50" w:before="50" w:line="252" w:lineRule="auto"/>
            </w:pPr>
            <w:r>
              <w:rPr>
                <w:sz w:val="17"/>
              </w:rPr>
              <w:t>Long-established but training-only; no internships, no employment pathway, limited campus presence</w:t>
            </w:r>
          </w:p>
        </w:tc>
      </w:tr>
      <w:tr>
        <w:tc>
          <w:tcPr>
            <w:tcW w:type="dxa" w:w="2760"/>
          </w:tcPr>
          <w:p>
            <w:pPr>
              <w:spacing w:after="50" w:before="50" w:line="252" w:lineRule="auto"/>
            </w:pPr>
            <w:r>
              <w:rPr>
                <w:b/>
                <w:sz w:val="17"/>
              </w:rPr>
              <w:t>Centre for Advanced Mediation Practice (CAMP), Bengaluru</w:t>
            </w:r>
          </w:p>
        </w:tc>
        <w:tc>
          <w:tcPr>
            <w:tcW w:type="dxa" w:w="2672"/>
          </w:tcPr>
          <w:p>
            <w:pPr>
              <w:spacing w:after="50" w:before="50" w:line="252" w:lineRule="auto"/>
            </w:pPr>
            <w:r>
              <w:rPr>
                <w:sz w:val="17"/>
              </w:rPr>
              <w:t>Mediation training and practice</w:t>
            </w:r>
          </w:p>
        </w:tc>
        <w:tc>
          <w:tcPr>
            <w:tcW w:type="dxa" w:w="1274"/>
          </w:tcPr>
          <w:p>
            <w:pPr>
              <w:spacing w:after="50" w:before="50" w:line="252" w:lineRule="auto"/>
            </w:pPr>
            <w:r>
              <w:rPr>
                <w:sz w:val="17"/>
              </w:rPr>
              <w:t>[verify]</w:t>
            </w:r>
          </w:p>
        </w:tc>
        <w:tc>
          <w:tcPr>
            <w:tcW w:type="dxa" w:w="2760"/>
          </w:tcPr>
          <w:p>
            <w:pPr>
              <w:spacing w:after="50" w:before="50" w:line="252" w:lineRule="auto"/>
            </w:pPr>
            <w:r>
              <w:rPr>
                <w:sz w:val="17"/>
              </w:rPr>
              <w:t>Strong practice reputation; small scale; regionally concentrated</w:t>
            </w:r>
          </w:p>
        </w:tc>
      </w:tr>
      <w:tr>
        <w:tc>
          <w:tcPr>
            <w:tcW w:type="dxa" w:w="2760"/>
            <w:shd w:val="clear" w:color="auto" w:fill="EAF1F4"/>
          </w:tcPr>
          <w:p>
            <w:pPr>
              <w:spacing w:after="50" w:before="50" w:line="252" w:lineRule="auto"/>
            </w:pPr>
            <w:r>
              <w:rPr>
                <w:b/>
                <w:sz w:val="17"/>
              </w:rPr>
              <w:t>Delhi Dispute Resolution Society</w:t>
            </w:r>
          </w:p>
        </w:tc>
        <w:tc>
          <w:tcPr>
            <w:tcW w:type="dxa" w:w="2672"/>
            <w:shd w:val="clear" w:color="auto" w:fill="EAF1F4"/>
          </w:tcPr>
          <w:p>
            <w:pPr>
              <w:spacing w:after="50" w:before="50" w:line="252" w:lineRule="auto"/>
            </w:pPr>
            <w:r>
              <w:rPr>
                <w:sz w:val="17"/>
              </w:rPr>
              <w:t>40-hour mediation training</w:t>
            </w:r>
          </w:p>
        </w:tc>
        <w:tc>
          <w:tcPr>
            <w:tcW w:type="dxa" w:w="1274"/>
            <w:shd w:val="clear" w:color="auto" w:fill="EAF1F4"/>
          </w:tcPr>
          <w:p>
            <w:pPr>
              <w:spacing w:after="50" w:before="50" w:line="252" w:lineRule="auto"/>
            </w:pPr>
            <w:r>
              <w:rPr>
                <w:b/>
                <w:sz w:val="17"/>
              </w:rPr>
              <w:t>₹25,000</w:t>
            </w:r>
          </w:p>
        </w:tc>
        <w:tc>
          <w:tcPr>
            <w:tcW w:type="dxa" w:w="2760"/>
            <w:shd w:val="clear" w:color="auto" w:fill="EAF1F4"/>
          </w:tcPr>
          <w:p>
            <w:pPr>
              <w:spacing w:after="50" w:before="50" w:line="252" w:lineRule="auto"/>
            </w:pPr>
            <w:r>
              <w:rPr>
                <w:sz w:val="17"/>
              </w:rPr>
              <w:t>Government-backed and cheap; Delhi-bound; no commercial or academic wraparound</w:t>
            </w:r>
          </w:p>
        </w:tc>
      </w:tr>
      <w:tr>
        <w:tc>
          <w:tcPr>
            <w:tcW w:type="dxa" w:w="2760"/>
          </w:tcPr>
          <w:p>
            <w:pPr>
              <w:spacing w:after="50" w:before="50" w:line="252" w:lineRule="auto"/>
            </w:pPr>
            <w:r>
              <w:rPr>
                <w:b/>
                <w:sz w:val="17"/>
              </w:rPr>
              <w:t>Indian Institute of Corporate Affairs (IICA)</w:t>
            </w:r>
          </w:p>
        </w:tc>
        <w:tc>
          <w:tcPr>
            <w:tcW w:type="dxa" w:w="2672"/>
          </w:tcPr>
          <w:p>
            <w:pPr>
              <w:spacing w:after="50" w:before="50" w:line="252" w:lineRule="auto"/>
            </w:pPr>
            <w:r>
              <w:rPr>
                <w:sz w:val="17"/>
              </w:rPr>
              <w:t>ICMP — approximately 100 hours, online, 3 months</w:t>
            </w:r>
          </w:p>
        </w:tc>
        <w:tc>
          <w:tcPr>
            <w:tcW w:type="dxa" w:w="1274"/>
          </w:tcPr>
          <w:p>
            <w:pPr>
              <w:spacing w:after="50" w:before="50" w:line="252" w:lineRule="auto"/>
            </w:pPr>
            <w:r>
              <w:rPr>
                <w:sz w:val="17"/>
              </w:rPr>
              <w:t>[verify]</w:t>
            </w:r>
          </w:p>
        </w:tc>
        <w:tc>
          <w:tcPr>
            <w:tcW w:type="dxa" w:w="2760"/>
          </w:tcPr>
          <w:p>
            <w:pPr>
              <w:spacing w:after="50" w:before="50" w:line="252" w:lineRule="auto"/>
            </w:pPr>
            <w:r>
              <w:rPr>
                <w:sz w:val="17"/>
              </w:rPr>
              <w:t>Public-sector credibility; online-only; no campus embedding</w:t>
            </w:r>
          </w:p>
        </w:tc>
      </w:tr>
    </w:tbl>
    <w:p>
      <w:pPr>
        <w:spacing w:after="80" w:before="0"/>
      </w:pPr>
    </w:p>
    <w:p>
      <w:pPr>
        <w:pStyle w:val="Heading2"/>
      </w:pPr>
      <w:r>
        <w:t>2.3 Academic and international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49"/>
            <w:shd w:val="clear" w:color="auto" w:fill="10375C"/>
          </w:tcPr>
          <w:p>
            <w:pPr>
              <w:spacing w:after="50" w:before="50"/>
            </w:pPr>
            <w:r>
              <w:rPr>
                <w:b/>
                <w:color w:val="FFFFFF"/>
                <w:sz w:val="17"/>
              </w:rPr>
              <w:t>Competitor</w:t>
            </w:r>
          </w:p>
        </w:tc>
        <w:tc>
          <w:tcPr>
            <w:tcW w:type="dxa" w:w="3309"/>
            <w:shd w:val="clear" w:color="auto" w:fill="10375C"/>
          </w:tcPr>
          <w:p>
            <w:pPr>
              <w:spacing w:after="50" w:before="50"/>
            </w:pPr>
            <w:r>
              <w:rPr>
                <w:b/>
                <w:color w:val="FFFFFF"/>
                <w:sz w:val="17"/>
              </w:rPr>
              <w:t>Offering</w:t>
            </w:r>
          </w:p>
        </w:tc>
        <w:tc>
          <w:tcPr>
            <w:tcW w:type="dxa" w:w="3309"/>
            <w:shd w:val="clear" w:color="auto" w:fill="10375C"/>
          </w:tcPr>
          <w:p>
            <w:pPr>
              <w:spacing w:after="50" w:before="50"/>
            </w:pPr>
            <w:r>
              <w:rPr>
                <w:b/>
                <w:color w:val="FFFFFF"/>
                <w:sz w:val="17"/>
              </w:rPr>
              <w:t>Implication</w:t>
            </w:r>
          </w:p>
        </w:tc>
      </w:tr>
      <w:tr>
        <w:tc>
          <w:tcPr>
            <w:tcW w:type="dxa" w:w="2849"/>
          </w:tcPr>
          <w:p>
            <w:pPr>
              <w:spacing w:after="50" w:before="50" w:line="252" w:lineRule="auto"/>
            </w:pPr>
            <w:r>
              <w:rPr>
                <w:b/>
                <w:sz w:val="17"/>
              </w:rPr>
              <w:t>UC Law San Francisco</w:t>
            </w:r>
          </w:p>
        </w:tc>
        <w:tc>
          <w:tcPr>
            <w:tcW w:type="dxa" w:w="3309"/>
          </w:tcPr>
          <w:p>
            <w:pPr>
              <w:spacing w:after="50" w:before="50" w:line="252" w:lineRule="auto"/>
            </w:pPr>
            <w:r>
              <w:rPr>
                <w:sz w:val="17"/>
              </w:rPr>
              <w:t>Multi-year ADR education programme with NLSIU; training Indian ADR professors in experiential teaching</w:t>
            </w:r>
          </w:p>
        </w:tc>
        <w:tc>
          <w:tcPr>
            <w:tcW w:type="dxa" w:w="3309"/>
          </w:tcPr>
          <w:p>
            <w:pPr>
              <w:spacing w:after="50" w:before="50" w:line="252" w:lineRule="auto"/>
            </w:pPr>
            <w:r>
              <w:rPr>
                <w:b/>
                <w:sz w:val="17"/>
              </w:rPr>
              <w:t>Directly competes with Equator's Faculty Development Programme</w:t>
            </w:r>
            <w:r>
              <w:rPr>
                <w:sz w:val="17"/>
              </w:rPr>
              <w:t>, at the top of the market, with an international brand and no commercial motive. Do not compete head-on at the NLUs</w:t>
            </w:r>
          </w:p>
        </w:tc>
      </w:tr>
      <w:tr>
        <w:tc>
          <w:tcPr>
            <w:tcW w:type="dxa" w:w="2849"/>
            <w:shd w:val="clear" w:color="auto" w:fill="EAF1F4"/>
          </w:tcPr>
          <w:p>
            <w:pPr>
              <w:spacing w:after="50" w:before="50" w:line="252" w:lineRule="auto"/>
            </w:pPr>
            <w:r>
              <w:rPr>
                <w:sz w:val="17"/>
              </w:rPr>
              <w:t>International competition organisers — ICC, IBA–VIAC, INADR</w:t>
            </w:r>
          </w:p>
        </w:tc>
        <w:tc>
          <w:tcPr>
            <w:tcW w:type="dxa" w:w="3309"/>
            <w:shd w:val="clear" w:color="auto" w:fill="EAF1F4"/>
          </w:tcPr>
          <w:p>
            <w:pPr>
              <w:spacing w:after="50" w:before="50" w:line="252" w:lineRule="auto"/>
            </w:pPr>
            <w:r>
              <w:rPr>
                <w:sz w:val="17"/>
              </w:rPr>
              <w:t>Global competition platforms</w:t>
            </w:r>
          </w:p>
        </w:tc>
        <w:tc>
          <w:tcPr>
            <w:tcW w:type="dxa" w:w="3309"/>
            <w:shd w:val="clear" w:color="auto" w:fill="EAF1F4"/>
          </w:tcPr>
          <w:p>
            <w:pPr>
              <w:spacing w:after="50" w:before="50" w:line="252" w:lineRule="auto"/>
            </w:pPr>
            <w:r>
              <w:rPr>
                <w:sz w:val="17"/>
              </w:rPr>
              <w:t xml:space="preserve">Not competitors; </w:t>
            </w:r>
            <w:r>
              <w:rPr>
                <w:b/>
                <w:sz w:val="17"/>
              </w:rPr>
              <w:t>customers for coaching</w:t>
            </w:r>
            <w:r>
              <w:rPr>
                <w:sz w:val="17"/>
              </w:rPr>
              <w:t>. Equator's coaching line exists because institutions want to reach these and cannot</w:t>
            </w:r>
          </w:p>
        </w:tc>
      </w:tr>
    </w:tbl>
    <w:p>
      <w:pPr>
        <w:spacing w:after="80" w:before="0"/>
      </w:pPr>
    </w:p>
    <w:p>
      <w:pPr>
        <w:pStyle w:val="Heading2"/>
      </w:pPr>
      <w:r>
        <w:t>2.4 ODR and technology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629"/>
            <w:shd w:val="clear" w:color="auto" w:fill="10375C"/>
          </w:tcPr>
          <w:p>
            <w:pPr>
              <w:spacing w:after="50" w:before="50"/>
            </w:pPr>
            <w:r>
              <w:rPr>
                <w:b/>
                <w:color w:val="FFFFFF"/>
                <w:sz w:val="17"/>
              </w:rPr>
              <w:t>Competitor</w:t>
            </w:r>
          </w:p>
        </w:tc>
        <w:tc>
          <w:tcPr>
            <w:tcW w:type="dxa" w:w="5838"/>
            <w:shd w:val="clear" w:color="auto" w:fill="10375C"/>
          </w:tcPr>
          <w:p>
            <w:pPr>
              <w:spacing w:after="50" w:before="50"/>
            </w:pPr>
            <w:r>
              <w:rPr>
                <w:b/>
                <w:color w:val="FFFFFF"/>
                <w:sz w:val="17"/>
              </w:rPr>
              <w:t>Note</w:t>
            </w:r>
          </w:p>
        </w:tc>
      </w:tr>
      <w:tr>
        <w:tc>
          <w:tcPr>
            <w:tcW w:type="dxa" w:w="3629"/>
          </w:tcPr>
          <w:p>
            <w:pPr>
              <w:spacing w:after="50" w:before="50" w:line="252" w:lineRule="auto"/>
            </w:pPr>
            <w:r>
              <w:rPr>
                <w:sz w:val="17"/>
              </w:rPr>
              <w:t>ODR platforms and legal-tech providers</w:t>
            </w:r>
          </w:p>
        </w:tc>
        <w:tc>
          <w:tcPr>
            <w:tcW w:type="dxa" w:w="5838"/>
          </w:tcPr>
          <w:p>
            <w:pPr>
              <w:spacing w:after="50" w:before="50" w:line="252" w:lineRule="auto"/>
            </w:pPr>
            <w:r>
              <w:rPr>
                <w:sz w:val="17"/>
              </w:rPr>
              <w:t>Compete for the technology narrative and for hackathon and innovation partnerships. Equator's platform layer is a defence here and is currently unused in the academic programme — see 13.1</w:t>
            </w:r>
          </w:p>
        </w:tc>
      </w:tr>
    </w:tbl>
    <w:p>
      <w:pPr>
        <w:spacing w:after="80" w:before="0"/>
      </w:pPr>
    </w:p>
    <w:p>
      <w:pPr>
        <w:pStyle w:val="Heading2"/>
      </w:pPr>
      <w:r>
        <w:t>2.5 Individuals</w:t>
      </w:r>
    </w:p>
    <w:p>
      <w:r>
        <w:t xml:space="preserve">Senior practitioners running personal training under their own name. Cheap, flexible, and often excellent. They cannot supply documentation, insurance, quality assurance, continuity when they are unavailable, competitions, internships or an employment pathway. </w:t>
      </w:r>
      <w:r>
        <w:rPr>
          <w:b/>
        </w:rPr>
        <w:t>The correct response is not to compete with them but to empanel them</w:t>
      </w:r>
      <w:r>
        <w:t xml:space="preserve"> — see 07.11.</w:t>
      </w:r>
    </w:p>
    <w:p>
      <w:pPr>
        <w:spacing w:before="80" w:after="160"/>
        <w:pBdr>
          <w:bottom w:val="single" w:sz="6" w:space="1" w:color="C9D6DE"/>
        </w:pBdr>
      </w:pPr>
    </w:p>
    <w:p>
      <w:pPr>
        <w:pStyle w:val="Heading1"/>
        <w:pBdr>
          <w:bottom w:val="single" w:sz="8" w:space="4" w:color="C9D6DE"/>
        </w:pBdr>
      </w:pPr>
      <w:r>
        <w:t>3. Battlecards</w:t>
      </w:r>
    </w:p>
    <w:p>
      <w:pPr>
        <w:pStyle w:val="Heading2"/>
      </w:pPr>
      <w:r>
        <w:t>3.1 Against a court-annexed or government centre</w:t>
      </w:r>
    </w:p>
    <w:p>
      <w:r>
        <w:rPr>
          <w:b/>
        </w:rPr>
        <w:t>They will say:</w:t>
      </w:r>
      <w:r>
        <w:t xml:space="preserve"> our training is accredited by the court system and it costs ₹25,000 or nothing.</w:t>
      </w:r>
    </w:p>
    <w:p>
      <w:r>
        <w:rPr>
          <w:b/>
        </w:rPr>
        <w:t>Do not say:</w:t>
      </w:r>
      <w:r>
        <w:t xml:space="preserve"> that their training is inferior. It is not, and the claim will be repeated to the person who trained there.</w:t>
      </w:r>
    </w:p>
    <w:p>
      <w:r>
        <w:rPr>
          <w:b/>
        </w:rPr>
        <w:t>Say:</w:t>
      </w:r>
      <w:r>
        <w:t xml:space="preserve"> </w:t>
      </w:r>
      <w:r>
        <w:rPr>
          <w:i/>
        </w:rPr>
        <w:t>We are not an alternative to the court-annexed programme and we would encourage your students to do both. What we add is what a court centre is not resourced to provide — assessment against practitioner criteria with a written evaluation your institution can use for credit, a competition circuit, structured internships with named supervision, five sectoral practice areas, research capability, and an employment pathway. Our certificate is not a substitute for theirs; it is evidence of assessed competence and a route into practice.</w:t>
      </w:r>
    </w:p>
    <w:p>
      <w:r>
        <w:rPr>
          <w:b/>
        </w:rPr>
        <w:t>Then ask:</w:t>
      </w:r>
      <w:r>
        <w:t xml:space="preserve"> </w:t>
      </w:r>
      <w:r>
        <w:rPr>
          <w:i/>
        </w:rPr>
        <w:t>does the court programme give you an evaluation instrument you can put in your accreditation file?</w:t>
      </w:r>
      <w:r>
        <w:t xml:space="preserve"> The answer is usually no.</w:t>
      </w:r>
    </w:p>
    <w:p>
      <w:pPr>
        <w:pStyle w:val="Heading2"/>
      </w:pPr>
      <w:r>
        <w:t>3.2 Against IAMC Hyderabad or a prestige institutional centre</w:t>
      </w:r>
    </w:p>
    <w:p>
      <w:r>
        <w:rPr>
          <w:b/>
        </w:rPr>
        <w:t>They will say, implicitly:</w:t>
      </w:r>
      <w:r>
        <w:t xml:space="preserve"> we have judges on our board.</w:t>
      </w:r>
    </w:p>
    <w:p>
      <w:r>
        <w:rPr>
          <w:b/>
        </w:rPr>
        <w:t>Say:</w:t>
      </w:r>
      <w:r>
        <w:t xml:space="preserve"> </w:t>
      </w:r>
      <w:r>
        <w:rPr>
          <w:i/>
        </w:rPr>
        <w:t>Their standing is real and we would not suggest otherwise. What we offer is different in kind: they are a dispute resolution centre that does some academic work; we are an academic institute attached to a working five-vertical practice. Our programmes are designed to be delivered on your campus, on your calendar, at your scale, with documentation built for your accreditation cycle. And we are able to work with you on the grievance and POSH machinery your institution is required to operate, which a prestige arbitration centre will not do.</w:t>
      </w:r>
    </w:p>
    <w:p>
      <w:r>
        <w:rPr>
          <w:b/>
        </w:rPr>
        <w:t>Where they are already partnered:</w:t>
      </w:r>
      <w:r>
        <w:t xml:space="preserve"> do not attempt displacement. Offer complementary activity — coaching, faculty development, the negotiation championship for the management school, or the advisory line, which sits entirely outside the ADR MoU.</w:t>
      </w:r>
    </w:p>
    <w:p>
      <w:pPr>
        <w:pStyle w:val="Heading2"/>
      </w:pPr>
      <w:r>
        <w:t>3.3 Against ADR ODR International or a global training brand</w:t>
      </w:r>
    </w:p>
    <w:p>
      <w:r>
        <w:rPr>
          <w:b/>
        </w:rPr>
        <w:t>They will say:</w:t>
      </w:r>
      <w:r>
        <w:t xml:space="preserve"> international certification, global standards.</w:t>
      </w:r>
    </w:p>
    <w:p>
      <w:r>
        <w:rPr>
          <w:b/>
        </w:rPr>
        <w:t>Say:</w:t>
      </w:r>
      <w:r>
        <w:t xml:space="preserve"> </w:t>
      </w:r>
      <w:r>
        <w:rPr>
          <w:i/>
        </w:rPr>
        <w:t>Their programme is good and their brand is genuinely international. Three questions worth asking them: how many trainers do they have resident in India, what happens to your programme if that person is unavailable, and can they supervise a student in a live Indian commercial mediation? We administer matters in five verticals here. Our teaching is drawn from files we are working on this month, under Indian statute, and our students see real practice rather than imported case studies.</w:t>
      </w:r>
    </w:p>
    <w:p>
      <w:r>
        <w:rPr>
          <w:b/>
        </w:rPr>
        <w:t>On price:</w:t>
      </w:r>
      <w:r>
        <w:t xml:space="preserve"> they clear at ₹50,000 for a professional programme. Equator's professional rate of ₹38,000 sits deliberately below that; </w:t>
      </w:r>
      <w:r>
        <w:rPr>
          <w:b/>
        </w:rPr>
        <w:t>do not discount further</w:t>
      </w:r>
      <w:r>
        <w:t xml:space="preserve"> — compete on India-embeddedness, not on price.</w:t>
      </w:r>
    </w:p>
    <w:p>
      <w:pPr>
        <w:pStyle w:val="Heading2"/>
      </w:pPr>
      <w:r>
        <w:t>3.4 Against UC Law San Francisco at the top of the market</w:t>
      </w:r>
    </w:p>
    <w:p>
      <w:r>
        <w:rPr>
          <w:b/>
        </w:rPr>
        <w:t>Do not compete.</w:t>
      </w:r>
      <w:r>
        <w:t xml:space="preserve"> Their offer to NLUs is faculty training by internationally recognised ADR academics, funded as an education-improvement effort rather than as a business. Equator cannot beat that proposition at NLSIU.</w:t>
      </w:r>
    </w:p>
    <w:p>
      <w:r>
        <w:rPr>
          <w:b/>
        </w:rPr>
        <w:t>Instead:</w:t>
      </w:r>
      <w:r>
        <w:t xml:space="preserve"> target the four hundred institutions their programme will never reach; and, where an NLU faculty member has been trained by them, </w:t>
      </w:r>
      <w:r>
        <w:rPr>
          <w:b/>
        </w:rPr>
        <w:t>recruit that person to Equator's panel of neutrals</w:t>
      </w:r>
      <w:r>
        <w:t>. A faculty member trained in experiential ADR teaching is exactly the trainer bench Equator needs. Their programme is, from Equator's perspective, a talent pipeline.</w:t>
      </w:r>
    </w:p>
    <w:p>
      <w:pPr>
        <w:pStyle w:val="Heading2"/>
      </w:pPr>
      <w:r>
        <w:t>3.5 Against an individual practitioner</w:t>
      </w:r>
    </w:p>
    <w:p>
      <w:r>
        <w:rPr>
          <w:b/>
        </w:rPr>
        <w:t>They will say:</w:t>
      </w:r>
      <w:r>
        <w:t xml:space="preserve"> I have been doing this for twenty years and I charge less.</w:t>
      </w:r>
    </w:p>
    <w:p>
      <w:r>
        <w:rPr>
          <w:b/>
        </w:rPr>
        <w:t>Say:</w:t>
      </w:r>
      <w:r>
        <w:t xml:space="preserve"> </w:t>
      </w:r>
      <w:r>
        <w:rPr>
          <w:i/>
        </w:rPr>
        <w:t>We would very likely want to work with them, and we should introduce ourselves.</w:t>
      </w:r>
      <w:r>
        <w:t xml:space="preserve"> Then, to the institution: </w:t>
      </w:r>
      <w:r>
        <w:rPr>
          <w:i/>
        </w:rPr>
        <w:t>An individual can teach a session. What we are proposing is a programme — with an assessment instrument, moderation, a documented evaluation for your credit process, insurance, a substitute if the trainer falls ill, an internship pathway and a competition circuit. If your objective is one good session, engage them. If it is a programme your institution can point to in three years, that is a different purchase.</w:t>
      </w:r>
    </w:p>
    <w:p>
      <w:pPr>
        <w:pStyle w:val="Heading2"/>
      </w:pPr>
      <w:r>
        <w:t>3.6 When the institution is already partnered</w:t>
      </w:r>
    </w:p>
    <w:p>
      <w:r>
        <w:rPr>
          <w:b/>
        </w:rPr>
        <w:t>Say:</w:t>
      </w:r>
      <w:r>
        <w:t xml:space="preserve"> </w:t>
      </w:r>
      <w:r>
        <w:rPr>
          <w:i/>
        </w:rPr>
        <w:t>That is a good arrangement and we are not proposing to replace it. Three things we could do alongside it, none of which conflicts: coach your teams for the international circuit, which most partners do not offer; run negotiation and commercial disputes for your management school, which sits outside an ADR MoU entirely; and support your Ombudsperson and grievance machinery, which is an institutional service rather than an academic one.</w:t>
      </w:r>
    </w:p>
    <w:p>
      <w:r>
        <w:rPr>
          <w:b/>
        </w:rPr>
        <w:t>Never</w:t>
      </w:r>
      <w:r>
        <w:t xml:space="preserve"> ask an institution to choose. Take the adjacent ground and let performance do the rest.</w:t>
      </w:r>
    </w:p>
    <w:p>
      <w:pPr>
        <w:spacing w:before="80" w:after="160"/>
        <w:pBdr>
          <w:bottom w:val="single" w:sz="6" w:space="1" w:color="C9D6DE"/>
        </w:pBdr>
      </w:pPr>
    </w:p>
    <w:p>
      <w:pPr>
        <w:pStyle w:val="Heading1"/>
        <w:pBdr>
          <w:bottom w:val="single" w:sz="8" w:space="4" w:color="C9D6DE"/>
        </w:pBdr>
      </w:pPr>
      <w:r>
        <w:t>4. Where Equator genuinely wins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634"/>
            <w:shd w:val="clear" w:color="auto" w:fill="10375C"/>
          </w:tcPr>
          <w:p>
            <w:pPr>
              <w:spacing w:after="50" w:before="50"/>
            </w:pPr>
            <w:r>
              <w:rPr>
                <w:b/>
                <w:color w:val="FFFFFF"/>
                <w:sz w:val="17"/>
              </w:rPr>
              <w:t>Dimension</w:t>
            </w:r>
          </w:p>
        </w:tc>
        <w:tc>
          <w:tcPr>
            <w:tcW w:type="dxa" w:w="850"/>
            <w:shd w:val="clear" w:color="auto" w:fill="10375C"/>
          </w:tcPr>
          <w:p>
            <w:pPr>
              <w:spacing w:after="50" w:before="50"/>
            </w:pPr>
            <w:r>
              <w:rPr>
                <w:b/>
                <w:color w:val="FFFFFF"/>
                <w:sz w:val="17"/>
              </w:rPr>
              <w:t>Equator</w:t>
            </w:r>
          </w:p>
        </w:tc>
        <w:tc>
          <w:tcPr>
            <w:tcW w:type="dxa" w:w="4370"/>
            <w:shd w:val="clear" w:color="auto" w:fill="10375C"/>
          </w:tcPr>
          <w:p>
            <w:pPr>
              <w:spacing w:after="50" w:before="50"/>
            </w:pPr>
            <w:r>
              <w:rPr>
                <w:b/>
                <w:color w:val="FFFFFF"/>
                <w:sz w:val="17"/>
              </w:rPr>
              <w:t>Nearest competitor</w:t>
            </w:r>
          </w:p>
        </w:tc>
      </w:tr>
      <w:tr>
        <w:tc>
          <w:tcPr>
            <w:tcW w:type="dxa" w:w="4634"/>
          </w:tcPr>
          <w:p>
            <w:pPr>
              <w:spacing w:after="50" w:before="50" w:line="252" w:lineRule="auto"/>
            </w:pPr>
            <w:r>
              <w:rPr>
                <w:b/>
                <w:sz w:val="17"/>
              </w:rPr>
              <w:t>Five sectoral verticals in live practice</w:t>
            </w:r>
          </w:p>
        </w:tc>
        <w:tc>
          <w:tcPr>
            <w:tcW w:type="dxa" w:w="850"/>
          </w:tcPr>
          <w:p>
            <w:pPr>
              <w:spacing w:after="50" w:before="50" w:line="252" w:lineRule="auto"/>
            </w:pPr>
            <w:r>
              <w:rPr>
                <w:sz w:val="17"/>
              </w:rPr>
              <w:t>Yes</w:t>
            </w:r>
          </w:p>
        </w:tc>
        <w:tc>
          <w:tcPr>
            <w:tcW w:type="dxa" w:w="4370"/>
          </w:tcPr>
          <w:p>
            <w:pPr>
              <w:spacing w:after="50" w:before="50" w:line="252" w:lineRule="auto"/>
            </w:pPr>
            <w:r>
              <w:rPr>
                <w:sz w:val="17"/>
              </w:rPr>
              <w:t>None has more than two</w:t>
            </w:r>
          </w:p>
        </w:tc>
      </w:tr>
      <w:tr>
        <w:tc>
          <w:tcPr>
            <w:tcW w:type="dxa" w:w="4634"/>
            <w:shd w:val="clear" w:color="auto" w:fill="EAF1F4"/>
          </w:tcPr>
          <w:p>
            <w:pPr>
              <w:spacing w:after="50" w:before="50" w:line="252" w:lineRule="auto"/>
            </w:pPr>
            <w:r>
              <w:rPr>
                <w:b/>
                <w:sz w:val="17"/>
              </w:rPr>
              <w:t>Campus-delivered programme with credit-support documentation</w:t>
            </w:r>
          </w:p>
        </w:tc>
        <w:tc>
          <w:tcPr>
            <w:tcW w:type="dxa" w:w="850"/>
            <w:shd w:val="clear" w:color="auto" w:fill="EAF1F4"/>
          </w:tcPr>
          <w:p>
            <w:pPr>
              <w:spacing w:after="50" w:before="50" w:line="252" w:lineRule="auto"/>
            </w:pPr>
            <w:r>
              <w:rPr>
                <w:sz w:val="17"/>
              </w:rPr>
              <w:t>Yes</w:t>
            </w:r>
          </w:p>
        </w:tc>
        <w:tc>
          <w:tcPr>
            <w:tcW w:type="dxa" w:w="4370"/>
            <w:shd w:val="clear" w:color="auto" w:fill="EAF1F4"/>
          </w:tcPr>
          <w:p>
            <w:pPr>
              <w:spacing w:after="50" w:before="50" w:line="252" w:lineRule="auto"/>
            </w:pPr>
            <w:r>
              <w:rPr>
                <w:sz w:val="17"/>
              </w:rPr>
              <w:t>Court centres and international providers do not supply it</w:t>
            </w:r>
          </w:p>
        </w:tc>
      </w:tr>
      <w:tr>
        <w:tc>
          <w:tcPr>
            <w:tcW w:type="dxa" w:w="4634"/>
          </w:tcPr>
          <w:p>
            <w:pPr>
              <w:spacing w:after="50" w:before="50" w:line="252" w:lineRule="auto"/>
            </w:pPr>
            <w:r>
              <w:rPr>
                <w:b/>
                <w:sz w:val="17"/>
              </w:rPr>
              <w:t>Coaching for the international competition circuit</w:t>
            </w:r>
          </w:p>
        </w:tc>
        <w:tc>
          <w:tcPr>
            <w:tcW w:type="dxa" w:w="850"/>
          </w:tcPr>
          <w:p>
            <w:pPr>
              <w:spacing w:after="50" w:before="50" w:line="252" w:lineRule="auto"/>
            </w:pPr>
            <w:r>
              <w:rPr>
                <w:sz w:val="17"/>
              </w:rPr>
              <w:t>Yes</w:t>
            </w:r>
          </w:p>
        </w:tc>
        <w:tc>
          <w:tcPr>
            <w:tcW w:type="dxa" w:w="4370"/>
          </w:tcPr>
          <w:p>
            <w:pPr>
              <w:spacing w:after="50" w:before="50" w:line="252" w:lineRule="auto"/>
            </w:pPr>
            <w:r>
              <w:rPr>
                <w:b/>
                <w:sz w:val="17"/>
              </w:rPr>
              <w:t>Effectively nobody</w:t>
            </w:r>
          </w:p>
        </w:tc>
      </w:tr>
      <w:tr>
        <w:tc>
          <w:tcPr>
            <w:tcW w:type="dxa" w:w="4634"/>
            <w:shd w:val="clear" w:color="auto" w:fill="EAF1F4"/>
          </w:tcPr>
          <w:p>
            <w:pPr>
              <w:spacing w:after="50" w:before="50" w:line="252" w:lineRule="auto"/>
            </w:pPr>
            <w:r>
              <w:rPr>
                <w:b/>
                <w:sz w:val="17"/>
              </w:rPr>
              <w:t>Institutional advisory — Ombudsperson, SGRC, POSH</w:t>
            </w:r>
          </w:p>
        </w:tc>
        <w:tc>
          <w:tcPr>
            <w:tcW w:type="dxa" w:w="850"/>
            <w:shd w:val="clear" w:color="auto" w:fill="EAF1F4"/>
          </w:tcPr>
          <w:p>
            <w:pPr>
              <w:spacing w:after="50" w:before="50" w:line="252" w:lineRule="auto"/>
            </w:pPr>
            <w:r>
              <w:rPr>
                <w:sz w:val="17"/>
              </w:rPr>
              <w:t>Yes</w:t>
            </w:r>
          </w:p>
        </w:tc>
        <w:tc>
          <w:tcPr>
            <w:tcW w:type="dxa" w:w="4370"/>
            <w:shd w:val="clear" w:color="auto" w:fill="EAF1F4"/>
          </w:tcPr>
          <w:p>
            <w:pPr>
              <w:spacing w:after="50" w:before="50" w:line="252" w:lineRule="auto"/>
            </w:pPr>
            <w:r>
              <w:rPr>
                <w:b/>
                <w:sz w:val="17"/>
              </w:rPr>
              <w:t>Effectively nobody in this landscape</w:t>
            </w:r>
          </w:p>
        </w:tc>
      </w:tr>
      <w:tr>
        <w:tc>
          <w:tcPr>
            <w:tcW w:type="dxa" w:w="4634"/>
          </w:tcPr>
          <w:p>
            <w:pPr>
              <w:spacing w:after="50" w:before="50" w:line="252" w:lineRule="auto"/>
            </w:pPr>
            <w:r>
              <w:rPr>
                <w:b/>
                <w:sz w:val="17"/>
              </w:rPr>
              <w:t>Structured internship ladder with named supervision</w:t>
            </w:r>
          </w:p>
        </w:tc>
        <w:tc>
          <w:tcPr>
            <w:tcW w:type="dxa" w:w="850"/>
          </w:tcPr>
          <w:p>
            <w:pPr>
              <w:spacing w:after="50" w:before="50" w:line="252" w:lineRule="auto"/>
            </w:pPr>
            <w:r>
              <w:rPr>
                <w:sz w:val="17"/>
              </w:rPr>
              <w:t>Yes</w:t>
            </w:r>
          </w:p>
        </w:tc>
        <w:tc>
          <w:tcPr>
            <w:tcW w:type="dxa" w:w="4370"/>
          </w:tcPr>
          <w:p>
            <w:pPr>
              <w:spacing w:after="50" w:before="50" w:line="252" w:lineRule="auto"/>
            </w:pPr>
            <w:r>
              <w:rPr>
                <w:sz w:val="17"/>
              </w:rPr>
              <w:t>Alliance–ACC Bengaluru is the closest, and is single-city</w:t>
            </w:r>
          </w:p>
        </w:tc>
      </w:tr>
      <w:tr>
        <w:tc>
          <w:tcPr>
            <w:tcW w:type="dxa" w:w="4634"/>
            <w:shd w:val="clear" w:color="auto" w:fill="EAF1F4"/>
          </w:tcPr>
          <w:p>
            <w:pPr>
              <w:spacing w:after="50" w:before="50" w:line="252" w:lineRule="auto"/>
            </w:pPr>
            <w:r>
              <w:rPr>
                <w:b/>
                <w:sz w:val="17"/>
              </w:rPr>
              <w:t>Empirical research from own caseload</w:t>
            </w:r>
          </w:p>
        </w:tc>
        <w:tc>
          <w:tcPr>
            <w:tcW w:type="dxa" w:w="850"/>
            <w:shd w:val="clear" w:color="auto" w:fill="EAF1F4"/>
          </w:tcPr>
          <w:p>
            <w:pPr>
              <w:spacing w:after="50" w:before="50" w:line="252" w:lineRule="auto"/>
            </w:pPr>
            <w:r>
              <w:rPr>
                <w:sz w:val="17"/>
              </w:rPr>
              <w:t>Yes</w:t>
            </w:r>
          </w:p>
        </w:tc>
        <w:tc>
          <w:tcPr>
            <w:tcW w:type="dxa" w:w="4370"/>
            <w:shd w:val="clear" w:color="auto" w:fill="EAF1F4"/>
          </w:tcPr>
          <w:p>
            <w:pPr>
              <w:spacing w:after="50" w:before="50" w:line="252" w:lineRule="auto"/>
            </w:pPr>
            <w:r>
              <w:rPr>
                <w:sz w:val="17"/>
              </w:rPr>
              <w:t>Nobody publishes Indian mediation outcome data</w:t>
            </w:r>
          </w:p>
        </w:tc>
      </w:tr>
      <w:tr>
        <w:tc>
          <w:tcPr>
            <w:tcW w:type="dxa" w:w="4634"/>
          </w:tcPr>
          <w:p>
            <w:pPr>
              <w:spacing w:after="50" w:before="50" w:line="252" w:lineRule="auto"/>
            </w:pPr>
            <w:r>
              <w:rPr>
                <w:b/>
                <w:sz w:val="17"/>
              </w:rPr>
              <w:t>Management and commerce school offering</w:t>
            </w:r>
          </w:p>
        </w:tc>
        <w:tc>
          <w:tcPr>
            <w:tcW w:type="dxa" w:w="850"/>
          </w:tcPr>
          <w:p>
            <w:pPr>
              <w:spacing w:after="50" w:before="50" w:line="252" w:lineRule="auto"/>
            </w:pPr>
            <w:r>
              <w:rPr>
                <w:sz w:val="17"/>
              </w:rPr>
              <w:t>Yes</w:t>
            </w:r>
          </w:p>
        </w:tc>
        <w:tc>
          <w:tcPr>
            <w:tcW w:type="dxa" w:w="4370"/>
          </w:tcPr>
          <w:p>
            <w:pPr>
              <w:spacing w:after="50" w:before="50" w:line="252" w:lineRule="auto"/>
            </w:pPr>
            <w:r>
              <w:rPr>
                <w:b/>
                <w:sz w:val="17"/>
              </w:rPr>
              <w:t>Uncontested</w:t>
            </w:r>
          </w:p>
        </w:tc>
      </w:tr>
      <w:tr>
        <w:tc>
          <w:tcPr>
            <w:tcW w:type="dxa" w:w="4634"/>
            <w:shd w:val="clear" w:color="auto" w:fill="EAF1F4"/>
          </w:tcPr>
          <w:p>
            <w:pPr>
              <w:spacing w:after="50" w:before="50" w:line="252" w:lineRule="auto"/>
            </w:pPr>
            <w:r>
              <w:rPr>
                <w:b/>
                <w:sz w:val="17"/>
              </w:rPr>
              <w:t>National competition of its own</w:t>
            </w:r>
          </w:p>
        </w:tc>
        <w:tc>
          <w:tcPr>
            <w:tcW w:type="dxa" w:w="850"/>
            <w:shd w:val="clear" w:color="auto" w:fill="EAF1F4"/>
          </w:tcPr>
          <w:p>
            <w:pPr>
              <w:spacing w:after="50" w:before="50" w:line="252" w:lineRule="auto"/>
            </w:pPr>
            <w:r>
              <w:rPr>
                <w:sz w:val="17"/>
              </w:rPr>
              <w:t>Year 2</w:t>
            </w:r>
          </w:p>
        </w:tc>
        <w:tc>
          <w:tcPr>
            <w:tcW w:type="dxa" w:w="4370"/>
            <w:shd w:val="clear" w:color="auto" w:fill="EAF1F4"/>
          </w:tcPr>
          <w:p>
            <w:pPr>
              <w:spacing w:after="50" w:before="50" w:line="252" w:lineRule="auto"/>
            </w:pPr>
            <w:r>
              <w:rPr>
                <w:sz w:val="17"/>
              </w:rPr>
              <w:t>NLIU, NALSAR, Jamia, NMIMS, INADR are established</w:t>
            </w:r>
          </w:p>
        </w:tc>
      </w:tr>
      <w:tr>
        <w:tc>
          <w:tcPr>
            <w:tcW w:type="dxa" w:w="4634"/>
          </w:tcPr>
          <w:p>
            <w:pPr>
              <w:spacing w:after="50" w:before="50" w:line="252" w:lineRule="auto"/>
            </w:pPr>
            <w:r>
              <w:rPr>
                <w:b/>
                <w:sz w:val="17"/>
              </w:rPr>
              <w:t>Prestige and judicial patronage</w:t>
            </w:r>
          </w:p>
        </w:tc>
        <w:tc>
          <w:tcPr>
            <w:tcW w:type="dxa" w:w="850"/>
          </w:tcPr>
          <w:p>
            <w:pPr>
              <w:spacing w:after="50" w:before="50" w:line="252" w:lineRule="auto"/>
            </w:pPr>
            <w:r>
              <w:rPr>
                <w:sz w:val="17"/>
              </w:rPr>
              <w:t>No</w:t>
            </w:r>
          </w:p>
        </w:tc>
        <w:tc>
          <w:tcPr>
            <w:tcW w:type="dxa" w:w="4370"/>
          </w:tcPr>
          <w:p>
            <w:pPr>
              <w:spacing w:after="50" w:before="50" w:line="252" w:lineRule="auto"/>
            </w:pPr>
            <w:r>
              <w:rPr>
                <w:sz w:val="17"/>
              </w:rPr>
              <w:t>IAMC and court-annexed centres lead</w:t>
            </w:r>
          </w:p>
        </w:tc>
      </w:tr>
      <w:tr>
        <w:tc>
          <w:tcPr>
            <w:tcW w:type="dxa" w:w="4634"/>
            <w:shd w:val="clear" w:color="auto" w:fill="EAF1F4"/>
          </w:tcPr>
          <w:p>
            <w:pPr>
              <w:spacing w:after="50" w:before="50" w:line="252" w:lineRule="auto"/>
            </w:pPr>
            <w:r>
              <w:rPr>
                <w:b/>
                <w:sz w:val="17"/>
              </w:rPr>
              <w:t>International brand</w:t>
            </w:r>
          </w:p>
        </w:tc>
        <w:tc>
          <w:tcPr>
            <w:tcW w:type="dxa" w:w="850"/>
            <w:shd w:val="clear" w:color="auto" w:fill="EAF1F4"/>
          </w:tcPr>
          <w:p>
            <w:pPr>
              <w:spacing w:after="50" w:before="50" w:line="252" w:lineRule="auto"/>
            </w:pPr>
            <w:r>
              <w:rPr>
                <w:sz w:val="17"/>
              </w:rPr>
              <w:t>No</w:t>
            </w:r>
          </w:p>
        </w:tc>
        <w:tc>
          <w:tcPr>
            <w:tcW w:type="dxa" w:w="4370"/>
            <w:shd w:val="clear" w:color="auto" w:fill="EAF1F4"/>
          </w:tcPr>
          <w:p>
            <w:pPr>
              <w:spacing w:after="50" w:before="50" w:line="252" w:lineRule="auto"/>
            </w:pPr>
            <w:r>
              <w:rPr>
                <w:sz w:val="17"/>
              </w:rPr>
              <w:t>ADR ODR International, UC Law SF lead</w:t>
            </w:r>
          </w:p>
        </w:tc>
      </w:tr>
    </w:tbl>
    <w:p>
      <w:pPr>
        <w:spacing w:after="80" w:before="0"/>
      </w:pPr>
    </w:p>
    <w:p>
      <w:r>
        <w:rPr>
          <w:b/>
        </w:rPr>
        <w:t>The strategy that follows:</w:t>
      </w:r>
      <w:r>
        <w:t xml:space="preserve"> compete where the field is empty — advisory, coaching, management schools, sectoral depth, research — and buy prestige slowly through the competition circuit and publication rather than trying to purchase it at the outset.</w:t>
      </w:r>
    </w:p>
    <w:p>
      <w:pPr>
        <w:spacing w:before="80" w:after="160"/>
        <w:pBdr>
          <w:bottom w:val="single" w:sz="6" w:space="1" w:color="C9D6DE"/>
        </w:pBdr>
      </w:pPr>
    </w:p>
    <w:p>
      <w:pPr>
        <w:pStyle w:val="Heading1"/>
        <w:pBdr>
          <w:bottom w:val="single" w:sz="8" w:space="4" w:color="C9D6DE"/>
        </w:pBdr>
      </w:pPr>
      <w:r>
        <w:t>5. Watch 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156"/>
            <w:shd w:val="clear" w:color="auto" w:fill="10375C"/>
          </w:tcPr>
          <w:p>
            <w:pPr>
              <w:spacing w:after="50" w:before="50"/>
            </w:pPr>
            <w:r>
              <w:rPr>
                <w:b/>
                <w:color w:val="FFFFFF"/>
                <w:sz w:val="17"/>
              </w:rPr>
              <w:t>Signal</w:t>
            </w:r>
          </w:p>
        </w:tc>
        <w:tc>
          <w:tcPr>
            <w:tcW w:type="dxa" w:w="3156"/>
            <w:shd w:val="clear" w:color="auto" w:fill="10375C"/>
          </w:tcPr>
          <w:p>
            <w:pPr>
              <w:spacing w:after="50" w:before="50"/>
            </w:pPr>
            <w:r>
              <w:rPr>
                <w:b/>
                <w:color w:val="FFFFFF"/>
                <w:sz w:val="17"/>
              </w:rPr>
              <w:t>What it would mean</w:t>
            </w:r>
          </w:p>
        </w:tc>
        <w:tc>
          <w:tcPr>
            <w:tcW w:type="dxa" w:w="3156"/>
            <w:shd w:val="clear" w:color="auto" w:fill="10375C"/>
          </w:tcPr>
          <w:p>
            <w:pPr>
              <w:spacing w:after="50" w:before="50"/>
            </w:pPr>
            <w:r>
              <w:rPr>
                <w:b/>
                <w:color w:val="FFFFFF"/>
                <w:sz w:val="17"/>
              </w:rPr>
              <w:t>Response</w:t>
            </w:r>
          </w:p>
        </w:tc>
      </w:tr>
      <w:tr>
        <w:tc>
          <w:tcPr>
            <w:tcW w:type="dxa" w:w="3156"/>
          </w:tcPr>
          <w:p>
            <w:pPr>
              <w:spacing w:after="50" w:before="50" w:line="252" w:lineRule="auto"/>
            </w:pPr>
            <w:r>
              <w:rPr>
                <w:sz w:val="17"/>
              </w:rPr>
              <w:t>Mediation Council of India constituted and standards notified</w:t>
            </w:r>
          </w:p>
        </w:tc>
        <w:tc>
          <w:tcPr>
            <w:tcW w:type="dxa" w:w="3156"/>
          </w:tcPr>
          <w:p>
            <w:pPr>
              <w:spacing w:after="50" w:before="50" w:line="252" w:lineRule="auto"/>
            </w:pPr>
            <w:r>
              <w:rPr>
                <w:sz w:val="17"/>
              </w:rPr>
              <w:t>The accreditation vacuum closes; first-mover advantage crystallises or evaporates</w:t>
            </w:r>
          </w:p>
        </w:tc>
        <w:tc>
          <w:tcPr>
            <w:tcW w:type="dxa" w:w="3156"/>
          </w:tcPr>
          <w:p>
            <w:pPr>
              <w:spacing w:after="50" w:before="50" w:line="252" w:lineRule="auto"/>
            </w:pPr>
            <w:r>
              <w:rPr>
                <w:sz w:val="17"/>
              </w:rPr>
              <w:t>Immediate curriculum re-mapping; apply for recognition on day one</w:t>
            </w:r>
          </w:p>
        </w:tc>
      </w:tr>
      <w:tr>
        <w:tc>
          <w:tcPr>
            <w:tcW w:type="dxa" w:w="3156"/>
            <w:shd w:val="clear" w:color="auto" w:fill="EAF1F4"/>
          </w:tcPr>
          <w:p>
            <w:pPr>
              <w:spacing w:after="50" w:before="50" w:line="252" w:lineRule="auto"/>
            </w:pPr>
            <w:r>
              <w:rPr>
                <w:sz w:val="17"/>
              </w:rPr>
              <w:t>A competitor launches an institutional advisory offering for SGRC or POSH</w:t>
            </w:r>
          </w:p>
        </w:tc>
        <w:tc>
          <w:tcPr>
            <w:tcW w:type="dxa" w:w="3156"/>
            <w:shd w:val="clear" w:color="auto" w:fill="EAF1F4"/>
          </w:tcPr>
          <w:p>
            <w:pPr>
              <w:spacing w:after="50" w:before="50" w:line="252" w:lineRule="auto"/>
            </w:pPr>
            <w:r>
              <w:rPr>
                <w:sz w:val="17"/>
              </w:rPr>
              <w:t>Equator's best line becomes contested</w:t>
            </w:r>
          </w:p>
        </w:tc>
        <w:tc>
          <w:tcPr>
            <w:tcW w:type="dxa" w:w="3156"/>
            <w:shd w:val="clear" w:color="auto" w:fill="EAF1F4"/>
          </w:tcPr>
          <w:p>
            <w:pPr>
              <w:spacing w:after="50" w:before="50" w:line="252" w:lineRule="auto"/>
            </w:pPr>
            <w:r>
              <w:rPr>
                <w:sz w:val="17"/>
              </w:rPr>
              <w:t>Accelerate; sign retainers on multi-year terms</w:t>
            </w:r>
          </w:p>
        </w:tc>
      </w:tr>
      <w:tr>
        <w:tc>
          <w:tcPr>
            <w:tcW w:type="dxa" w:w="3156"/>
          </w:tcPr>
          <w:p>
            <w:pPr>
              <w:spacing w:after="50" w:before="50" w:line="252" w:lineRule="auto"/>
            </w:pPr>
            <w:r>
              <w:rPr>
                <w:sz w:val="17"/>
              </w:rPr>
              <w:t>A competitor launches coaching for the international circuit</w:t>
            </w:r>
          </w:p>
        </w:tc>
        <w:tc>
          <w:tcPr>
            <w:tcW w:type="dxa" w:w="3156"/>
          </w:tcPr>
          <w:p>
            <w:pPr>
              <w:spacing w:after="50" w:before="50" w:line="252" w:lineRule="auto"/>
            </w:pPr>
            <w:r>
              <w:rPr>
                <w:sz w:val="17"/>
              </w:rPr>
              <w:t>The highest-margin line becomes contested</w:t>
            </w:r>
          </w:p>
        </w:tc>
        <w:tc>
          <w:tcPr>
            <w:tcW w:type="dxa" w:w="3156"/>
          </w:tcPr>
          <w:p>
            <w:pPr>
              <w:spacing w:after="50" w:before="50" w:line="252" w:lineRule="auto"/>
            </w:pPr>
            <w:r>
              <w:rPr>
                <w:sz w:val="17"/>
              </w:rPr>
              <w:t>Lock in institutions with multi-season agreements</w:t>
            </w:r>
          </w:p>
        </w:tc>
      </w:tr>
      <w:tr>
        <w:tc>
          <w:tcPr>
            <w:tcW w:type="dxa" w:w="3156"/>
            <w:shd w:val="clear" w:color="auto" w:fill="EAF1F4"/>
          </w:tcPr>
          <w:p>
            <w:pPr>
              <w:spacing w:after="50" w:before="50" w:line="252" w:lineRule="auto"/>
            </w:pPr>
            <w:r>
              <w:rPr>
                <w:sz w:val="17"/>
              </w:rPr>
              <w:t>A large training company or edtech enters ADR</w:t>
            </w:r>
          </w:p>
        </w:tc>
        <w:tc>
          <w:tcPr>
            <w:tcW w:type="dxa" w:w="3156"/>
            <w:shd w:val="clear" w:color="auto" w:fill="EAF1F4"/>
          </w:tcPr>
          <w:p>
            <w:pPr>
              <w:spacing w:after="50" w:before="50" w:line="252" w:lineRule="auto"/>
            </w:pPr>
            <w:r>
              <w:rPr>
                <w:sz w:val="17"/>
              </w:rPr>
              <w:t>Price pressure at the student end</w:t>
            </w:r>
          </w:p>
        </w:tc>
        <w:tc>
          <w:tcPr>
            <w:tcW w:type="dxa" w:w="3156"/>
            <w:shd w:val="clear" w:color="auto" w:fill="EAF1F4"/>
          </w:tcPr>
          <w:p>
            <w:pPr>
              <w:spacing w:after="50" w:before="50" w:line="252" w:lineRule="auto"/>
            </w:pPr>
            <w:r>
              <w:rPr>
                <w:sz w:val="17"/>
              </w:rPr>
              <w:t>Retreat to advisory, coaching and licensing; do not fight on student pricing</w:t>
            </w:r>
          </w:p>
        </w:tc>
      </w:tr>
      <w:tr>
        <w:tc>
          <w:tcPr>
            <w:tcW w:type="dxa" w:w="3156"/>
          </w:tcPr>
          <w:p>
            <w:pPr>
              <w:spacing w:after="50" w:before="50" w:line="252" w:lineRule="auto"/>
            </w:pPr>
            <w:r>
              <w:rPr>
                <w:sz w:val="17"/>
              </w:rPr>
              <w:t>An NLU establishes a commercial training arm</w:t>
            </w:r>
          </w:p>
        </w:tc>
        <w:tc>
          <w:tcPr>
            <w:tcW w:type="dxa" w:w="3156"/>
          </w:tcPr>
          <w:p>
            <w:pPr>
              <w:spacing w:after="50" w:before="50" w:line="252" w:lineRule="auto"/>
            </w:pPr>
            <w:r>
              <w:rPr>
                <w:sz w:val="17"/>
              </w:rPr>
              <w:t>New competitor with institutional credibility</w:t>
            </w:r>
          </w:p>
        </w:tc>
        <w:tc>
          <w:tcPr>
            <w:tcW w:type="dxa" w:w="3156"/>
          </w:tcPr>
          <w:p>
            <w:pPr>
              <w:spacing w:after="50" w:before="50" w:line="252" w:lineRule="auto"/>
            </w:pPr>
            <w:r>
              <w:rPr>
                <w:sz w:val="17"/>
              </w:rPr>
              <w:t>Partner rather than compete; offer to deliver for them</w:t>
            </w:r>
          </w:p>
        </w:tc>
      </w:tr>
    </w:tbl>
    <w:p>
      <w:pPr>
        <w:spacing w:after="80" w:before="0"/>
      </w:pPr>
    </w:p>
    <w:p>
      <w:r>
        <w:t>Review quarterly. Update the table at section 1 whenever a new MoU is announced, and record the source.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Competitive Landscape &amp; Battlecards</w:t>
    </w:r>
    <w:r>
      <w:rPr>
        <w:rFonts w:ascii="Calibri" w:hAnsi="Calibri"/>
        <w:color w:val="595959"/>
        <w:sz w:val="16"/>
      </w:rPr>
      <w:tab/>
      <w:t>Confidential — Internal (Strictly). Not for external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055181-1D41-4692-887E-11A0AE439642}"/>
</file>

<file path=customXml/itemProps3.xml><?xml version="1.0" encoding="utf-8"?>
<ds:datastoreItem xmlns:ds="http://schemas.openxmlformats.org/officeDocument/2006/customXml" ds:itemID="{4E1BC68F-9251-47E5-B721-06115E5C992B}"/>
</file>

<file path=customXml/itemProps4.xml><?xml version="1.0" encoding="utf-8"?>
<ds:datastoreItem xmlns:ds="http://schemas.openxmlformats.org/officeDocument/2006/customXml" ds:itemID="{0237D887-BA7C-4C3D-9D33-C5ADD751BD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