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Partnership Proposal &amp; Concept Note</w:t>
      </w:r>
    </w:p>
    <w:p>
      <w:pPr>
        <w:spacing w:after="280" w:line="276" w:lineRule="auto"/>
      </w:pPr>
      <w:r>
        <w:rPr>
          <w:rFonts w:ascii="Calibri" w:hAnsi="Calibri"/>
          <w:i/>
          <w:color w:val="3E6B8A"/>
          <w:sz w:val="25"/>
        </w:rPr>
        <w:t>The master proposal document, structured for completion per institution, with tier variants and an accreditation-evidence annexure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EQ-UAP-022</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Outreach</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Draft for institution [●]</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Drafting note — remove before issue</w:t>
      </w:r>
    </w:p>
    <w:p>
      <w:r>
        <w:t xml:space="preserve">This is the master proposal. Complete every </w:t>
      </w:r>
      <w:r>
        <w:rPr>
          <w:b/>
        </w:rPr>
        <w:t>[●]</w:t>
      </w:r>
      <w:r>
        <w:t>, delete the tier sections that do not apply, and delete this page.</w:t>
      </w:r>
    </w:p>
    <w:p>
      <w:r>
        <w:rPr>
          <w:b/>
        </w:rPr>
        <w:t>Rules.</w:t>
      </w:r>
      <w:r>
        <w:t xml:space="preserve"> Lead with the institution's problem, not Equator's catalogue. Never quote a figure that is not on the current rate card. Never state a GST position until open item U1 is cleared. Do not use the words </w:t>
      </w:r>
      <w:r>
        <w:rPr>
          <w:i/>
        </w:rPr>
        <w:t>accredited</w:t>
      </w:r>
      <w:r>
        <w:t xml:space="preserve">, </w:t>
      </w:r>
      <w:r>
        <w:rPr>
          <w:i/>
        </w:rPr>
        <w:t>recognised</w:t>
      </w:r>
      <w:r>
        <w:t xml:space="preserve"> or </w:t>
      </w:r>
      <w:r>
        <w:rPr>
          <w:i/>
        </w:rPr>
        <w:t>approved</w:t>
      </w:r>
      <w:r>
        <w:t xml:space="preserve"> in relation to Equator certification. Length: 8 to 14 pages including annexures. Issue as PDF with the Capability Statement (02.3).</w:t>
      </w:r>
    </w:p>
    <w:p>
      <w:pPr>
        <w:spacing w:before="80" w:after="160"/>
        <w:pBdr>
          <w:bottom w:val="single" w:sz="6" w:space="1" w:color="C9D6DE"/>
        </w:pBdr>
      </w:pPr>
    </w:p>
    <w:p>
      <w:r>
        <w:br w:type="page"/>
      </w:r>
    </w:p>
    <w:p>
      <w:pPr>
        <w:pStyle w:val="Heading1"/>
        <w:pBdr>
          <w:bottom w:val="single" w:sz="8" w:space="4" w:color="C9D6DE"/>
        </w:pBdr>
      </w:pPr>
      <w:r>
        <w:t>1. Purpose of this proposal</w:t>
      </w:r>
    </w:p>
    <w:p>
      <w:r>
        <w:t xml:space="preserve">This proposal sets out a collaboration between </w:t>
      </w:r>
      <w:r>
        <w:rPr>
          <w:b/>
        </w:rPr>
        <w:t>[●] University</w:t>
      </w:r>
      <w:r>
        <w:t xml:space="preserve"> and </w:t>
      </w:r>
      <w:r>
        <w:rPr>
          <w:b/>
        </w:rPr>
        <w:t>Equator ADR Institute</w:t>
      </w:r>
      <w:r>
        <w:t>, the academic and training arm of Equator Resolution.</w:t>
      </w:r>
    </w:p>
    <w:p>
      <w:r>
        <w:t>It is a proposal, not an offer. Nothing in it binds either institution. If its direction is acceptable, we would propose to record the collaboration in a Memorandum of Understanding in our standard institutional form, with schedules tailored to the activities the University wishes to undertake.</w:t>
      </w:r>
    </w:p>
    <w:p>
      <w:pPr>
        <w:spacing w:before="80" w:after="160"/>
        <w:pBdr>
          <w:bottom w:val="single" w:sz="6" w:space="1" w:color="C9D6DE"/>
        </w:pBdr>
      </w:pPr>
    </w:p>
    <w:p>
      <w:pPr>
        <w:pStyle w:val="Heading1"/>
        <w:pBdr>
          <w:bottom w:val="single" w:sz="8" w:space="4" w:color="C9D6DE"/>
        </w:pBdr>
      </w:pPr>
      <w:r>
        <w:t>2. What we understand of the University's priorities</w:t>
      </w:r>
    </w:p>
    <w:p>
      <w:r>
        <w:rPr>
          <w:i/>
        </w:rPr>
        <w:t>Completed from the discovery discussion. This section is the most important in the document and must be specific.</w:t>
      </w:r>
    </w:p>
    <w:p>
      <w:r>
        <w:t>From our discussions with [●] on [●], we understand the University's priorities to include:</w:t>
      </w:r>
    </w:p>
    <w:p>
      <w:pPr>
        <w:pStyle w:val="ListNumber"/>
      </w:pPr>
      <w:r>
        <w:rPr>
          <w:b/>
          <w:sz w:val="21"/>
        </w:rPr>
        <w:t>[●]</w:t>
      </w:r>
    </w:p>
    <w:p>
      <w:pPr>
        <w:pStyle w:val="ListNumber"/>
      </w:pPr>
      <w:r>
        <w:rPr>
          <w:b/>
          <w:sz w:val="21"/>
        </w:rPr>
        <w:t>[●]</w:t>
      </w:r>
    </w:p>
    <w:p>
      <w:pPr>
        <w:pStyle w:val="ListNumber"/>
      </w:pPr>
      <w:r>
        <w:rPr>
          <w:b/>
          <w:sz w:val="21"/>
        </w:rPr>
        <w:t>[●]</w:t>
      </w:r>
    </w:p>
    <w:p>
      <w:r>
        <w:t>We have built the proposal around these rather than around a standard offering.</w:t>
      </w:r>
    </w:p>
    <w:p>
      <w:pPr>
        <w:spacing w:before="80" w:after="160"/>
        <w:pBdr>
          <w:bottom w:val="single" w:sz="6" w:space="1" w:color="C9D6DE"/>
        </w:pBdr>
      </w:pPr>
    </w:p>
    <w:p>
      <w:pPr>
        <w:pStyle w:val="Heading1"/>
        <w:pBdr>
          <w:bottom w:val="single" w:sz="8" w:space="4" w:color="C9D6DE"/>
        </w:pBdr>
      </w:pPr>
      <w:r>
        <w:t>3. Three institutional requirements this collaboration helps discharge</w:t>
      </w:r>
    </w:p>
    <w:p>
      <w:pPr>
        <w:pStyle w:val="Heading2"/>
      </w:pPr>
      <w:r>
        <w:t>3.1 Internship-embedded degree programmes</w:t>
      </w:r>
    </w:p>
    <w:p>
      <w:r>
        <w:t>University Grants Commission guidance requires that undergraduate programmes carry a substantial internship or apprenticeship component — for a 132-credit undergraduate degree, at least 20% of total programme credits — and that an institution offering such a programme enter into a memorandum of understanding with a discipline-specific organisation to provide it. Credits are included in the total programme credits, and the final mark sheet reflects performance in the internship, evaluated with the assistance of the host organisation.</w:t>
      </w:r>
    </w:p>
    <w:p>
      <w:r>
        <w:rPr>
          <w:b/>
        </w:rPr>
        <w:t>What we offer.</w:t>
      </w:r>
      <w:r>
        <w:t xml:space="preserve"> A structured, assessable internship programme with defined learning outcomes, named supervision, an attendance regime, a written evaluation instrument and a completion certificate in a form designed to support the University's credit award. Schedule A to the Memorandum is drafted to give the University what its own compliance file requires.</w:t>
      </w:r>
    </w:p>
    <w:p>
      <w:pPr>
        <w:pStyle w:val="Heading2"/>
      </w:pPr>
      <w:r>
        <w:t>3.2 Student grievance redressal</w:t>
      </w:r>
    </w:p>
    <w:p>
      <w:r>
        <w:t>The University Grants Commission (Redressal of Grievances of Students) Regulations, 2023 require every institution to constitute Students' Grievance Redressal Committees and to appoint an Ombudsperson, with prescribed composition, to hear grievances relating to admissions, fees, examinations, scholarships, harassment and allied matters.</w:t>
      </w:r>
    </w:p>
    <w:p>
      <w:r>
        <w:rPr>
          <w:b/>
        </w:rPr>
        <w:t>What we offer.</w:t>
      </w:r>
      <w:r>
        <w:t xml:space="preserve"> Process design, documentation, training of committee members, and — where the University wishes — supply of trained external neutrals. This is dispute resolution work, and it is what we do.</w:t>
      </w:r>
    </w:p>
    <w:p>
      <w:pPr>
        <w:pStyle w:val="Heading2"/>
      </w:pPr>
      <w:r>
        <w:t>3.3 Prevention of sexual harassment</w:t>
      </w:r>
    </w:p>
    <w:p>
      <w:r>
        <w:t>The Sexual Harassment of Women at Workplace (Prevention, Prohibition and Redressal) Act, 2013 requires an Internal Committee including an external member.</w:t>
      </w:r>
    </w:p>
    <w:p>
      <w:r>
        <w:rPr>
          <w:b/>
        </w:rPr>
        <w:t>What we offer.</w:t>
      </w:r>
      <w:r>
        <w:t xml:space="preserve"> Internal Committee training, procedural documentation and inquiry-skills workshops, and the supply of an external member where required.</w:t>
      </w:r>
    </w:p>
    <w:p>
      <w:pPr>
        <w:spacing w:before="80" w:after="160"/>
        <w:pBdr>
          <w:bottom w:val="single" w:sz="6" w:space="1" w:color="C9D6DE"/>
        </w:pBdr>
      </w:pPr>
    </w:p>
    <w:p>
      <w:pPr>
        <w:pStyle w:val="Heading1"/>
        <w:pBdr>
          <w:bottom w:val="single" w:sz="8" w:space="4" w:color="C9D6DE"/>
        </w:pBdr>
      </w:pPr>
      <w:r>
        <w:t>4. What we propose to do together</w:t>
      </w:r>
    </w:p>
    <w:p>
      <w:r>
        <w:rPr>
          <w:i/>
        </w:rPr>
        <w:t>Delete the sections that do not apply to the tier proposed.</w:t>
      </w:r>
    </w:p>
    <w:p>
      <w:pPr>
        <w:pStyle w:val="Heading2"/>
      </w:pPr>
      <w:r>
        <w:t>4.1 For students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956"/>
            <w:shd w:val="clear" w:color="auto" w:fill="10375C"/>
          </w:tcPr>
          <w:p>
            <w:pPr>
              <w:spacing w:after="50" w:before="50"/>
            </w:pPr>
            <w:r>
              <w:rPr>
                <w:b/>
                <w:color w:val="FFFFFF"/>
                <w:sz w:val="17"/>
              </w:rPr>
              <w:t>Activity</w:t>
            </w:r>
          </w:p>
        </w:tc>
        <w:tc>
          <w:tcPr>
            <w:tcW w:type="dxa" w:w="4551"/>
            <w:shd w:val="clear" w:color="auto" w:fill="10375C"/>
          </w:tcPr>
          <w:p>
            <w:pPr>
              <w:spacing w:after="50" w:before="50"/>
            </w:pPr>
            <w:r>
              <w:rPr>
                <w:b/>
                <w:color w:val="FFFFFF"/>
                <w:sz w:val="17"/>
              </w:rPr>
              <w:t>Description</w:t>
            </w:r>
          </w:p>
        </w:tc>
        <w:tc>
          <w:tcPr>
            <w:tcW w:type="dxa" w:w="1218"/>
            <w:shd w:val="clear" w:color="auto" w:fill="10375C"/>
          </w:tcPr>
          <w:p>
            <w:pPr>
              <w:spacing w:after="50" w:before="50"/>
            </w:pPr>
            <w:r>
              <w:rPr>
                <w:b/>
                <w:color w:val="FFFFFF"/>
                <w:sz w:val="17"/>
              </w:rPr>
              <w:t>Frequency</w:t>
            </w:r>
          </w:p>
        </w:tc>
        <w:tc>
          <w:tcPr>
            <w:tcW w:type="dxa" w:w="850"/>
            <w:shd w:val="clear" w:color="auto" w:fill="10375C"/>
          </w:tcPr>
          <w:p>
            <w:pPr>
              <w:spacing w:after="50" w:before="50"/>
            </w:pPr>
            <w:r>
              <w:rPr>
                <w:b/>
                <w:color w:val="FFFFFF"/>
                <w:sz w:val="17"/>
              </w:rPr>
              <w:t>Commercial basis</w:t>
            </w:r>
          </w:p>
        </w:tc>
      </w:tr>
      <w:tr>
        <w:tc>
          <w:tcPr>
            <w:tcW w:type="dxa" w:w="2956"/>
          </w:tcPr>
          <w:p>
            <w:pPr>
              <w:spacing w:after="50" w:before="50" w:line="252" w:lineRule="auto"/>
            </w:pPr>
            <w:r>
              <w:rPr>
                <w:b/>
                <w:sz w:val="17"/>
              </w:rPr>
              <w:t>Certificate course in mediation</w:t>
            </w:r>
          </w:p>
        </w:tc>
        <w:tc>
          <w:tcPr>
            <w:tcW w:type="dxa" w:w="4551"/>
          </w:tcPr>
          <w:p>
            <w:pPr>
              <w:spacing w:after="50" w:before="50" w:line="252" w:lineRule="auto"/>
            </w:pPr>
            <w:r>
              <w:rPr>
                <w:sz w:val="17"/>
              </w:rPr>
              <w:t>40-hour basic programme, structured on the model used by court-annexed centres, delivered on campus, with assessment and certification. Capable of being mapped to academic credit.</w:t>
            </w:r>
          </w:p>
        </w:tc>
        <w:tc>
          <w:tcPr>
            <w:tcW w:type="dxa" w:w="1218"/>
          </w:tcPr>
          <w:p>
            <w:pPr>
              <w:spacing w:after="50" w:before="50" w:line="252" w:lineRule="auto"/>
            </w:pPr>
            <w:r>
              <w:rPr>
                <w:sz w:val="17"/>
              </w:rPr>
              <w:t>[●] cohorts per year</w:t>
            </w:r>
          </w:p>
        </w:tc>
        <w:tc>
          <w:tcPr>
            <w:tcW w:type="dxa" w:w="850"/>
          </w:tcPr>
          <w:p>
            <w:pPr>
              <w:spacing w:after="50" w:before="50" w:line="252" w:lineRule="auto"/>
            </w:pPr>
            <w:r>
              <w:rPr>
                <w:sz w:val="17"/>
              </w:rPr>
              <w:t>[●]</w:t>
            </w:r>
          </w:p>
        </w:tc>
      </w:tr>
      <w:tr>
        <w:tc>
          <w:tcPr>
            <w:tcW w:type="dxa" w:w="2956"/>
            <w:shd w:val="clear" w:color="auto" w:fill="EAF1F4"/>
          </w:tcPr>
          <w:p>
            <w:pPr>
              <w:spacing w:after="50" w:before="50" w:line="252" w:lineRule="auto"/>
            </w:pPr>
            <w:r>
              <w:rPr>
                <w:b/>
                <w:sz w:val="17"/>
              </w:rPr>
              <w:t>Advanced module</w:t>
            </w:r>
          </w:p>
        </w:tc>
        <w:tc>
          <w:tcPr>
            <w:tcW w:type="dxa" w:w="4551"/>
            <w:shd w:val="clear" w:color="auto" w:fill="EAF1F4"/>
          </w:tcPr>
          <w:p>
            <w:pPr>
              <w:spacing w:after="50" w:before="50" w:line="252" w:lineRule="auto"/>
            </w:pPr>
            <w:r>
              <w:rPr>
                <w:sz w:val="17"/>
              </w:rPr>
              <w:t>20-hour advanced programme for participants who have completed the basic course and the required supervised practice</w:t>
            </w:r>
          </w:p>
        </w:tc>
        <w:tc>
          <w:tcPr>
            <w:tcW w:type="dxa" w:w="1218"/>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2956"/>
          </w:tcPr>
          <w:p>
            <w:pPr>
              <w:spacing w:after="50" w:before="50" w:line="252" w:lineRule="auto"/>
            </w:pPr>
            <w:r>
              <w:rPr>
                <w:b/>
                <w:sz w:val="17"/>
              </w:rPr>
              <w:t>Mediation advocacy workshop</w:t>
            </w:r>
          </w:p>
        </w:tc>
        <w:tc>
          <w:tcPr>
            <w:tcW w:type="dxa" w:w="4551"/>
          </w:tcPr>
          <w:p>
            <w:pPr>
              <w:spacing w:after="50" w:before="50" w:line="252" w:lineRule="auto"/>
            </w:pPr>
            <w:r>
              <w:rPr>
                <w:sz w:val="17"/>
              </w:rPr>
              <w:t xml:space="preserve">Representing a party </w:t>
            </w:r>
            <w:r>
              <w:rPr>
                <w:i/>
                <w:sz w:val="17"/>
              </w:rPr>
              <w:t>in</w:t>
            </w:r>
            <w:r>
              <w:rPr>
                <w:sz w:val="17"/>
              </w:rPr>
              <w:t xml:space="preserve"> a mediation — the skill Indian legal education does not teach</w:t>
            </w:r>
          </w:p>
        </w:tc>
        <w:tc>
          <w:tcPr>
            <w:tcW w:type="dxa" w:w="1218"/>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2956"/>
            <w:shd w:val="clear" w:color="auto" w:fill="EAF1F4"/>
          </w:tcPr>
          <w:p>
            <w:pPr>
              <w:spacing w:after="50" w:before="50" w:line="252" w:lineRule="auto"/>
            </w:pPr>
            <w:r>
              <w:rPr>
                <w:b/>
                <w:sz w:val="17"/>
              </w:rPr>
              <w:t>Negotiation laboratory</w:t>
            </w:r>
          </w:p>
        </w:tc>
        <w:tc>
          <w:tcPr>
            <w:tcW w:type="dxa" w:w="4551"/>
            <w:shd w:val="clear" w:color="auto" w:fill="EAF1F4"/>
          </w:tcPr>
          <w:p>
            <w:pPr>
              <w:spacing w:after="50" w:before="50" w:line="252" w:lineRule="auto"/>
            </w:pPr>
            <w:r>
              <w:rPr>
                <w:sz w:val="17"/>
              </w:rPr>
              <w:t>Interest-based negotiation, BATNA and ZOPA analysis, multi-issue bargaining, simulation-led</w:t>
            </w:r>
          </w:p>
        </w:tc>
        <w:tc>
          <w:tcPr>
            <w:tcW w:type="dxa" w:w="1218"/>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2956"/>
          </w:tcPr>
          <w:p>
            <w:pPr>
              <w:spacing w:after="50" w:before="50" w:line="252" w:lineRule="auto"/>
            </w:pPr>
            <w:r>
              <w:rPr>
                <w:b/>
                <w:sz w:val="17"/>
              </w:rPr>
              <w:t>Drafting clinic</w:t>
            </w:r>
          </w:p>
        </w:tc>
        <w:tc>
          <w:tcPr>
            <w:tcW w:type="dxa" w:w="4551"/>
          </w:tcPr>
          <w:p>
            <w:pPr>
              <w:spacing w:after="50" w:before="50" w:line="252" w:lineRule="auto"/>
            </w:pPr>
            <w:r>
              <w:rPr>
                <w:sz w:val="17"/>
              </w:rPr>
              <w:t>Settlement agreements, mediation clauses, multi-tier and med-arb clauses</w:t>
            </w:r>
          </w:p>
        </w:tc>
        <w:tc>
          <w:tcPr>
            <w:tcW w:type="dxa" w:w="1218"/>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2956"/>
            <w:shd w:val="clear" w:color="auto" w:fill="EAF1F4"/>
          </w:tcPr>
          <w:p>
            <w:pPr>
              <w:spacing w:after="50" w:before="50" w:line="252" w:lineRule="auto"/>
            </w:pPr>
            <w:r>
              <w:rPr>
                <w:b/>
                <w:sz w:val="17"/>
              </w:rPr>
              <w:t>Arbitration workshop series</w:t>
            </w:r>
          </w:p>
        </w:tc>
        <w:tc>
          <w:tcPr>
            <w:tcW w:type="dxa" w:w="4551"/>
            <w:shd w:val="clear" w:color="auto" w:fill="EAF1F4"/>
          </w:tcPr>
          <w:p>
            <w:pPr>
              <w:spacing w:after="50" w:before="50" w:line="252" w:lineRule="auto"/>
            </w:pPr>
            <w:r>
              <w:rPr>
                <w:sz w:val="17"/>
              </w:rPr>
              <w:t>Clause drafting, pleadings, document production, examination</w:t>
            </w:r>
          </w:p>
        </w:tc>
        <w:tc>
          <w:tcPr>
            <w:tcW w:type="dxa" w:w="1218"/>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2956"/>
          </w:tcPr>
          <w:p>
            <w:pPr>
              <w:spacing w:after="50" w:before="50" w:line="252" w:lineRule="auto"/>
            </w:pPr>
            <w:r>
              <w:rPr>
                <w:b/>
                <w:sz w:val="17"/>
              </w:rPr>
              <w:t>Campus Mediation Cell</w:t>
            </w:r>
          </w:p>
        </w:tc>
        <w:tc>
          <w:tcPr>
            <w:tcW w:type="dxa" w:w="4551"/>
          </w:tcPr>
          <w:p>
            <w:pPr>
              <w:spacing w:after="50" w:before="50" w:line="252" w:lineRule="auto"/>
            </w:pPr>
            <w:r>
              <w:rPr>
                <w:sz w:val="17"/>
              </w:rPr>
              <w:t>Trained student mediators handling peer, hostel and society disputes under Equator supervision</w:t>
            </w:r>
          </w:p>
        </w:tc>
        <w:tc>
          <w:tcPr>
            <w:tcW w:type="dxa" w:w="1218"/>
          </w:tcPr>
          <w:p>
            <w:pPr>
              <w:spacing w:after="50" w:before="50" w:line="252" w:lineRule="auto"/>
            </w:pPr>
            <w:r>
              <w:rPr>
                <w:sz w:val="17"/>
              </w:rPr>
              <w:t>Continuous</w:t>
            </w:r>
          </w:p>
        </w:tc>
        <w:tc>
          <w:tcPr>
            <w:tcW w:type="dxa" w:w="850"/>
          </w:tcPr>
          <w:p>
            <w:pPr>
              <w:spacing w:after="50" w:before="50" w:line="252" w:lineRule="auto"/>
            </w:pPr>
            <w:r>
              <w:rPr>
                <w:sz w:val="17"/>
              </w:rPr>
              <w:t>[●]</w:t>
            </w:r>
          </w:p>
        </w:tc>
      </w:tr>
      <w:tr>
        <w:tc>
          <w:tcPr>
            <w:tcW w:type="dxa" w:w="2956"/>
            <w:shd w:val="clear" w:color="auto" w:fill="EAF1F4"/>
          </w:tcPr>
          <w:p>
            <w:pPr>
              <w:spacing w:after="50" w:before="50" w:line="252" w:lineRule="auto"/>
            </w:pPr>
            <w:r>
              <w:rPr>
                <w:b/>
                <w:sz w:val="17"/>
              </w:rPr>
              <w:t>Internships</w:t>
            </w:r>
          </w:p>
        </w:tc>
        <w:tc>
          <w:tcPr>
            <w:tcW w:type="dxa" w:w="4551"/>
            <w:shd w:val="clear" w:color="auto" w:fill="EAF1F4"/>
          </w:tcPr>
          <w:p>
            <w:pPr>
              <w:spacing w:after="50" w:before="50" w:line="252" w:lineRule="auto"/>
            </w:pPr>
            <w:r>
              <w:rPr>
                <w:sz w:val="17"/>
              </w:rPr>
              <w:t>Structured ladder — observership, case support, advanced placement</w:t>
            </w:r>
          </w:p>
        </w:tc>
        <w:tc>
          <w:tcPr>
            <w:tcW w:type="dxa" w:w="1218"/>
            <w:shd w:val="clear" w:color="auto" w:fill="EAF1F4"/>
          </w:tcPr>
          <w:p>
            <w:pPr>
              <w:spacing w:after="50" w:before="50" w:line="252" w:lineRule="auto"/>
            </w:pPr>
            <w:r>
              <w:rPr>
                <w:sz w:val="17"/>
              </w:rPr>
              <w:t>[●] students per cycle</w:t>
            </w:r>
          </w:p>
        </w:tc>
        <w:tc>
          <w:tcPr>
            <w:tcW w:type="dxa" w:w="850"/>
            <w:shd w:val="clear" w:color="auto" w:fill="EAF1F4"/>
          </w:tcPr>
          <w:p>
            <w:pPr>
              <w:spacing w:after="50" w:before="50" w:line="252" w:lineRule="auto"/>
            </w:pPr>
            <w:r>
              <w:rPr>
                <w:sz w:val="17"/>
              </w:rPr>
              <w:t>[●]</w:t>
            </w:r>
          </w:p>
        </w:tc>
      </w:tr>
      <w:tr>
        <w:tc>
          <w:tcPr>
            <w:tcW w:type="dxa" w:w="2956"/>
          </w:tcPr>
          <w:p>
            <w:pPr>
              <w:spacing w:after="50" w:before="50" w:line="252" w:lineRule="auto"/>
            </w:pPr>
            <w:r>
              <w:rPr>
                <w:b/>
                <w:sz w:val="17"/>
              </w:rPr>
              <w:t>Competitions</w:t>
            </w:r>
          </w:p>
        </w:tc>
        <w:tc>
          <w:tcPr>
            <w:tcW w:type="dxa" w:w="4551"/>
          </w:tcPr>
          <w:p>
            <w:pPr>
              <w:spacing w:after="50" w:before="50" w:line="252" w:lineRule="auto"/>
            </w:pPr>
            <w:r>
              <w:rPr>
                <w:sz w:val="17"/>
              </w:rPr>
              <w:t>Participation; intra-university selection rounds; a regional or national round hosted here</w:t>
            </w:r>
          </w:p>
        </w:tc>
        <w:tc>
          <w:tcPr>
            <w:tcW w:type="dxa" w:w="1218"/>
          </w:tcPr>
          <w:p>
            <w:pPr>
              <w:spacing w:after="50" w:before="50" w:line="252" w:lineRule="auto"/>
            </w:pPr>
            <w:r>
              <w:rPr>
                <w:sz w:val="17"/>
              </w:rPr>
              <w:t>Annual</w:t>
            </w:r>
          </w:p>
        </w:tc>
        <w:tc>
          <w:tcPr>
            <w:tcW w:type="dxa" w:w="850"/>
          </w:tcPr>
          <w:p>
            <w:pPr>
              <w:spacing w:after="50" w:before="50" w:line="252" w:lineRule="auto"/>
            </w:pPr>
            <w:r>
              <w:rPr>
                <w:sz w:val="17"/>
              </w:rPr>
              <w:t>[●]</w:t>
            </w:r>
          </w:p>
        </w:tc>
      </w:tr>
      <w:tr>
        <w:tc>
          <w:tcPr>
            <w:tcW w:type="dxa" w:w="2956"/>
            <w:shd w:val="clear" w:color="auto" w:fill="EAF1F4"/>
          </w:tcPr>
          <w:p>
            <w:pPr>
              <w:spacing w:after="50" w:before="50" w:line="252" w:lineRule="auto"/>
            </w:pPr>
            <w:r>
              <w:rPr>
                <w:b/>
                <w:sz w:val="17"/>
              </w:rPr>
              <w:t>Coaching for the international circuit</w:t>
            </w:r>
          </w:p>
        </w:tc>
        <w:tc>
          <w:tcPr>
            <w:tcW w:type="dxa" w:w="4551"/>
            <w:shd w:val="clear" w:color="auto" w:fill="EAF1F4"/>
          </w:tcPr>
          <w:p>
            <w:pPr>
              <w:spacing w:after="50" w:before="50" w:line="252" w:lineRule="auto"/>
            </w:pPr>
            <w:r>
              <w:rPr>
                <w:sz w:val="17"/>
              </w:rPr>
              <w:t>Structured coaching for teams entering the principal international mediation competitions</w:t>
            </w:r>
          </w:p>
        </w:tc>
        <w:tc>
          <w:tcPr>
            <w:tcW w:type="dxa" w:w="1218"/>
            <w:shd w:val="clear" w:color="auto" w:fill="EAF1F4"/>
          </w:tcPr>
          <w:p>
            <w:pPr>
              <w:spacing w:after="50" w:before="50" w:line="252" w:lineRule="auto"/>
            </w:pPr>
            <w:r>
              <w:rPr>
                <w:sz w:val="17"/>
              </w:rPr>
              <w:t>Per season</w:t>
            </w:r>
          </w:p>
        </w:tc>
        <w:tc>
          <w:tcPr>
            <w:tcW w:type="dxa" w:w="850"/>
            <w:shd w:val="clear" w:color="auto" w:fill="EAF1F4"/>
          </w:tcPr>
          <w:p>
            <w:pPr>
              <w:spacing w:after="50" w:before="50" w:line="252" w:lineRule="auto"/>
            </w:pPr>
            <w:r>
              <w:rPr>
                <w:sz w:val="17"/>
              </w:rPr>
              <w:t>[●]</w:t>
            </w:r>
          </w:p>
        </w:tc>
      </w:tr>
    </w:tbl>
    <w:p>
      <w:pPr>
        <w:spacing w:after="80" w:before="0"/>
      </w:pPr>
    </w:p>
    <w:p>
      <w:pPr>
        <w:pStyle w:val="Heading2"/>
      </w:pPr>
      <w:r>
        <w:t>4.2 For faculty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624"/>
            <w:shd w:val="clear" w:color="auto" w:fill="10375C"/>
          </w:tcPr>
          <w:p>
            <w:pPr>
              <w:spacing w:after="50" w:before="50"/>
            </w:pPr>
            <w:r>
              <w:rPr>
                <w:b/>
                <w:color w:val="FFFFFF"/>
                <w:sz w:val="17"/>
              </w:rPr>
              <w:t>Activity</w:t>
            </w:r>
          </w:p>
        </w:tc>
        <w:tc>
          <w:tcPr>
            <w:tcW w:type="dxa" w:w="4602"/>
            <w:shd w:val="clear" w:color="auto" w:fill="10375C"/>
          </w:tcPr>
          <w:p>
            <w:pPr>
              <w:spacing w:after="50" w:before="50"/>
            </w:pPr>
            <w:r>
              <w:rPr>
                <w:b/>
                <w:color w:val="FFFFFF"/>
                <w:sz w:val="17"/>
              </w:rPr>
              <w:t>Description</w:t>
            </w:r>
          </w:p>
        </w:tc>
        <w:tc>
          <w:tcPr>
            <w:tcW w:type="dxa" w:w="2242"/>
            <w:shd w:val="clear" w:color="auto" w:fill="10375C"/>
          </w:tcPr>
          <w:p>
            <w:pPr>
              <w:spacing w:after="50" w:before="50"/>
            </w:pPr>
            <w:r>
              <w:rPr>
                <w:b/>
                <w:color w:val="FFFFFF"/>
                <w:sz w:val="17"/>
              </w:rPr>
              <w:t>Commercial basis</w:t>
            </w:r>
          </w:p>
        </w:tc>
      </w:tr>
      <w:tr>
        <w:tc>
          <w:tcPr>
            <w:tcW w:type="dxa" w:w="2624"/>
          </w:tcPr>
          <w:p>
            <w:pPr>
              <w:spacing w:after="50" w:before="50" w:line="252" w:lineRule="auto"/>
            </w:pPr>
            <w:r>
              <w:rPr>
                <w:b/>
                <w:sz w:val="17"/>
              </w:rPr>
              <w:t>Faculty Development Programme</w:t>
            </w:r>
          </w:p>
        </w:tc>
        <w:tc>
          <w:tcPr>
            <w:tcW w:type="dxa" w:w="4602"/>
          </w:tcPr>
          <w:p>
            <w:pPr>
              <w:spacing w:after="50" w:before="50" w:line="252" w:lineRule="auto"/>
            </w:pPr>
            <w:r>
              <w:rPr>
                <w:sz w:val="17"/>
              </w:rPr>
              <w:t>Five-day residential or non-residential programme in mediation and ADR pedagogy, with a train-the-trainer pathway</w:t>
            </w:r>
          </w:p>
        </w:tc>
        <w:tc>
          <w:tcPr>
            <w:tcW w:type="dxa" w:w="2242"/>
          </w:tcPr>
          <w:p>
            <w:pPr>
              <w:spacing w:after="50" w:before="50" w:line="252" w:lineRule="auto"/>
            </w:pPr>
            <w:r>
              <w:rPr>
                <w:sz w:val="17"/>
              </w:rPr>
              <w:t>[●]</w:t>
            </w:r>
          </w:p>
        </w:tc>
      </w:tr>
      <w:tr>
        <w:tc>
          <w:tcPr>
            <w:tcW w:type="dxa" w:w="2624"/>
            <w:shd w:val="clear" w:color="auto" w:fill="EAF1F4"/>
          </w:tcPr>
          <w:p>
            <w:pPr>
              <w:spacing w:after="50" w:before="50" w:line="252" w:lineRule="auto"/>
            </w:pPr>
            <w:r>
              <w:rPr>
                <w:b/>
                <w:sz w:val="17"/>
              </w:rPr>
              <w:t>Empanelment as neutrals</w:t>
            </w:r>
          </w:p>
        </w:tc>
        <w:tc>
          <w:tcPr>
            <w:tcW w:type="dxa" w:w="4602"/>
            <w:shd w:val="clear" w:color="auto" w:fill="EAF1F4"/>
          </w:tcPr>
          <w:p>
            <w:pPr>
              <w:spacing w:after="50" w:before="50" w:line="252" w:lineRule="auto"/>
            </w:pPr>
            <w:r>
              <w:rPr>
                <w:sz w:val="17"/>
              </w:rPr>
              <w:t>Interested faculty considered for empanelment on the Equator panel, with appointment and remuneration in real matters</w:t>
            </w:r>
          </w:p>
        </w:tc>
        <w:tc>
          <w:tcPr>
            <w:tcW w:type="dxa" w:w="2242"/>
            <w:shd w:val="clear" w:color="auto" w:fill="EAF1F4"/>
          </w:tcPr>
          <w:p>
            <w:pPr>
              <w:spacing w:after="50" w:before="50" w:line="252" w:lineRule="auto"/>
            </w:pPr>
            <w:r>
              <w:rPr>
                <w:sz w:val="17"/>
              </w:rPr>
              <w:t>Fee-earning for the faculty member</w:t>
            </w:r>
          </w:p>
        </w:tc>
      </w:tr>
      <w:tr>
        <w:tc>
          <w:tcPr>
            <w:tcW w:type="dxa" w:w="2624"/>
          </w:tcPr>
          <w:p>
            <w:pPr>
              <w:spacing w:after="50" w:before="50" w:line="252" w:lineRule="auto"/>
            </w:pPr>
            <w:r>
              <w:rPr>
                <w:b/>
                <w:sz w:val="17"/>
              </w:rPr>
              <w:t>Curriculum consultation</w:t>
            </w:r>
          </w:p>
        </w:tc>
        <w:tc>
          <w:tcPr>
            <w:tcW w:type="dxa" w:w="4602"/>
          </w:tcPr>
          <w:p>
            <w:pPr>
              <w:spacing w:after="50" w:before="50" w:line="252" w:lineRule="auto"/>
            </w:pPr>
            <w:r>
              <w:rPr>
                <w:sz w:val="17"/>
              </w:rPr>
              <w:t>Support in making the ADR paper clinical — simulation design, assessment, clinic structure</w:t>
            </w:r>
          </w:p>
        </w:tc>
        <w:tc>
          <w:tcPr>
            <w:tcW w:type="dxa" w:w="2242"/>
          </w:tcPr>
          <w:p>
            <w:pPr>
              <w:spacing w:after="50" w:before="50" w:line="252" w:lineRule="auto"/>
            </w:pPr>
            <w:r>
              <w:rPr>
                <w:sz w:val="17"/>
              </w:rPr>
              <w:t>No charge, two sessions</w:t>
            </w:r>
          </w:p>
        </w:tc>
      </w:tr>
      <w:tr>
        <w:tc>
          <w:tcPr>
            <w:tcW w:type="dxa" w:w="2624"/>
            <w:shd w:val="clear" w:color="auto" w:fill="EAF1F4"/>
          </w:tcPr>
          <w:p>
            <w:pPr>
              <w:spacing w:after="50" w:before="50" w:line="252" w:lineRule="auto"/>
            </w:pPr>
            <w:r>
              <w:rPr>
                <w:b/>
                <w:sz w:val="17"/>
              </w:rPr>
              <w:t>Adjunct association</w:t>
            </w:r>
          </w:p>
        </w:tc>
        <w:tc>
          <w:tcPr>
            <w:tcW w:type="dxa" w:w="4602"/>
            <w:shd w:val="clear" w:color="auto" w:fill="EAF1F4"/>
          </w:tcPr>
          <w:p>
            <w:pPr>
              <w:spacing w:after="50" w:before="50" w:line="252" w:lineRule="auto"/>
            </w:pPr>
            <w:r>
              <w:rPr>
                <w:sz w:val="17"/>
              </w:rPr>
              <w:t>Senior Equator practitioners available for adjunct or visiting association with the faculty</w:t>
            </w:r>
          </w:p>
        </w:tc>
        <w:tc>
          <w:tcPr>
            <w:tcW w:type="dxa" w:w="2242"/>
            <w:shd w:val="clear" w:color="auto" w:fill="EAF1F4"/>
          </w:tcPr>
          <w:p>
            <w:pPr>
              <w:spacing w:after="50" w:before="50" w:line="252" w:lineRule="auto"/>
            </w:pPr>
            <w:r>
              <w:rPr>
                <w:sz w:val="17"/>
              </w:rPr>
              <w:t>By arrangement</w:t>
            </w:r>
          </w:p>
        </w:tc>
      </w:tr>
      <w:tr>
        <w:tc>
          <w:tcPr>
            <w:tcW w:type="dxa" w:w="2624"/>
          </w:tcPr>
          <w:p>
            <w:pPr>
              <w:spacing w:after="50" w:before="50" w:line="252" w:lineRule="auto"/>
            </w:pPr>
            <w:r>
              <w:rPr>
                <w:b/>
                <w:sz w:val="17"/>
              </w:rPr>
              <w:t>Joint research</w:t>
            </w:r>
          </w:p>
        </w:tc>
        <w:tc>
          <w:tcPr>
            <w:tcW w:type="dxa" w:w="4602"/>
          </w:tcPr>
          <w:p>
            <w:pPr>
              <w:spacing w:after="50" w:before="50" w:line="252" w:lineRule="auto"/>
            </w:pPr>
            <w:r>
              <w:rPr>
                <w:sz w:val="17"/>
              </w:rPr>
              <w:t>Co-authored empirical work; access, subject to protocol, to anonymised outcome data from Equator's caseload</w:t>
            </w:r>
          </w:p>
        </w:tc>
        <w:tc>
          <w:tcPr>
            <w:tcW w:type="dxa" w:w="2242"/>
          </w:tcPr>
          <w:p>
            <w:pPr>
              <w:spacing w:after="50" w:before="50" w:line="252" w:lineRule="auto"/>
            </w:pPr>
            <w:r>
              <w:rPr>
                <w:sz w:val="17"/>
              </w:rPr>
              <w:t>Non-commercial</w:t>
            </w:r>
          </w:p>
        </w:tc>
      </w:tr>
    </w:tbl>
    <w:p>
      <w:pPr>
        <w:spacing w:after="80" w:before="0"/>
      </w:pPr>
    </w:p>
    <w:p>
      <w:pPr>
        <w:pStyle w:val="Heading2"/>
      </w:pPr>
      <w:r>
        <w:t>4.3 For the institution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026"/>
            <w:shd w:val="clear" w:color="auto" w:fill="10375C"/>
          </w:tcPr>
          <w:p>
            <w:pPr>
              <w:spacing w:after="50" w:before="50"/>
            </w:pPr>
            <w:r>
              <w:rPr>
                <w:b/>
                <w:color w:val="FFFFFF"/>
                <w:sz w:val="17"/>
              </w:rPr>
              <w:t>Activity</w:t>
            </w:r>
          </w:p>
        </w:tc>
        <w:tc>
          <w:tcPr>
            <w:tcW w:type="dxa" w:w="4766"/>
            <w:shd w:val="clear" w:color="auto" w:fill="10375C"/>
          </w:tcPr>
          <w:p>
            <w:pPr>
              <w:spacing w:after="50" w:before="50"/>
            </w:pPr>
            <w:r>
              <w:rPr>
                <w:b/>
                <w:color w:val="FFFFFF"/>
                <w:sz w:val="17"/>
              </w:rPr>
              <w:t>Description</w:t>
            </w:r>
          </w:p>
        </w:tc>
        <w:tc>
          <w:tcPr>
            <w:tcW w:type="dxa" w:w="1676"/>
            <w:shd w:val="clear" w:color="auto" w:fill="10375C"/>
          </w:tcPr>
          <w:p>
            <w:pPr>
              <w:spacing w:after="50" w:before="50"/>
            </w:pPr>
            <w:r>
              <w:rPr>
                <w:b/>
                <w:color w:val="FFFFFF"/>
                <w:sz w:val="17"/>
              </w:rPr>
              <w:t>Commercial basis</w:t>
            </w:r>
          </w:p>
        </w:tc>
      </w:tr>
      <w:tr>
        <w:tc>
          <w:tcPr>
            <w:tcW w:type="dxa" w:w="3026"/>
          </w:tcPr>
          <w:p>
            <w:pPr>
              <w:spacing w:after="50" w:before="50" w:line="252" w:lineRule="auto"/>
            </w:pPr>
            <w:r>
              <w:rPr>
                <w:b/>
                <w:sz w:val="17"/>
              </w:rPr>
              <w:t>SGRC and Ombudsperson support</w:t>
            </w:r>
          </w:p>
        </w:tc>
        <w:tc>
          <w:tcPr>
            <w:tcW w:type="dxa" w:w="4766"/>
          </w:tcPr>
          <w:p>
            <w:pPr>
              <w:spacing w:after="50" w:before="50" w:line="252" w:lineRule="auto"/>
            </w:pPr>
            <w:r>
              <w:rPr>
                <w:sz w:val="17"/>
              </w:rPr>
              <w:t>Process design, documentation, member training, external neutrals</w:t>
            </w:r>
          </w:p>
        </w:tc>
        <w:tc>
          <w:tcPr>
            <w:tcW w:type="dxa" w:w="1676"/>
          </w:tcPr>
          <w:p>
            <w:pPr>
              <w:spacing w:after="50" w:before="50" w:line="252" w:lineRule="auto"/>
            </w:pPr>
            <w:r>
              <w:rPr>
                <w:sz w:val="17"/>
              </w:rPr>
              <w:t>[●]</w:t>
            </w:r>
          </w:p>
        </w:tc>
      </w:tr>
      <w:tr>
        <w:tc>
          <w:tcPr>
            <w:tcW w:type="dxa" w:w="3026"/>
            <w:shd w:val="clear" w:color="auto" w:fill="EAF1F4"/>
          </w:tcPr>
          <w:p>
            <w:pPr>
              <w:spacing w:after="50" w:before="50" w:line="252" w:lineRule="auto"/>
            </w:pPr>
            <w:r>
              <w:rPr>
                <w:b/>
                <w:sz w:val="17"/>
              </w:rPr>
              <w:t>Internal Committee training</w:t>
            </w:r>
          </w:p>
        </w:tc>
        <w:tc>
          <w:tcPr>
            <w:tcW w:type="dxa" w:w="4766"/>
            <w:shd w:val="clear" w:color="auto" w:fill="EAF1F4"/>
          </w:tcPr>
          <w:p>
            <w:pPr>
              <w:spacing w:after="50" w:before="50" w:line="252" w:lineRule="auto"/>
            </w:pPr>
            <w:r>
              <w:rPr>
                <w:sz w:val="17"/>
              </w:rPr>
              <w:t>POSH training and inquiry-skills workshops; external member supply</w:t>
            </w:r>
          </w:p>
        </w:tc>
        <w:tc>
          <w:tcPr>
            <w:tcW w:type="dxa" w:w="1676"/>
            <w:shd w:val="clear" w:color="auto" w:fill="EAF1F4"/>
          </w:tcPr>
          <w:p>
            <w:pPr>
              <w:spacing w:after="50" w:before="50" w:line="252" w:lineRule="auto"/>
            </w:pPr>
            <w:r>
              <w:rPr>
                <w:sz w:val="17"/>
              </w:rPr>
              <w:t>[●]</w:t>
            </w:r>
          </w:p>
        </w:tc>
      </w:tr>
      <w:tr>
        <w:tc>
          <w:tcPr>
            <w:tcW w:type="dxa" w:w="3026"/>
          </w:tcPr>
          <w:p>
            <w:pPr>
              <w:spacing w:after="50" w:before="50" w:line="252" w:lineRule="auto"/>
            </w:pPr>
            <w:r>
              <w:rPr>
                <w:b/>
                <w:sz w:val="17"/>
              </w:rPr>
              <w:t>Equator ADR Laboratory</w:t>
            </w:r>
          </w:p>
        </w:tc>
        <w:tc>
          <w:tcPr>
            <w:tcW w:type="dxa" w:w="4766"/>
          </w:tcPr>
          <w:p>
            <w:pPr>
              <w:spacing w:after="50" w:before="50" w:line="252" w:lineRule="auto"/>
            </w:pPr>
            <w:r>
              <w:rPr>
                <w:sz w:val="17"/>
              </w:rPr>
              <w:t>Co-branded simulation and practice facility on campus</w:t>
            </w:r>
          </w:p>
        </w:tc>
        <w:tc>
          <w:tcPr>
            <w:tcW w:type="dxa" w:w="1676"/>
          </w:tcPr>
          <w:p>
            <w:pPr>
              <w:spacing w:after="50" w:before="50" w:line="252" w:lineRule="auto"/>
            </w:pPr>
            <w:r>
              <w:rPr>
                <w:sz w:val="17"/>
              </w:rPr>
              <w:t>Schedule F</w:t>
            </w:r>
          </w:p>
        </w:tc>
      </w:tr>
      <w:tr>
        <w:tc>
          <w:tcPr>
            <w:tcW w:type="dxa" w:w="3026"/>
            <w:shd w:val="clear" w:color="auto" w:fill="EAF1F4"/>
          </w:tcPr>
          <w:p>
            <w:pPr>
              <w:spacing w:after="50" w:before="50" w:line="252" w:lineRule="auto"/>
            </w:pPr>
            <w:r>
              <w:rPr>
                <w:b/>
                <w:sz w:val="17"/>
              </w:rPr>
              <w:t>Flagship events</w:t>
            </w:r>
          </w:p>
        </w:tc>
        <w:tc>
          <w:tcPr>
            <w:tcW w:type="dxa" w:w="4766"/>
            <w:shd w:val="clear" w:color="auto" w:fill="EAF1F4"/>
          </w:tcPr>
          <w:p>
            <w:pPr>
              <w:spacing w:after="50" w:before="50" w:line="252" w:lineRule="auto"/>
            </w:pPr>
            <w:r>
              <w:rPr>
                <w:sz w:val="17"/>
              </w:rPr>
              <w:t>Annual conference, Mediation Week, judicial–academic roundtable with the District Legal Services Authority</w:t>
            </w:r>
          </w:p>
        </w:tc>
        <w:tc>
          <w:tcPr>
            <w:tcW w:type="dxa" w:w="1676"/>
            <w:shd w:val="clear" w:color="auto" w:fill="EAF1F4"/>
          </w:tcPr>
          <w:p>
            <w:pPr>
              <w:spacing w:after="50" w:before="50" w:line="252" w:lineRule="auto"/>
            </w:pPr>
            <w:r>
              <w:rPr>
                <w:sz w:val="17"/>
              </w:rPr>
              <w:t>Cost-shared per Schedule D</w:t>
            </w:r>
          </w:p>
        </w:tc>
      </w:tr>
      <w:tr>
        <w:tc>
          <w:tcPr>
            <w:tcW w:type="dxa" w:w="3026"/>
          </w:tcPr>
          <w:p>
            <w:pPr>
              <w:spacing w:after="50" w:before="50" w:line="252" w:lineRule="auto"/>
            </w:pPr>
            <w:r>
              <w:rPr>
                <w:b/>
                <w:sz w:val="17"/>
              </w:rPr>
              <w:t>Research output and publications</w:t>
            </w:r>
          </w:p>
        </w:tc>
        <w:tc>
          <w:tcPr>
            <w:tcW w:type="dxa" w:w="4766"/>
          </w:tcPr>
          <w:p>
            <w:pPr>
              <w:spacing w:after="50" w:before="50" w:line="252" w:lineRule="auto"/>
            </w:pPr>
            <w:r>
              <w:rPr>
                <w:sz w:val="17"/>
              </w:rPr>
              <w:t>Joint papers; contribution to the annual national report</w:t>
            </w:r>
          </w:p>
        </w:tc>
        <w:tc>
          <w:tcPr>
            <w:tcW w:type="dxa" w:w="1676"/>
          </w:tcPr>
          <w:p>
            <w:pPr>
              <w:spacing w:after="50" w:before="50" w:line="252" w:lineRule="auto"/>
            </w:pPr>
            <w:r>
              <w:rPr>
                <w:sz w:val="17"/>
              </w:rPr>
              <w:t>Non-commercial</w:t>
            </w:r>
          </w:p>
        </w:tc>
      </w:tr>
    </w:tbl>
    <w:p>
      <w:pPr>
        <w:spacing w:after="80" w:before="0"/>
      </w:pPr>
    </w:p>
    <w:p>
      <w:pPr>
        <w:pStyle w:val="Heading2"/>
      </w:pPr>
      <w:r>
        <w:t>4.4 Public and community engagement</w:t>
      </w:r>
    </w:p>
    <w:p>
      <w:r>
        <w:t>Community mediation awareness activity with the District Legal Services Authority, legal aid and mediation clinics in adopted villages, and a school peer-mediation cascade delivered by University students whom we train.</w:t>
      </w:r>
    </w:p>
    <w:p>
      <w:pPr>
        <w:spacing w:before="80" w:after="160"/>
        <w:pBdr>
          <w:bottom w:val="single" w:sz="6" w:space="1" w:color="C9D6DE"/>
        </w:pBdr>
      </w:pPr>
    </w:p>
    <w:p>
      <w:pPr>
        <w:pStyle w:val="Heading1"/>
        <w:pBdr>
          <w:bottom w:val="single" w:sz="8" w:space="4" w:color="C9D6DE"/>
        </w:pBdr>
      </w:pPr>
      <w:r>
        <w:t>5. What each institution provides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Equator ADR Institute provides</w:t>
            </w:r>
          </w:p>
        </w:tc>
        <w:tc>
          <w:tcPr>
            <w:tcW w:type="dxa" w:w="4734"/>
            <w:shd w:val="clear" w:color="auto" w:fill="10375C"/>
          </w:tcPr>
          <w:p>
            <w:pPr>
              <w:spacing w:after="50" w:before="50"/>
            </w:pPr>
            <w:r>
              <w:rPr>
                <w:b/>
                <w:color w:val="FFFFFF"/>
                <w:sz w:val="17"/>
              </w:rPr>
              <w:t>[●] University provides</w:t>
            </w:r>
          </w:p>
        </w:tc>
      </w:tr>
      <w:tr>
        <w:tc>
          <w:tcPr>
            <w:tcW w:type="dxa" w:w="4734"/>
          </w:tcPr>
          <w:p>
            <w:pPr>
              <w:spacing w:after="50" w:before="50" w:line="252" w:lineRule="auto"/>
            </w:pPr>
            <w:r>
              <w:rPr>
                <w:sz w:val="17"/>
              </w:rPr>
              <w:t>Curriculum, materials and assessment instruments</w:t>
            </w:r>
          </w:p>
        </w:tc>
        <w:tc>
          <w:tcPr>
            <w:tcW w:type="dxa" w:w="4734"/>
          </w:tcPr>
          <w:p>
            <w:pPr>
              <w:spacing w:after="50" w:before="50" w:line="252" w:lineRule="auto"/>
            </w:pPr>
            <w:r>
              <w:rPr>
                <w:sz w:val="17"/>
              </w:rPr>
              <w:t>Venue, classrooms and, for residential programmes, hostel accommodation</w:t>
            </w:r>
          </w:p>
        </w:tc>
      </w:tr>
      <w:tr>
        <w:tc>
          <w:tcPr>
            <w:tcW w:type="dxa" w:w="4734"/>
            <w:shd w:val="clear" w:color="auto" w:fill="EAF1F4"/>
          </w:tcPr>
          <w:p>
            <w:pPr>
              <w:spacing w:after="50" w:before="50" w:line="252" w:lineRule="auto"/>
            </w:pPr>
            <w:r>
              <w:rPr>
                <w:sz w:val="17"/>
              </w:rPr>
              <w:t>Certified trainers and practitioner faculty</w:t>
            </w:r>
          </w:p>
        </w:tc>
        <w:tc>
          <w:tcPr>
            <w:tcW w:type="dxa" w:w="4734"/>
            <w:shd w:val="clear" w:color="auto" w:fill="EAF1F4"/>
          </w:tcPr>
          <w:p>
            <w:pPr>
              <w:spacing w:after="50" w:before="50" w:line="252" w:lineRule="auto"/>
            </w:pPr>
            <w:r>
              <w:rPr>
                <w:sz w:val="17"/>
              </w:rPr>
              <w:t>Student mobilisation and internal communication</w:t>
            </w:r>
          </w:p>
        </w:tc>
      </w:tr>
      <w:tr>
        <w:tc>
          <w:tcPr>
            <w:tcW w:type="dxa" w:w="4734"/>
          </w:tcPr>
          <w:p>
            <w:pPr>
              <w:spacing w:after="50" w:before="50" w:line="252" w:lineRule="auto"/>
            </w:pPr>
            <w:r>
              <w:rPr>
                <w:sz w:val="17"/>
              </w:rPr>
              <w:t>Certification and record-keeping</w:t>
            </w:r>
          </w:p>
        </w:tc>
        <w:tc>
          <w:tcPr>
            <w:tcW w:type="dxa" w:w="4734"/>
          </w:tcPr>
          <w:p>
            <w:pPr>
              <w:spacing w:after="50" w:before="50" w:line="252" w:lineRule="auto"/>
            </w:pPr>
            <w:r>
              <w:rPr>
                <w:sz w:val="17"/>
              </w:rPr>
              <w:t>Academic coordination and, where applicable, credit mapping</w:t>
            </w:r>
          </w:p>
        </w:tc>
      </w:tr>
      <w:tr>
        <w:tc>
          <w:tcPr>
            <w:tcW w:type="dxa" w:w="4734"/>
            <w:shd w:val="clear" w:color="auto" w:fill="EAF1F4"/>
          </w:tcPr>
          <w:p>
            <w:pPr>
              <w:spacing w:after="50" w:before="50" w:line="252" w:lineRule="auto"/>
            </w:pPr>
            <w:r>
              <w:rPr>
                <w:sz w:val="17"/>
              </w:rPr>
              <w:t>Competition design, rules, problems and judges</w:t>
            </w:r>
          </w:p>
        </w:tc>
        <w:tc>
          <w:tcPr>
            <w:tcW w:type="dxa" w:w="4734"/>
            <w:shd w:val="clear" w:color="auto" w:fill="EAF1F4"/>
          </w:tcPr>
          <w:p>
            <w:pPr>
              <w:spacing w:after="50" w:before="50" w:line="252" w:lineRule="auto"/>
            </w:pPr>
            <w:r>
              <w:rPr>
                <w:sz w:val="17"/>
              </w:rPr>
              <w:t>Student volunteers and local logistics for hosted events</w:t>
            </w:r>
          </w:p>
        </w:tc>
      </w:tr>
      <w:tr>
        <w:tc>
          <w:tcPr>
            <w:tcW w:type="dxa" w:w="4734"/>
          </w:tcPr>
          <w:p>
            <w:pPr>
              <w:spacing w:after="50" w:before="50" w:line="252" w:lineRule="auto"/>
            </w:pPr>
            <w:r>
              <w:rPr>
                <w:sz w:val="17"/>
              </w:rPr>
              <w:t>Supervision of clinics and internships</w:t>
            </w:r>
          </w:p>
        </w:tc>
        <w:tc>
          <w:tcPr>
            <w:tcW w:type="dxa" w:w="4734"/>
          </w:tcPr>
          <w:p>
            <w:pPr>
              <w:spacing w:after="50" w:before="50" w:line="252" w:lineRule="auto"/>
            </w:pPr>
            <w:r>
              <w:rPr>
                <w:sz w:val="17"/>
              </w:rPr>
              <w:t>Nodal officer and administrative support</w:t>
            </w:r>
          </w:p>
        </w:tc>
      </w:tr>
      <w:tr>
        <w:tc>
          <w:tcPr>
            <w:tcW w:type="dxa" w:w="4734"/>
            <w:shd w:val="clear" w:color="auto" w:fill="EAF1F4"/>
          </w:tcPr>
          <w:p>
            <w:pPr>
              <w:spacing w:after="50" w:before="50" w:line="252" w:lineRule="auto"/>
            </w:pPr>
            <w:r>
              <w:rPr>
                <w:sz w:val="17"/>
              </w:rPr>
              <w:t>Insurance for its personnel, and public liability as agreed</w:t>
            </w:r>
          </w:p>
        </w:tc>
        <w:tc>
          <w:tcPr>
            <w:tcW w:type="dxa" w:w="4734"/>
            <w:shd w:val="clear" w:color="auto" w:fill="EAF1F4"/>
          </w:tcPr>
          <w:p>
            <w:pPr>
              <w:spacing w:after="50" w:before="50" w:line="252" w:lineRule="auto"/>
            </w:pPr>
            <w:r>
              <w:rPr>
                <w:sz w:val="17"/>
              </w:rPr>
              <w:t>Campus safety, security and statutory compliance for the premises</w:t>
            </w:r>
          </w:p>
        </w:tc>
      </w:tr>
      <w:tr>
        <w:tc>
          <w:tcPr>
            <w:tcW w:type="dxa" w:w="4734"/>
          </w:tcPr>
          <w:p>
            <w:pPr>
              <w:spacing w:after="50" w:before="50" w:line="252" w:lineRule="auto"/>
            </w:pPr>
            <w:r>
              <w:rPr>
                <w:sz w:val="17"/>
              </w:rPr>
              <w:t>Quality assurance, feedback and reporting</w:t>
            </w:r>
          </w:p>
        </w:tc>
        <w:tc>
          <w:tcPr>
            <w:tcW w:type="dxa" w:w="4734"/>
          </w:tcPr>
          <w:p>
            <w:pPr>
              <w:spacing w:after="50" w:before="50" w:line="252" w:lineRule="auto"/>
            </w:pPr>
            <w:r>
              <w:rPr>
                <w:sz w:val="17"/>
              </w:rPr>
              <w:t>Access for documentation and photography, subject to consent</w:t>
            </w:r>
          </w:p>
        </w:tc>
      </w:tr>
    </w:tbl>
    <w:p>
      <w:pPr>
        <w:spacing w:after="80" w:before="0"/>
      </w:pPr>
    </w:p>
    <w:p>
      <w:pPr>
        <w:spacing w:before="80" w:after="160"/>
        <w:pBdr>
          <w:bottom w:val="single" w:sz="6" w:space="1" w:color="C9D6DE"/>
        </w:pBdr>
      </w:pPr>
    </w:p>
    <w:p>
      <w:pPr>
        <w:pStyle w:val="Heading1"/>
        <w:pBdr>
          <w:bottom w:val="single" w:sz="8" w:space="4" w:color="C9D6DE"/>
        </w:pBdr>
      </w:pPr>
      <w:r>
        <w:t>6. Governance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74"/>
            <w:shd w:val="clear" w:color="auto" w:fill="10375C"/>
          </w:tcPr>
          <w:p>
            <w:pPr>
              <w:spacing w:after="50" w:before="50"/>
            </w:pPr>
            <w:r>
              <w:rPr>
                <w:b/>
                <w:color w:val="FFFFFF"/>
                <w:sz w:val="17"/>
              </w:rPr>
              <w:t>Element</w:t>
            </w:r>
          </w:p>
        </w:tc>
        <w:tc>
          <w:tcPr>
            <w:tcW w:type="dxa" w:w="6894"/>
            <w:shd w:val="clear" w:color="auto" w:fill="10375C"/>
          </w:tcPr>
          <w:p>
            <w:pPr>
              <w:spacing w:after="50" w:before="50"/>
            </w:pPr>
            <w:r>
              <w:rPr>
                <w:b/>
                <w:color w:val="FFFFFF"/>
                <w:sz w:val="17"/>
              </w:rPr>
              <w:t>Proposal</w:t>
            </w:r>
          </w:p>
        </w:tc>
      </w:tr>
      <w:tr>
        <w:tc>
          <w:tcPr>
            <w:tcW w:type="dxa" w:w="2574"/>
          </w:tcPr>
          <w:p>
            <w:pPr>
              <w:spacing w:after="50" w:before="50" w:line="252" w:lineRule="auto"/>
            </w:pPr>
            <w:r>
              <w:rPr>
                <w:sz w:val="17"/>
              </w:rPr>
              <w:t>Nodal officers</w:t>
            </w:r>
          </w:p>
        </w:tc>
        <w:tc>
          <w:tcPr>
            <w:tcW w:type="dxa" w:w="6894"/>
          </w:tcPr>
          <w:p>
            <w:pPr>
              <w:spacing w:after="50" w:before="50" w:line="252" w:lineRule="auto"/>
            </w:pPr>
            <w:r>
              <w:rPr>
                <w:sz w:val="17"/>
              </w:rPr>
              <w:t>One named officer on each side, with authority to agree the calendar</w:t>
            </w:r>
          </w:p>
        </w:tc>
      </w:tr>
      <w:tr>
        <w:tc>
          <w:tcPr>
            <w:tcW w:type="dxa" w:w="2574"/>
            <w:shd w:val="clear" w:color="auto" w:fill="EAF1F4"/>
          </w:tcPr>
          <w:p>
            <w:pPr>
              <w:spacing w:after="50" w:before="50" w:line="252" w:lineRule="auto"/>
            </w:pPr>
            <w:r>
              <w:rPr>
                <w:sz w:val="17"/>
              </w:rPr>
              <w:t>Joint Steering Committee</w:t>
            </w:r>
          </w:p>
        </w:tc>
        <w:tc>
          <w:tcPr>
            <w:tcW w:type="dxa" w:w="6894"/>
            <w:shd w:val="clear" w:color="auto" w:fill="EAF1F4"/>
          </w:tcPr>
          <w:p>
            <w:pPr>
              <w:spacing w:after="50" w:before="50" w:line="252" w:lineRule="auto"/>
            </w:pPr>
            <w:r>
              <w:rPr>
                <w:sz w:val="17"/>
              </w:rPr>
              <w:t>Two nominees each; meets at least twice a year; chaired alternately</w:t>
            </w:r>
          </w:p>
        </w:tc>
      </w:tr>
      <w:tr>
        <w:tc>
          <w:tcPr>
            <w:tcW w:type="dxa" w:w="2574"/>
          </w:tcPr>
          <w:p>
            <w:pPr>
              <w:spacing w:after="50" w:before="50" w:line="252" w:lineRule="auto"/>
            </w:pPr>
            <w:r>
              <w:rPr>
                <w:sz w:val="17"/>
              </w:rPr>
              <w:t>Annual review</w:t>
            </w:r>
          </w:p>
        </w:tc>
        <w:tc>
          <w:tcPr>
            <w:tcW w:type="dxa" w:w="6894"/>
          </w:tcPr>
          <w:p>
            <w:pPr>
              <w:spacing w:after="50" w:before="50" w:line="252" w:lineRule="auto"/>
            </w:pPr>
            <w:r>
              <w:rPr>
                <w:sz w:val="17"/>
              </w:rPr>
              <w:t>Written review against agreed measures, before renewal</w:t>
            </w:r>
          </w:p>
        </w:tc>
      </w:tr>
      <w:tr>
        <w:tc>
          <w:tcPr>
            <w:tcW w:type="dxa" w:w="2574"/>
            <w:shd w:val="clear" w:color="auto" w:fill="EAF1F4"/>
          </w:tcPr>
          <w:p>
            <w:pPr>
              <w:spacing w:after="50" w:before="50" w:line="252" w:lineRule="auto"/>
            </w:pPr>
            <w:r>
              <w:rPr>
                <w:sz w:val="17"/>
              </w:rPr>
              <w:t>Minimum activity</w:t>
            </w:r>
          </w:p>
        </w:tc>
        <w:tc>
          <w:tcPr>
            <w:tcW w:type="dxa" w:w="6894"/>
            <w:shd w:val="clear" w:color="auto" w:fill="EAF1F4"/>
          </w:tcPr>
          <w:p>
            <w:pPr>
              <w:spacing w:after="50" w:before="50" w:line="252" w:lineRule="auto"/>
            </w:pPr>
            <w:r>
              <w:rPr>
                <w:sz w:val="17"/>
              </w:rPr>
              <w:t>Not fewer than [●] activities in each academic year</w:t>
            </w:r>
          </w:p>
        </w:tc>
      </w:tr>
      <w:tr>
        <w:tc>
          <w:tcPr>
            <w:tcW w:type="dxa" w:w="2574"/>
          </w:tcPr>
          <w:p>
            <w:pPr>
              <w:spacing w:after="50" w:before="50" w:line="252" w:lineRule="auto"/>
            </w:pPr>
            <w:r>
              <w:rPr>
                <w:sz w:val="17"/>
              </w:rPr>
              <w:t>Escalation</w:t>
            </w:r>
          </w:p>
        </w:tc>
        <w:tc>
          <w:tcPr>
            <w:tcW w:type="dxa" w:w="6894"/>
          </w:tcPr>
          <w:p>
            <w:pPr>
              <w:spacing w:after="50" w:before="50" w:line="252" w:lineRule="auto"/>
            </w:pPr>
            <w:r>
              <w:rPr>
                <w:sz w:val="17"/>
              </w:rPr>
              <w:t>Nodal officers, then Joint Steering Committee, then Registrar and Programme Director</w:t>
            </w:r>
          </w:p>
        </w:tc>
      </w:tr>
    </w:tbl>
    <w:p>
      <w:pPr>
        <w:spacing w:after="80" w:before="0"/>
      </w:pPr>
    </w:p>
    <w:p>
      <w:pPr>
        <w:spacing w:before="80" w:after="160"/>
        <w:pBdr>
          <w:bottom w:val="single" w:sz="6" w:space="1" w:color="C9D6DE"/>
        </w:pBdr>
      </w:pPr>
    </w:p>
    <w:p>
      <w:pPr>
        <w:pStyle w:val="Heading1"/>
        <w:pBdr>
          <w:bottom w:val="single" w:sz="8" w:space="4" w:color="C9D6DE"/>
        </w:pBdr>
      </w:pPr>
      <w:r>
        <w:t>7. Commercial summary</w:t>
      </w:r>
    </w:p>
    <w:p>
      <w:r>
        <w:rPr>
          <w:i/>
        </w:rPr>
        <w:t>Indicative only. Confirm against the current rate card before issue. Amounts exclusive of applicable taxes; the tax position is to be confirmed.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435"/>
            <w:shd w:val="clear" w:color="auto" w:fill="10375C"/>
          </w:tcPr>
          <w:p>
            <w:pPr>
              <w:spacing w:after="50" w:before="50"/>
            </w:pPr>
            <w:r>
              <w:rPr>
                <w:b/>
                <w:color w:val="FFFFFF"/>
                <w:sz w:val="17"/>
              </w:rPr>
              <w:t>Line</w:t>
            </w:r>
          </w:p>
        </w:tc>
        <w:tc>
          <w:tcPr>
            <w:tcW w:type="dxa" w:w="4099"/>
            <w:shd w:val="clear" w:color="auto" w:fill="10375C"/>
          </w:tcPr>
          <w:p>
            <w:pPr>
              <w:spacing w:after="50" w:before="50"/>
            </w:pPr>
            <w:r>
              <w:rPr>
                <w:b/>
                <w:color w:val="FFFFFF"/>
                <w:sz w:val="17"/>
              </w:rPr>
              <w:t>Basis</w:t>
            </w:r>
          </w:p>
        </w:tc>
        <w:tc>
          <w:tcPr>
            <w:tcW w:type="dxa" w:w="933"/>
            <w:shd w:val="clear" w:color="auto" w:fill="10375C"/>
          </w:tcPr>
          <w:p>
            <w:pPr>
              <w:spacing w:after="50" w:before="50"/>
            </w:pPr>
            <w:r>
              <w:rPr>
                <w:b/>
                <w:color w:val="FFFFFF"/>
                <w:sz w:val="17"/>
              </w:rPr>
              <w:t>Indicative</w:t>
            </w:r>
          </w:p>
        </w:tc>
      </w:tr>
      <w:tr>
        <w:tc>
          <w:tcPr>
            <w:tcW w:type="dxa" w:w="4435"/>
          </w:tcPr>
          <w:p>
            <w:pPr>
              <w:spacing w:after="50" w:before="50" w:line="252" w:lineRule="auto"/>
            </w:pPr>
            <w:r>
              <w:rPr>
                <w:sz w:val="17"/>
              </w:rPr>
              <w:t>Student certificate course</w:t>
            </w:r>
          </w:p>
        </w:tc>
        <w:tc>
          <w:tcPr>
            <w:tcW w:type="dxa" w:w="4099"/>
          </w:tcPr>
          <w:p>
            <w:pPr>
              <w:spacing w:after="50" w:before="50" w:line="252" w:lineRule="auto"/>
            </w:pPr>
            <w:r>
              <w:rPr>
                <w:sz w:val="17"/>
              </w:rPr>
              <w:t>Per participant, minimum cohort [●]</w:t>
            </w:r>
          </w:p>
        </w:tc>
        <w:tc>
          <w:tcPr>
            <w:tcW w:type="dxa" w:w="933"/>
          </w:tcPr>
          <w:p>
            <w:pPr>
              <w:spacing w:after="50" w:before="50" w:line="252" w:lineRule="auto"/>
            </w:pPr>
            <w:r>
              <w:rPr>
                <w:sz w:val="17"/>
              </w:rPr>
              <w:t>₹[●]</w:t>
            </w:r>
          </w:p>
        </w:tc>
      </w:tr>
      <w:tr>
        <w:tc>
          <w:tcPr>
            <w:tcW w:type="dxa" w:w="4435"/>
            <w:shd w:val="clear" w:color="auto" w:fill="EAF1F4"/>
          </w:tcPr>
          <w:p>
            <w:pPr>
              <w:spacing w:after="50" w:before="50" w:line="252" w:lineRule="auto"/>
            </w:pPr>
            <w:r>
              <w:rPr>
                <w:sz w:val="17"/>
              </w:rPr>
              <w:t>Revenue share on student fees</w:t>
            </w:r>
          </w:p>
        </w:tc>
        <w:tc>
          <w:tcPr>
            <w:tcW w:type="dxa" w:w="4099"/>
            <w:shd w:val="clear" w:color="auto" w:fill="EAF1F4"/>
          </w:tcPr>
          <w:p>
            <w:pPr>
              <w:spacing w:after="50" w:before="50" w:line="252" w:lineRule="auto"/>
            </w:pPr>
            <w:r>
              <w:rPr>
                <w:sz w:val="17"/>
              </w:rPr>
              <w:t>[●] to Equator, [●] to the University</w:t>
            </w:r>
          </w:p>
        </w:tc>
        <w:tc>
          <w:tcPr>
            <w:tcW w:type="dxa" w:w="933"/>
            <w:shd w:val="clear" w:color="auto" w:fill="EAF1F4"/>
          </w:tcPr>
          <w:p>
            <w:pPr>
              <w:spacing w:after="50" w:before="50" w:line="252" w:lineRule="auto"/>
            </w:pPr>
            <w:r>
              <w:rPr>
                <w:sz w:val="17"/>
              </w:rPr>
              <w:t>—</w:t>
            </w:r>
          </w:p>
        </w:tc>
      </w:tr>
      <w:tr>
        <w:tc>
          <w:tcPr>
            <w:tcW w:type="dxa" w:w="4435"/>
          </w:tcPr>
          <w:p>
            <w:pPr>
              <w:spacing w:after="50" w:before="50" w:line="252" w:lineRule="auto"/>
            </w:pPr>
            <w:r>
              <w:rPr>
                <w:sz w:val="17"/>
              </w:rPr>
              <w:t>Faculty Development Programme</w:t>
            </w:r>
          </w:p>
        </w:tc>
        <w:tc>
          <w:tcPr>
            <w:tcW w:type="dxa" w:w="4099"/>
          </w:tcPr>
          <w:p>
            <w:pPr>
              <w:spacing w:after="50" w:before="50" w:line="252" w:lineRule="auto"/>
            </w:pPr>
            <w:r>
              <w:rPr>
                <w:sz w:val="17"/>
              </w:rPr>
              <w:t>Per programme, up to [●] participants</w:t>
            </w:r>
          </w:p>
        </w:tc>
        <w:tc>
          <w:tcPr>
            <w:tcW w:type="dxa" w:w="933"/>
          </w:tcPr>
          <w:p>
            <w:pPr>
              <w:spacing w:after="50" w:before="50" w:line="252" w:lineRule="auto"/>
            </w:pPr>
            <w:r>
              <w:rPr>
                <w:sz w:val="17"/>
              </w:rPr>
              <w:t>₹[●]</w:t>
            </w:r>
          </w:p>
        </w:tc>
      </w:tr>
      <w:tr>
        <w:tc>
          <w:tcPr>
            <w:tcW w:type="dxa" w:w="4435"/>
            <w:shd w:val="clear" w:color="auto" w:fill="EAF1F4"/>
          </w:tcPr>
          <w:p>
            <w:pPr>
              <w:spacing w:after="50" w:before="50" w:line="252" w:lineRule="auto"/>
            </w:pPr>
            <w:r>
              <w:rPr>
                <w:sz w:val="17"/>
              </w:rPr>
              <w:t>Workshop, half day</w:t>
            </w:r>
          </w:p>
        </w:tc>
        <w:tc>
          <w:tcPr>
            <w:tcW w:type="dxa" w:w="4099"/>
            <w:shd w:val="clear" w:color="auto" w:fill="EAF1F4"/>
          </w:tcPr>
          <w:p>
            <w:pPr>
              <w:spacing w:after="50" w:before="50" w:line="252" w:lineRule="auto"/>
            </w:pPr>
            <w:r>
              <w:rPr>
                <w:sz w:val="17"/>
              </w:rPr>
              <w:t>Per session</w:t>
            </w:r>
          </w:p>
        </w:tc>
        <w:tc>
          <w:tcPr>
            <w:tcW w:type="dxa" w:w="933"/>
            <w:shd w:val="clear" w:color="auto" w:fill="EAF1F4"/>
          </w:tcPr>
          <w:p>
            <w:pPr>
              <w:spacing w:after="50" w:before="50" w:line="252" w:lineRule="auto"/>
            </w:pPr>
            <w:r>
              <w:rPr>
                <w:sz w:val="17"/>
              </w:rPr>
              <w:t>₹[●]</w:t>
            </w:r>
          </w:p>
        </w:tc>
      </w:tr>
      <w:tr>
        <w:tc>
          <w:tcPr>
            <w:tcW w:type="dxa" w:w="4435"/>
          </w:tcPr>
          <w:p>
            <w:pPr>
              <w:spacing w:after="50" w:before="50" w:line="252" w:lineRule="auto"/>
            </w:pPr>
            <w:r>
              <w:rPr>
                <w:sz w:val="17"/>
              </w:rPr>
              <w:t>Workshop, full day</w:t>
            </w:r>
          </w:p>
        </w:tc>
        <w:tc>
          <w:tcPr>
            <w:tcW w:type="dxa" w:w="4099"/>
          </w:tcPr>
          <w:p>
            <w:pPr>
              <w:spacing w:after="50" w:before="50" w:line="252" w:lineRule="auto"/>
            </w:pPr>
            <w:r>
              <w:rPr>
                <w:sz w:val="17"/>
              </w:rPr>
              <w:t>Per session</w:t>
            </w:r>
          </w:p>
        </w:tc>
        <w:tc>
          <w:tcPr>
            <w:tcW w:type="dxa" w:w="933"/>
          </w:tcPr>
          <w:p>
            <w:pPr>
              <w:spacing w:after="50" w:before="50" w:line="252" w:lineRule="auto"/>
            </w:pPr>
            <w:r>
              <w:rPr>
                <w:sz w:val="17"/>
              </w:rPr>
              <w:t>₹[●]</w:t>
            </w:r>
          </w:p>
        </w:tc>
      </w:tr>
      <w:tr>
        <w:tc>
          <w:tcPr>
            <w:tcW w:type="dxa" w:w="4435"/>
            <w:shd w:val="clear" w:color="auto" w:fill="EAF1F4"/>
          </w:tcPr>
          <w:p>
            <w:pPr>
              <w:spacing w:after="50" w:before="50" w:line="252" w:lineRule="auto"/>
            </w:pPr>
            <w:r>
              <w:rPr>
                <w:sz w:val="17"/>
              </w:rPr>
              <w:t>Competition hosting</w:t>
            </w:r>
          </w:p>
        </w:tc>
        <w:tc>
          <w:tcPr>
            <w:tcW w:type="dxa" w:w="4099"/>
            <w:shd w:val="clear" w:color="auto" w:fill="EAF1F4"/>
          </w:tcPr>
          <w:p>
            <w:pPr>
              <w:spacing w:after="50" w:before="50" w:line="252" w:lineRule="auto"/>
            </w:pPr>
            <w:r>
              <w:rPr>
                <w:sz w:val="17"/>
              </w:rPr>
              <w:t>Cost-split per Schedule C</w:t>
            </w:r>
          </w:p>
        </w:tc>
        <w:tc>
          <w:tcPr>
            <w:tcW w:type="dxa" w:w="933"/>
            <w:shd w:val="clear" w:color="auto" w:fill="EAF1F4"/>
          </w:tcPr>
          <w:p>
            <w:pPr>
              <w:spacing w:after="50" w:before="50" w:line="252" w:lineRule="auto"/>
            </w:pPr>
            <w:r>
              <w:rPr>
                <w:sz w:val="17"/>
              </w:rPr>
              <w:t>—</w:t>
            </w:r>
          </w:p>
        </w:tc>
      </w:tr>
      <w:tr>
        <w:tc>
          <w:tcPr>
            <w:tcW w:type="dxa" w:w="4435"/>
          </w:tcPr>
          <w:p>
            <w:pPr>
              <w:spacing w:after="50" w:before="50" w:line="252" w:lineRule="auto"/>
            </w:pPr>
            <w:r>
              <w:rPr>
                <w:sz w:val="17"/>
              </w:rPr>
              <w:t>Coaching, international competition</w:t>
            </w:r>
          </w:p>
        </w:tc>
        <w:tc>
          <w:tcPr>
            <w:tcW w:type="dxa" w:w="4099"/>
          </w:tcPr>
          <w:p>
            <w:pPr>
              <w:spacing w:after="50" w:before="50" w:line="252" w:lineRule="auto"/>
            </w:pPr>
            <w:r>
              <w:rPr>
                <w:sz w:val="17"/>
              </w:rPr>
              <w:t>Per team per season</w:t>
            </w:r>
          </w:p>
        </w:tc>
        <w:tc>
          <w:tcPr>
            <w:tcW w:type="dxa" w:w="933"/>
          </w:tcPr>
          <w:p>
            <w:pPr>
              <w:spacing w:after="50" w:before="50" w:line="252" w:lineRule="auto"/>
            </w:pPr>
            <w:r>
              <w:rPr>
                <w:sz w:val="17"/>
              </w:rPr>
              <w:t>₹[●]</w:t>
            </w:r>
          </w:p>
        </w:tc>
      </w:tr>
      <w:tr>
        <w:tc>
          <w:tcPr>
            <w:tcW w:type="dxa" w:w="4435"/>
            <w:shd w:val="clear" w:color="auto" w:fill="EAF1F4"/>
          </w:tcPr>
          <w:p>
            <w:pPr>
              <w:spacing w:after="50" w:before="50" w:line="252" w:lineRule="auto"/>
            </w:pPr>
            <w:r>
              <w:rPr>
                <w:sz w:val="17"/>
              </w:rPr>
              <w:t>Institutional advisory retainer</w:t>
            </w:r>
          </w:p>
        </w:tc>
        <w:tc>
          <w:tcPr>
            <w:tcW w:type="dxa" w:w="4099"/>
            <w:shd w:val="clear" w:color="auto" w:fill="EAF1F4"/>
          </w:tcPr>
          <w:p>
            <w:pPr>
              <w:spacing w:after="50" w:before="50" w:line="252" w:lineRule="auto"/>
            </w:pPr>
            <w:r>
              <w:rPr>
                <w:sz w:val="17"/>
              </w:rPr>
              <w:t>Per annum</w:t>
            </w:r>
          </w:p>
        </w:tc>
        <w:tc>
          <w:tcPr>
            <w:tcW w:type="dxa" w:w="933"/>
            <w:shd w:val="clear" w:color="auto" w:fill="EAF1F4"/>
          </w:tcPr>
          <w:p>
            <w:pPr>
              <w:spacing w:after="50" w:before="50" w:line="252" w:lineRule="auto"/>
            </w:pPr>
            <w:r>
              <w:rPr>
                <w:sz w:val="17"/>
              </w:rPr>
              <w:t>₹[●]</w:t>
            </w:r>
          </w:p>
        </w:tc>
      </w:tr>
      <w:tr>
        <w:tc>
          <w:tcPr>
            <w:tcW w:type="dxa" w:w="4435"/>
          </w:tcPr>
          <w:p>
            <w:pPr>
              <w:spacing w:after="50" w:before="50" w:line="252" w:lineRule="auto"/>
            </w:pPr>
            <w:r>
              <w:rPr>
                <w:sz w:val="17"/>
              </w:rPr>
              <w:t>External committee member</w:t>
            </w:r>
          </w:p>
        </w:tc>
        <w:tc>
          <w:tcPr>
            <w:tcW w:type="dxa" w:w="4099"/>
          </w:tcPr>
          <w:p>
            <w:pPr>
              <w:spacing w:after="50" w:before="50" w:line="252" w:lineRule="auto"/>
            </w:pPr>
            <w:r>
              <w:rPr>
                <w:sz w:val="17"/>
              </w:rPr>
              <w:t>Per sitting</w:t>
            </w:r>
          </w:p>
        </w:tc>
        <w:tc>
          <w:tcPr>
            <w:tcW w:type="dxa" w:w="933"/>
          </w:tcPr>
          <w:p>
            <w:pPr>
              <w:spacing w:after="50" w:before="50" w:line="252" w:lineRule="auto"/>
            </w:pPr>
            <w:r>
              <w:rPr>
                <w:sz w:val="17"/>
              </w:rPr>
              <w:t>₹[●]</w:t>
            </w:r>
          </w:p>
        </w:tc>
      </w:tr>
    </w:tbl>
    <w:p>
      <w:pPr>
        <w:spacing w:after="80" w:before="0"/>
      </w:pPr>
    </w:p>
    <w:p>
      <w:r>
        <w:rPr>
          <w:b/>
        </w:rPr>
        <w:t>What is provided without charge:</w:t>
      </w:r>
      <w:r>
        <w:t xml:space="preserve"> one guest lecture each year; national webinar access for all students of the University; the Campus Mediation Cell toolkit; curriculum consultation; and Equator judges at University-hosted competitions.</w:t>
      </w:r>
    </w:p>
    <w:p>
      <w:pPr>
        <w:spacing w:before="80" w:after="160"/>
        <w:pBdr>
          <w:bottom w:val="single" w:sz="6" w:space="1" w:color="C9D6DE"/>
        </w:pBdr>
      </w:pPr>
    </w:p>
    <w:p>
      <w:pPr>
        <w:pStyle w:val="Heading1"/>
        <w:pBdr>
          <w:bottom w:val="single" w:sz="8" w:space="4" w:color="C9D6DE"/>
        </w:pBdr>
      </w:pPr>
      <w:r>
        <w:t>8. Proposed timeline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459"/>
            <w:shd w:val="clear" w:color="auto" w:fill="10375C"/>
          </w:tcPr>
          <w:p>
            <w:pPr>
              <w:spacing w:after="50" w:before="50"/>
            </w:pPr>
            <w:r>
              <w:rPr>
                <w:b/>
                <w:color w:val="FFFFFF"/>
                <w:sz w:val="17"/>
              </w:rPr>
              <w:t>Phase</w:t>
            </w:r>
          </w:p>
        </w:tc>
        <w:tc>
          <w:tcPr>
            <w:tcW w:type="dxa" w:w="1547"/>
            <w:shd w:val="clear" w:color="auto" w:fill="10375C"/>
          </w:tcPr>
          <w:p>
            <w:pPr>
              <w:spacing w:after="50" w:before="50"/>
            </w:pPr>
            <w:r>
              <w:rPr>
                <w:b/>
                <w:color w:val="FFFFFF"/>
                <w:sz w:val="17"/>
              </w:rPr>
              <w:t>Period</w:t>
            </w:r>
          </w:p>
        </w:tc>
        <w:tc>
          <w:tcPr>
            <w:tcW w:type="dxa" w:w="6461"/>
            <w:shd w:val="clear" w:color="auto" w:fill="10375C"/>
          </w:tcPr>
          <w:p>
            <w:pPr>
              <w:spacing w:after="50" w:before="50"/>
            </w:pPr>
            <w:r>
              <w:rPr>
                <w:b/>
                <w:color w:val="FFFFFF"/>
                <w:sz w:val="17"/>
              </w:rPr>
              <w:t>Milestones</w:t>
            </w:r>
          </w:p>
        </w:tc>
      </w:tr>
      <w:tr>
        <w:tc>
          <w:tcPr>
            <w:tcW w:type="dxa" w:w="1459"/>
          </w:tcPr>
          <w:p>
            <w:pPr>
              <w:spacing w:after="50" w:before="50" w:line="252" w:lineRule="auto"/>
            </w:pPr>
            <w:r>
              <w:rPr>
                <w:sz w:val="17"/>
              </w:rPr>
              <w:t>Agreement</w:t>
            </w:r>
          </w:p>
        </w:tc>
        <w:tc>
          <w:tcPr>
            <w:tcW w:type="dxa" w:w="1547"/>
          </w:tcPr>
          <w:p>
            <w:pPr>
              <w:spacing w:after="50" w:before="50" w:line="252" w:lineRule="auto"/>
            </w:pPr>
            <w:r>
              <w:rPr>
                <w:sz w:val="17"/>
              </w:rPr>
              <w:t>[●]</w:t>
            </w:r>
          </w:p>
        </w:tc>
        <w:tc>
          <w:tcPr>
            <w:tcW w:type="dxa" w:w="6461"/>
          </w:tcPr>
          <w:p>
            <w:pPr>
              <w:spacing w:after="50" w:before="50" w:line="252" w:lineRule="auto"/>
            </w:pPr>
            <w:r>
              <w:rPr>
                <w:sz w:val="17"/>
              </w:rPr>
              <w:t>Proposal accepted in principle; MOU issued; legal review; execution</w:t>
            </w:r>
          </w:p>
        </w:tc>
      </w:tr>
      <w:tr>
        <w:tc>
          <w:tcPr>
            <w:tcW w:type="dxa" w:w="1459"/>
            <w:shd w:val="clear" w:color="auto" w:fill="EAF1F4"/>
          </w:tcPr>
          <w:p>
            <w:pPr>
              <w:spacing w:after="50" w:before="50" w:line="252" w:lineRule="auto"/>
            </w:pPr>
            <w:r>
              <w:rPr>
                <w:sz w:val="17"/>
              </w:rPr>
              <w:t>Activation</w:t>
            </w:r>
          </w:p>
        </w:tc>
        <w:tc>
          <w:tcPr>
            <w:tcW w:type="dxa" w:w="1547"/>
            <w:shd w:val="clear" w:color="auto" w:fill="EAF1F4"/>
          </w:tcPr>
          <w:p>
            <w:pPr>
              <w:spacing w:after="50" w:before="50" w:line="252" w:lineRule="auto"/>
            </w:pPr>
            <w:r>
              <w:rPr>
                <w:sz w:val="17"/>
              </w:rPr>
              <w:t>30 days from execution</w:t>
            </w:r>
          </w:p>
        </w:tc>
        <w:tc>
          <w:tcPr>
            <w:tcW w:type="dxa" w:w="6461"/>
            <w:shd w:val="clear" w:color="auto" w:fill="EAF1F4"/>
          </w:tcPr>
          <w:p>
            <w:pPr>
              <w:spacing w:after="50" w:before="50" w:line="252" w:lineRule="auto"/>
            </w:pPr>
            <w:r>
              <w:rPr>
                <w:sz w:val="17"/>
              </w:rPr>
              <w:t>Nodal officers named; kick-off; first-year calendar agreed; facilities walkthrough</w:t>
            </w:r>
          </w:p>
        </w:tc>
      </w:tr>
      <w:tr>
        <w:tc>
          <w:tcPr>
            <w:tcW w:type="dxa" w:w="1459"/>
          </w:tcPr>
          <w:p>
            <w:pPr>
              <w:spacing w:after="50" w:before="50" w:line="252" w:lineRule="auto"/>
            </w:pPr>
            <w:r>
              <w:rPr>
                <w:sz w:val="17"/>
              </w:rPr>
              <w:t>First cycle</w:t>
            </w:r>
          </w:p>
        </w:tc>
        <w:tc>
          <w:tcPr>
            <w:tcW w:type="dxa" w:w="1547"/>
          </w:tcPr>
          <w:p>
            <w:pPr>
              <w:spacing w:after="50" w:before="50" w:line="252" w:lineRule="auto"/>
            </w:pPr>
            <w:r>
              <w:rPr>
                <w:sz w:val="17"/>
              </w:rPr>
              <w:t>[●]</w:t>
            </w:r>
          </w:p>
        </w:tc>
        <w:tc>
          <w:tcPr>
            <w:tcW w:type="dxa" w:w="6461"/>
          </w:tcPr>
          <w:p>
            <w:pPr>
              <w:spacing w:after="50" w:before="50" w:line="252" w:lineRule="auto"/>
            </w:pPr>
            <w:r>
              <w:rPr>
                <w:sz w:val="17"/>
              </w:rPr>
              <w:t>Guest lecture; first certificate cohort; first workshop; internship intake</w:t>
            </w:r>
          </w:p>
        </w:tc>
      </w:tr>
      <w:tr>
        <w:tc>
          <w:tcPr>
            <w:tcW w:type="dxa" w:w="1459"/>
            <w:shd w:val="clear" w:color="auto" w:fill="EAF1F4"/>
          </w:tcPr>
          <w:p>
            <w:pPr>
              <w:spacing w:after="50" w:before="50" w:line="252" w:lineRule="auto"/>
            </w:pPr>
            <w:r>
              <w:rPr>
                <w:sz w:val="17"/>
              </w:rPr>
              <w:t>Consolidation</w:t>
            </w:r>
          </w:p>
        </w:tc>
        <w:tc>
          <w:tcPr>
            <w:tcW w:type="dxa" w:w="1547"/>
            <w:shd w:val="clear" w:color="auto" w:fill="EAF1F4"/>
          </w:tcPr>
          <w:p>
            <w:pPr>
              <w:spacing w:after="50" w:before="50" w:line="252" w:lineRule="auto"/>
            </w:pPr>
            <w:r>
              <w:rPr>
                <w:sz w:val="17"/>
              </w:rPr>
              <w:t>[●]</w:t>
            </w:r>
          </w:p>
        </w:tc>
        <w:tc>
          <w:tcPr>
            <w:tcW w:type="dxa" w:w="6461"/>
            <w:shd w:val="clear" w:color="auto" w:fill="EAF1F4"/>
          </w:tcPr>
          <w:p>
            <w:pPr>
              <w:spacing w:after="50" w:before="50" w:line="252" w:lineRule="auto"/>
            </w:pPr>
            <w:r>
              <w:rPr>
                <w:sz w:val="17"/>
              </w:rPr>
              <w:t>FDP; competition round; Mediation Week; first joint publication</w:t>
            </w:r>
          </w:p>
        </w:tc>
      </w:tr>
      <w:tr>
        <w:tc>
          <w:tcPr>
            <w:tcW w:type="dxa" w:w="1459"/>
          </w:tcPr>
          <w:p>
            <w:pPr>
              <w:spacing w:after="50" w:before="50" w:line="252" w:lineRule="auto"/>
            </w:pPr>
            <w:r>
              <w:rPr>
                <w:sz w:val="17"/>
              </w:rPr>
              <w:t>Review</w:t>
            </w:r>
          </w:p>
        </w:tc>
        <w:tc>
          <w:tcPr>
            <w:tcW w:type="dxa" w:w="1547"/>
          </w:tcPr>
          <w:p>
            <w:pPr>
              <w:spacing w:after="50" w:before="50" w:line="252" w:lineRule="auto"/>
            </w:pPr>
            <w:r>
              <w:rPr>
                <w:sz w:val="17"/>
              </w:rPr>
              <w:t>[●]</w:t>
            </w:r>
          </w:p>
        </w:tc>
        <w:tc>
          <w:tcPr>
            <w:tcW w:type="dxa" w:w="6461"/>
          </w:tcPr>
          <w:p>
            <w:pPr>
              <w:spacing w:after="50" w:before="50" w:line="252" w:lineRule="auto"/>
            </w:pPr>
            <w:r>
              <w:rPr>
                <w:sz w:val="17"/>
              </w:rPr>
              <w:t>Annual review; renewal decision</w:t>
            </w:r>
          </w:p>
        </w:tc>
      </w:tr>
    </w:tbl>
    <w:p>
      <w:pPr>
        <w:spacing w:after="80" w:before="0"/>
      </w:pPr>
    </w:p>
    <w:p>
      <w:pPr>
        <w:spacing w:before="80" w:after="160"/>
        <w:pBdr>
          <w:bottom w:val="single" w:sz="6" w:space="1" w:color="C9D6DE"/>
        </w:pBdr>
      </w:pPr>
    </w:p>
    <w:p>
      <w:pPr>
        <w:pStyle w:val="Heading1"/>
        <w:pBdr>
          <w:bottom w:val="single" w:sz="8" w:space="4" w:color="C9D6DE"/>
        </w:pBdr>
      </w:pPr>
      <w:r>
        <w:t>9. Why Equator</w:t>
      </w:r>
    </w:p>
    <w:p>
      <w:pPr>
        <w:pStyle w:val="ListBullet"/>
      </w:pPr>
      <w:r>
        <w:rPr>
          <w:b/>
          <w:sz w:val="21"/>
        </w:rPr>
        <w:t>A working dispute-resolution institution, not only a training provider.</w:t>
      </w:r>
      <w:r>
        <w:rPr>
          <w:sz w:val="21"/>
        </w:rPr>
        <w:t xml:space="preserve"> We administer live matters across five verticals. Students see real practice; teaching is drawn from it.</w:t>
      </w:r>
    </w:p>
    <w:p>
      <w:pPr>
        <w:pStyle w:val="ListBullet"/>
      </w:pPr>
      <w:r>
        <w:rPr>
          <w:b/>
          <w:sz w:val="21"/>
        </w:rPr>
        <w:t>Curriculum built to the prevailing benchmark.</w:t>
      </w:r>
      <w:r>
        <w:rPr>
          <w:sz w:val="21"/>
        </w:rPr>
        <w:t xml:space="preserve"> Structured on the 40-hour basic and 20-hour advanced model used by court-annexed centres, and designed to be re-mapped promptly when the Mediation Council of India notifies standards.</w:t>
      </w:r>
    </w:p>
    <w:p>
      <w:pPr>
        <w:pStyle w:val="ListBullet"/>
      </w:pPr>
      <w:r>
        <w:rPr>
          <w:b/>
          <w:sz w:val="21"/>
        </w:rPr>
        <w:t>A complete academic offering.</w:t>
      </w:r>
      <w:r>
        <w:rPr>
          <w:sz w:val="21"/>
        </w:rPr>
        <w:t xml:space="preserve"> Curriculum, competitions, internships, clinics, research and employment pathway under one roof.</w:t>
      </w:r>
    </w:p>
    <w:p>
      <w:pPr>
        <w:pStyle w:val="ListBullet"/>
      </w:pPr>
      <w:r>
        <w:rPr>
          <w:b/>
          <w:sz w:val="21"/>
        </w:rPr>
        <w:t>Documentation discipline.</w:t>
      </w:r>
      <w:r>
        <w:rPr>
          <w:sz w:val="21"/>
        </w:rPr>
        <w:t xml:space="preserve"> Every programme generates attendance, assessment, feedback and reporting that the University can place directly in its own accreditation file.</w:t>
      </w:r>
    </w:p>
    <w:p>
      <w:pPr>
        <w:pStyle w:val="ListBullet"/>
      </w:pPr>
      <w:r>
        <w:rPr>
          <w:b/>
          <w:sz w:val="21"/>
        </w:rPr>
        <w:t>Institutional governance.</w:t>
      </w:r>
      <w:r>
        <w:rPr>
          <w:sz w:val="21"/>
        </w:rPr>
        <w:t xml:space="preserve"> Named nodal officers, a steering committee, an annual review, an escalation route, and defined data protection and safeguarding obligations.</w:t>
      </w:r>
    </w:p>
    <w:p>
      <w:pPr>
        <w:spacing w:before="80" w:after="160"/>
        <w:pBdr>
          <w:bottom w:val="single" w:sz="6" w:space="1" w:color="C9D6DE"/>
        </w:pBdr>
      </w:pPr>
    </w:p>
    <w:p>
      <w:pPr>
        <w:pStyle w:val="Heading1"/>
        <w:pBdr>
          <w:bottom w:val="single" w:sz="8" w:space="4" w:color="C9D6DE"/>
        </w:pBdr>
      </w:pPr>
      <w:r>
        <w:t>10. What we ask</w:t>
      </w:r>
    </w:p>
    <w:p>
      <w:pPr>
        <w:pStyle w:val="ListNumber"/>
      </w:pPr>
      <w:r>
        <w:rPr>
          <w:sz w:val="21"/>
        </w:rPr>
        <w:t xml:space="preserve">A decision in principle by </w:t>
      </w:r>
      <w:r>
        <w:rPr>
          <w:b/>
          <w:sz w:val="21"/>
        </w:rPr>
        <w:t>[●]</w:t>
      </w:r>
      <w:r>
        <w:rPr>
          <w:sz w:val="21"/>
        </w:rPr>
        <w:t>.</w:t>
      </w:r>
    </w:p>
    <w:p>
      <w:pPr>
        <w:pStyle w:val="ListNumber"/>
      </w:pPr>
      <w:r>
        <w:rPr>
          <w:sz w:val="21"/>
        </w:rPr>
        <w:t>Nomination of a nodal officer.</w:t>
      </w:r>
    </w:p>
    <w:p>
      <w:pPr>
        <w:pStyle w:val="ListNumber"/>
      </w:pPr>
      <w:r>
        <w:rPr>
          <w:sz w:val="21"/>
        </w:rPr>
        <w:t>Permission to issue the draft Memorandum of Understanding for the University's legal review.</w:t>
      </w:r>
    </w:p>
    <w:p>
      <w:pPr>
        <w:spacing w:before="80" w:after="160"/>
        <w:pBdr>
          <w:bottom w:val="single" w:sz="6" w:space="1" w:color="C9D6DE"/>
        </w:pBdr>
      </w:pPr>
    </w:p>
    <w:p>
      <w:r>
        <w:br w:type="page"/>
      </w:r>
    </w:p>
    <w:p>
      <w:pPr>
        <w:pStyle w:val="Heading1"/>
        <w:pBdr>
          <w:bottom w:val="single" w:sz="8" w:space="4" w:color="C9D6DE"/>
        </w:pBdr>
      </w:pPr>
      <w:r>
        <w:t>Annexure 1 · Accreditation and ranking evidence generated</w:t>
      </w:r>
    </w:p>
    <w:p>
      <w:r>
        <w:rPr>
          <w:i/>
        </w:rPr>
        <w:t>For the University's internal documentation. Confirm parameter definitions against current NAAC and NIRF frameworks before relying on this table.</w:t>
      </w:r>
      <w:r>
        <w:t xml:space="preserve"> </w:t>
      </w:r>
      <w:r>
        <w:rPr>
          <w:b/>
        </w:rPr>
        <w:t>[verify]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567"/>
            <w:shd w:val="clear" w:color="auto" w:fill="10375C"/>
          </w:tcPr>
          <w:p>
            <w:pPr>
              <w:spacing w:after="50" w:before="50"/>
            </w:pPr>
            <w:r>
              <w:rPr>
                <w:b/>
                <w:color w:val="FFFFFF"/>
                <w:sz w:val="17"/>
              </w:rPr>
              <w:t>Activity under the collaboration</w:t>
            </w:r>
          </w:p>
        </w:tc>
        <w:tc>
          <w:tcPr>
            <w:tcW w:type="dxa" w:w="3450"/>
            <w:shd w:val="clear" w:color="auto" w:fill="10375C"/>
          </w:tcPr>
          <w:p>
            <w:pPr>
              <w:spacing w:after="50" w:before="50"/>
            </w:pPr>
            <w:r>
              <w:rPr>
                <w:b/>
                <w:color w:val="FFFFFF"/>
                <w:sz w:val="17"/>
              </w:rPr>
              <w:t>Documentary output generated</w:t>
            </w:r>
          </w:p>
        </w:tc>
        <w:tc>
          <w:tcPr>
            <w:tcW w:type="dxa" w:w="3450"/>
            <w:shd w:val="clear" w:color="auto" w:fill="10375C"/>
          </w:tcPr>
          <w:p>
            <w:pPr>
              <w:spacing w:after="50" w:before="50"/>
            </w:pPr>
            <w:r>
              <w:rPr>
                <w:b/>
                <w:color w:val="FFFFFF"/>
                <w:sz w:val="17"/>
              </w:rPr>
              <w:t>Typical institutional use</w:t>
            </w:r>
          </w:p>
        </w:tc>
      </w:tr>
      <w:tr>
        <w:tc>
          <w:tcPr>
            <w:tcW w:type="dxa" w:w="2567"/>
          </w:tcPr>
          <w:p>
            <w:pPr>
              <w:spacing w:after="50" w:before="50" w:line="252" w:lineRule="auto"/>
            </w:pPr>
            <w:r>
              <w:rPr>
                <w:sz w:val="17"/>
              </w:rPr>
              <w:t>Signed MOU with an outside organisation</w:t>
            </w:r>
          </w:p>
        </w:tc>
        <w:tc>
          <w:tcPr>
            <w:tcW w:type="dxa" w:w="3450"/>
          </w:tcPr>
          <w:p>
            <w:pPr>
              <w:spacing w:after="50" w:before="50" w:line="252" w:lineRule="auto"/>
            </w:pPr>
            <w:r>
              <w:rPr>
                <w:sz w:val="17"/>
              </w:rPr>
              <w:t>Executed MOU, activity reports</w:t>
            </w:r>
          </w:p>
        </w:tc>
        <w:tc>
          <w:tcPr>
            <w:tcW w:type="dxa" w:w="3450"/>
          </w:tcPr>
          <w:p>
            <w:pPr>
              <w:spacing w:after="50" w:before="50" w:line="252" w:lineRule="auto"/>
            </w:pPr>
            <w:r>
              <w:rPr>
                <w:sz w:val="17"/>
              </w:rPr>
              <w:t>Industry and institutional linkage; internship-embedded degree compliance</w:t>
            </w:r>
          </w:p>
        </w:tc>
      </w:tr>
      <w:tr>
        <w:tc>
          <w:tcPr>
            <w:tcW w:type="dxa" w:w="2567"/>
            <w:shd w:val="clear" w:color="auto" w:fill="EAF1F4"/>
          </w:tcPr>
          <w:p>
            <w:pPr>
              <w:spacing w:after="50" w:before="50" w:line="252" w:lineRule="auto"/>
            </w:pPr>
            <w:r>
              <w:rPr>
                <w:sz w:val="17"/>
              </w:rPr>
              <w:t>Certificate courses delivered on campus</w:t>
            </w:r>
          </w:p>
        </w:tc>
        <w:tc>
          <w:tcPr>
            <w:tcW w:type="dxa" w:w="3450"/>
            <w:shd w:val="clear" w:color="auto" w:fill="EAF1F4"/>
          </w:tcPr>
          <w:p>
            <w:pPr>
              <w:spacing w:after="50" w:before="50" w:line="252" w:lineRule="auto"/>
            </w:pPr>
            <w:r>
              <w:rPr>
                <w:sz w:val="17"/>
              </w:rPr>
              <w:t>Attendance registers, assessment records, certificates, feedback analysis</w:t>
            </w:r>
          </w:p>
        </w:tc>
        <w:tc>
          <w:tcPr>
            <w:tcW w:type="dxa" w:w="3450"/>
            <w:shd w:val="clear" w:color="auto" w:fill="EAF1F4"/>
          </w:tcPr>
          <w:p>
            <w:pPr>
              <w:spacing w:after="50" w:before="50" w:line="252" w:lineRule="auto"/>
            </w:pPr>
            <w:r>
              <w:rPr>
                <w:sz w:val="17"/>
              </w:rPr>
              <w:t>Value-added and add-on course records; student progression</w:t>
            </w:r>
          </w:p>
        </w:tc>
      </w:tr>
      <w:tr>
        <w:tc>
          <w:tcPr>
            <w:tcW w:type="dxa" w:w="2567"/>
          </w:tcPr>
          <w:p>
            <w:pPr>
              <w:spacing w:after="50" w:before="50" w:line="252" w:lineRule="auto"/>
            </w:pPr>
            <w:r>
              <w:rPr>
                <w:sz w:val="17"/>
              </w:rPr>
              <w:t>Faculty Development Programme</w:t>
            </w:r>
          </w:p>
        </w:tc>
        <w:tc>
          <w:tcPr>
            <w:tcW w:type="dxa" w:w="3450"/>
          </w:tcPr>
          <w:p>
            <w:pPr>
              <w:spacing w:after="50" w:before="50" w:line="252" w:lineRule="auto"/>
            </w:pPr>
            <w:r>
              <w:rPr>
                <w:sz w:val="17"/>
              </w:rPr>
              <w:t>Programme schedule, participant list, certificates, feedback</w:t>
            </w:r>
          </w:p>
        </w:tc>
        <w:tc>
          <w:tcPr>
            <w:tcW w:type="dxa" w:w="3450"/>
          </w:tcPr>
          <w:p>
            <w:pPr>
              <w:spacing w:after="50" w:before="50" w:line="252" w:lineRule="auto"/>
            </w:pPr>
            <w:r>
              <w:rPr>
                <w:sz w:val="17"/>
              </w:rPr>
              <w:t>Faculty development records</w:t>
            </w:r>
          </w:p>
        </w:tc>
      </w:tr>
      <w:tr>
        <w:tc>
          <w:tcPr>
            <w:tcW w:type="dxa" w:w="2567"/>
            <w:shd w:val="clear" w:color="auto" w:fill="EAF1F4"/>
          </w:tcPr>
          <w:p>
            <w:pPr>
              <w:spacing w:after="50" w:before="50" w:line="252" w:lineRule="auto"/>
            </w:pPr>
            <w:r>
              <w:rPr>
                <w:sz w:val="17"/>
              </w:rPr>
              <w:t>Internships with external evaluation</w:t>
            </w:r>
          </w:p>
        </w:tc>
        <w:tc>
          <w:tcPr>
            <w:tcW w:type="dxa" w:w="3450"/>
            <w:shd w:val="clear" w:color="auto" w:fill="EAF1F4"/>
          </w:tcPr>
          <w:p>
            <w:pPr>
              <w:spacing w:after="50" w:before="50" w:line="252" w:lineRule="auto"/>
            </w:pPr>
            <w:r>
              <w:rPr>
                <w:sz w:val="17"/>
              </w:rPr>
              <w:t>Learning agreements, supervisor evaluations, completion certificates</w:t>
            </w:r>
          </w:p>
        </w:tc>
        <w:tc>
          <w:tcPr>
            <w:tcW w:type="dxa" w:w="3450"/>
            <w:shd w:val="clear" w:color="auto" w:fill="EAF1F4"/>
          </w:tcPr>
          <w:p>
            <w:pPr>
              <w:spacing w:after="50" w:before="50" w:line="252" w:lineRule="auto"/>
            </w:pPr>
            <w:r>
              <w:rPr>
                <w:sz w:val="17"/>
              </w:rPr>
              <w:t>Internship credit; employability evidence</w:t>
            </w:r>
          </w:p>
        </w:tc>
      </w:tr>
      <w:tr>
        <w:tc>
          <w:tcPr>
            <w:tcW w:type="dxa" w:w="2567"/>
          </w:tcPr>
          <w:p>
            <w:pPr>
              <w:spacing w:after="50" w:before="50" w:line="252" w:lineRule="auto"/>
            </w:pPr>
            <w:r>
              <w:rPr>
                <w:sz w:val="17"/>
              </w:rPr>
              <w:t>Competitions hosted and won</w:t>
            </w:r>
          </w:p>
        </w:tc>
        <w:tc>
          <w:tcPr>
            <w:tcW w:type="dxa" w:w="3450"/>
          </w:tcPr>
          <w:p>
            <w:pPr>
              <w:spacing w:after="50" w:before="50" w:line="252" w:lineRule="auto"/>
            </w:pPr>
            <w:r>
              <w:rPr>
                <w:sz w:val="17"/>
              </w:rPr>
              <w:t>Rules, participation records, results, media coverage</w:t>
            </w:r>
          </w:p>
        </w:tc>
        <w:tc>
          <w:tcPr>
            <w:tcW w:type="dxa" w:w="3450"/>
          </w:tcPr>
          <w:p>
            <w:pPr>
              <w:spacing w:after="50" w:before="50" w:line="252" w:lineRule="auto"/>
            </w:pPr>
            <w:r>
              <w:rPr>
                <w:sz w:val="17"/>
              </w:rPr>
              <w:t>Student achievement; institutional visibility</w:t>
            </w:r>
          </w:p>
        </w:tc>
      </w:tr>
      <w:tr>
        <w:tc>
          <w:tcPr>
            <w:tcW w:type="dxa" w:w="2567"/>
            <w:shd w:val="clear" w:color="auto" w:fill="EAF1F4"/>
          </w:tcPr>
          <w:p>
            <w:pPr>
              <w:spacing w:after="50" w:before="50" w:line="252" w:lineRule="auto"/>
            </w:pPr>
            <w:r>
              <w:rPr>
                <w:sz w:val="17"/>
              </w:rPr>
              <w:t>Joint publications</w:t>
            </w:r>
          </w:p>
        </w:tc>
        <w:tc>
          <w:tcPr>
            <w:tcW w:type="dxa" w:w="3450"/>
            <w:shd w:val="clear" w:color="auto" w:fill="EAF1F4"/>
          </w:tcPr>
          <w:p>
            <w:pPr>
              <w:spacing w:after="50" w:before="50" w:line="252" w:lineRule="auto"/>
            </w:pPr>
            <w:r>
              <w:rPr>
                <w:sz w:val="17"/>
              </w:rPr>
              <w:t>Papers, reports, citation records</w:t>
            </w:r>
          </w:p>
        </w:tc>
        <w:tc>
          <w:tcPr>
            <w:tcW w:type="dxa" w:w="3450"/>
            <w:shd w:val="clear" w:color="auto" w:fill="EAF1F4"/>
          </w:tcPr>
          <w:p>
            <w:pPr>
              <w:spacing w:after="50" w:before="50" w:line="252" w:lineRule="auto"/>
            </w:pPr>
            <w:r>
              <w:rPr>
                <w:sz w:val="17"/>
              </w:rPr>
              <w:t>Research output</w:t>
            </w:r>
          </w:p>
        </w:tc>
      </w:tr>
      <w:tr>
        <w:tc>
          <w:tcPr>
            <w:tcW w:type="dxa" w:w="2567"/>
          </w:tcPr>
          <w:p>
            <w:pPr>
              <w:spacing w:after="50" w:before="50" w:line="252" w:lineRule="auto"/>
            </w:pPr>
            <w:r>
              <w:rPr>
                <w:sz w:val="17"/>
              </w:rPr>
              <w:t>Extension and community activity</w:t>
            </w:r>
          </w:p>
        </w:tc>
        <w:tc>
          <w:tcPr>
            <w:tcW w:type="dxa" w:w="3450"/>
          </w:tcPr>
          <w:p>
            <w:pPr>
              <w:spacing w:after="50" w:before="50" w:line="252" w:lineRule="auto"/>
            </w:pPr>
            <w:r>
              <w:rPr>
                <w:sz w:val="17"/>
              </w:rPr>
              <w:t>Camp reports, beneficiary records, photographs</w:t>
            </w:r>
          </w:p>
        </w:tc>
        <w:tc>
          <w:tcPr>
            <w:tcW w:type="dxa" w:w="3450"/>
          </w:tcPr>
          <w:p>
            <w:pPr>
              <w:spacing w:after="50" w:before="50" w:line="252" w:lineRule="auto"/>
            </w:pPr>
            <w:r>
              <w:rPr>
                <w:sz w:val="17"/>
              </w:rPr>
              <w:t>Extension activity records</w:t>
            </w:r>
          </w:p>
        </w:tc>
      </w:tr>
      <w:tr>
        <w:tc>
          <w:tcPr>
            <w:tcW w:type="dxa" w:w="2567"/>
            <w:shd w:val="clear" w:color="auto" w:fill="EAF1F4"/>
          </w:tcPr>
          <w:p>
            <w:pPr>
              <w:spacing w:after="50" w:before="50" w:line="252" w:lineRule="auto"/>
            </w:pPr>
            <w:r>
              <w:rPr>
                <w:sz w:val="17"/>
              </w:rPr>
              <w:t>Institutional advisory work</w:t>
            </w:r>
          </w:p>
        </w:tc>
        <w:tc>
          <w:tcPr>
            <w:tcW w:type="dxa" w:w="3450"/>
            <w:shd w:val="clear" w:color="auto" w:fill="EAF1F4"/>
          </w:tcPr>
          <w:p>
            <w:pPr>
              <w:spacing w:after="50" w:before="50" w:line="252" w:lineRule="auto"/>
            </w:pPr>
            <w:r>
              <w:rPr>
                <w:sz w:val="17"/>
              </w:rPr>
              <w:t>Process documents, training records</w:t>
            </w:r>
          </w:p>
        </w:tc>
        <w:tc>
          <w:tcPr>
            <w:tcW w:type="dxa" w:w="3450"/>
            <w:shd w:val="clear" w:color="auto" w:fill="EAF1F4"/>
          </w:tcPr>
          <w:p>
            <w:pPr>
              <w:spacing w:after="50" w:before="50" w:line="252" w:lineRule="auto"/>
            </w:pPr>
            <w:r>
              <w:rPr>
                <w:sz w:val="17"/>
              </w:rPr>
              <w:t>Governance and grievance machinery evidence</w:t>
            </w:r>
          </w:p>
        </w:tc>
      </w:tr>
    </w:tbl>
    <w:p>
      <w:pPr>
        <w:spacing w:after="80" w:before="0"/>
      </w:pPr>
    </w:p>
    <w:p>
      <w:pPr>
        <w:spacing w:before="80" w:after="160"/>
        <w:pBdr>
          <w:bottom w:val="single" w:sz="6" w:space="1" w:color="C9D6DE"/>
        </w:pBdr>
      </w:pPr>
    </w:p>
    <w:p>
      <w:pPr>
        <w:pStyle w:val="Heading1"/>
        <w:pBdr>
          <w:bottom w:val="single" w:sz="8" w:space="4" w:color="C9D6DE"/>
        </w:pBdr>
      </w:pPr>
      <w:r>
        <w:t>Annexure 2 · Draft first-year activity calendar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Month</w:t>
            </w:r>
          </w:p>
        </w:tc>
        <w:tc>
          <w:tcPr>
            <w:tcW w:type="dxa" w:w="4912"/>
            <w:shd w:val="clear" w:color="auto" w:fill="10375C"/>
          </w:tcPr>
          <w:p>
            <w:pPr>
              <w:spacing w:after="50" w:before="50"/>
            </w:pPr>
            <w:r>
              <w:rPr>
                <w:b/>
                <w:color w:val="FFFFFF"/>
                <w:sz w:val="17"/>
              </w:rPr>
              <w:t>Activity</w:t>
            </w:r>
          </w:p>
        </w:tc>
        <w:tc>
          <w:tcPr>
            <w:tcW w:type="dxa" w:w="1769"/>
            <w:shd w:val="clear" w:color="auto" w:fill="10375C"/>
          </w:tcPr>
          <w:p>
            <w:pPr>
              <w:spacing w:after="50" w:before="50"/>
            </w:pPr>
            <w:r>
              <w:rPr>
                <w:b/>
                <w:color w:val="FFFFFF"/>
                <w:sz w:val="17"/>
              </w:rPr>
              <w:t>Audience</w:t>
            </w:r>
          </w:p>
        </w:tc>
        <w:tc>
          <w:tcPr>
            <w:tcW w:type="dxa" w:w="1165"/>
            <w:shd w:val="clear" w:color="auto" w:fill="10375C"/>
          </w:tcPr>
          <w:p>
            <w:pPr>
              <w:spacing w:after="50" w:before="50"/>
            </w:pPr>
            <w:r>
              <w:rPr>
                <w:b/>
                <w:color w:val="FFFFFF"/>
                <w:sz w:val="17"/>
              </w:rPr>
              <w:t>Delivered by</w:t>
            </w:r>
          </w:p>
        </w:tc>
        <w:tc>
          <w:tcPr>
            <w:tcW w:type="dxa" w:w="962"/>
            <w:shd w:val="clear" w:color="auto" w:fill="10375C"/>
          </w:tcPr>
          <w:p>
            <w:pPr>
              <w:spacing w:after="50" w:before="50"/>
            </w:pPr>
            <w:r>
              <w:rPr>
                <w:b/>
                <w:color w:val="FFFFFF"/>
                <w:sz w:val="17"/>
              </w:rPr>
              <w:t>Charged</w:t>
            </w:r>
          </w:p>
        </w:tc>
      </w:tr>
      <w:tr>
        <w:tc>
          <w:tcPr>
            <w:tcW w:type="dxa" w:w="850"/>
          </w:tcPr>
          <w:p>
            <w:pPr>
              <w:spacing w:after="50" w:before="50" w:line="252" w:lineRule="auto"/>
            </w:pPr>
            <w:r>
              <w:rPr>
                <w:sz w:val="17"/>
              </w:rPr>
              <w:t>[●]</w:t>
            </w:r>
          </w:p>
        </w:tc>
        <w:tc>
          <w:tcPr>
            <w:tcW w:type="dxa" w:w="4912"/>
          </w:tcPr>
          <w:p>
            <w:pPr>
              <w:spacing w:after="50" w:before="50" w:line="252" w:lineRule="auto"/>
            </w:pPr>
            <w:r>
              <w:rPr>
                <w:sz w:val="17"/>
              </w:rPr>
              <w:t>Guest lecture and programme launch</w:t>
            </w:r>
          </w:p>
        </w:tc>
        <w:tc>
          <w:tcPr>
            <w:tcW w:type="dxa" w:w="1769"/>
          </w:tcPr>
          <w:p>
            <w:pPr>
              <w:spacing w:after="50" w:before="50" w:line="252" w:lineRule="auto"/>
            </w:pPr>
            <w:r>
              <w:rPr>
                <w:sz w:val="17"/>
              </w:rPr>
              <w:t>All students</w:t>
            </w:r>
          </w:p>
        </w:tc>
        <w:tc>
          <w:tcPr>
            <w:tcW w:type="dxa" w:w="1165"/>
          </w:tcPr>
          <w:p>
            <w:pPr>
              <w:spacing w:after="50" w:before="50" w:line="252" w:lineRule="auto"/>
            </w:pPr>
            <w:r>
              <w:rPr>
                <w:sz w:val="17"/>
              </w:rPr>
              <w:t>Equator</w:t>
            </w:r>
          </w:p>
        </w:tc>
        <w:tc>
          <w:tcPr>
            <w:tcW w:type="dxa" w:w="962"/>
          </w:tcPr>
          <w:p>
            <w:pPr>
              <w:spacing w:after="50" w:before="50" w:line="252" w:lineRule="auto"/>
            </w:pPr>
            <w:r>
              <w:rPr>
                <w:sz w:val="17"/>
              </w:rPr>
              <w:t>No</w:t>
            </w:r>
          </w:p>
        </w:tc>
      </w:tr>
      <w:tr>
        <w:tc>
          <w:tcPr>
            <w:tcW w:type="dxa" w:w="850"/>
            <w:shd w:val="clear" w:color="auto" w:fill="EAF1F4"/>
          </w:tcPr>
          <w:p>
            <w:pPr>
              <w:spacing w:after="50" w:before="50" w:line="252" w:lineRule="auto"/>
            </w:pPr>
            <w:r>
              <w:rPr>
                <w:sz w:val="17"/>
              </w:rPr>
              <w:t>[●]</w:t>
            </w:r>
          </w:p>
        </w:tc>
        <w:tc>
          <w:tcPr>
            <w:tcW w:type="dxa" w:w="4912"/>
            <w:shd w:val="clear" w:color="auto" w:fill="EAF1F4"/>
          </w:tcPr>
          <w:p>
            <w:pPr>
              <w:spacing w:after="50" w:before="50" w:line="252" w:lineRule="auto"/>
            </w:pPr>
            <w:r>
              <w:rPr>
                <w:sz w:val="17"/>
              </w:rPr>
              <w:t>Campus Mediation Cell — constitution and selection</w:t>
            </w:r>
          </w:p>
        </w:tc>
        <w:tc>
          <w:tcPr>
            <w:tcW w:type="dxa" w:w="1769"/>
            <w:shd w:val="clear" w:color="auto" w:fill="EAF1F4"/>
          </w:tcPr>
          <w:p>
            <w:pPr>
              <w:spacing w:after="50" w:before="50" w:line="252" w:lineRule="auto"/>
            </w:pPr>
            <w:r>
              <w:rPr>
                <w:sz w:val="17"/>
              </w:rPr>
              <w:t>Selected students</w:t>
            </w:r>
          </w:p>
        </w:tc>
        <w:tc>
          <w:tcPr>
            <w:tcW w:type="dxa" w:w="1165"/>
            <w:shd w:val="clear" w:color="auto" w:fill="EAF1F4"/>
          </w:tcPr>
          <w:p>
            <w:pPr>
              <w:spacing w:after="50" w:before="50" w:line="252" w:lineRule="auto"/>
            </w:pPr>
            <w:r>
              <w:rPr>
                <w:sz w:val="17"/>
              </w:rPr>
              <w:t>Joint</w:t>
            </w:r>
          </w:p>
        </w:tc>
        <w:tc>
          <w:tcPr>
            <w:tcW w:type="dxa" w:w="962"/>
            <w:shd w:val="clear" w:color="auto" w:fill="EAF1F4"/>
          </w:tcPr>
          <w:p>
            <w:pPr>
              <w:spacing w:after="50" w:before="50" w:line="252" w:lineRule="auto"/>
            </w:pPr>
            <w:r>
              <w:rPr>
                <w:sz w:val="17"/>
              </w:rPr>
              <w:t>No</w:t>
            </w:r>
          </w:p>
        </w:tc>
      </w:tr>
      <w:tr>
        <w:tc>
          <w:tcPr>
            <w:tcW w:type="dxa" w:w="850"/>
          </w:tcPr>
          <w:p>
            <w:pPr>
              <w:spacing w:after="50" w:before="50" w:line="252" w:lineRule="auto"/>
            </w:pPr>
            <w:r>
              <w:rPr>
                <w:sz w:val="17"/>
              </w:rPr>
              <w:t>[●]</w:t>
            </w:r>
          </w:p>
        </w:tc>
        <w:tc>
          <w:tcPr>
            <w:tcW w:type="dxa" w:w="4912"/>
          </w:tcPr>
          <w:p>
            <w:pPr>
              <w:spacing w:after="50" w:before="50" w:line="252" w:lineRule="auto"/>
            </w:pPr>
            <w:r>
              <w:rPr>
                <w:sz w:val="17"/>
              </w:rPr>
              <w:t>Certificate course, cohort 1</w:t>
            </w:r>
          </w:p>
        </w:tc>
        <w:tc>
          <w:tcPr>
            <w:tcW w:type="dxa" w:w="1769"/>
          </w:tcPr>
          <w:p>
            <w:pPr>
              <w:spacing w:after="50" w:before="50" w:line="252" w:lineRule="auto"/>
            </w:pPr>
            <w:r>
              <w:rPr>
                <w:sz w:val="17"/>
              </w:rPr>
              <w:t>[●] students</w:t>
            </w:r>
          </w:p>
        </w:tc>
        <w:tc>
          <w:tcPr>
            <w:tcW w:type="dxa" w:w="1165"/>
          </w:tcPr>
          <w:p>
            <w:pPr>
              <w:spacing w:after="50" w:before="50" w:line="252" w:lineRule="auto"/>
            </w:pPr>
            <w:r>
              <w:rPr>
                <w:sz w:val="17"/>
              </w:rPr>
              <w:t>Equator</w:t>
            </w:r>
          </w:p>
        </w:tc>
        <w:tc>
          <w:tcPr>
            <w:tcW w:type="dxa" w:w="962"/>
          </w:tcPr>
          <w:p>
            <w:pPr>
              <w:spacing w:after="50" w:before="50" w:line="252" w:lineRule="auto"/>
            </w:pPr>
            <w:r>
              <w:rPr>
                <w:sz w:val="17"/>
              </w:rPr>
              <w:t>Yes</w:t>
            </w:r>
          </w:p>
        </w:tc>
      </w:tr>
      <w:tr>
        <w:tc>
          <w:tcPr>
            <w:tcW w:type="dxa" w:w="850"/>
            <w:shd w:val="clear" w:color="auto" w:fill="EAF1F4"/>
          </w:tcPr>
          <w:p>
            <w:pPr>
              <w:spacing w:after="50" w:before="50" w:line="252" w:lineRule="auto"/>
            </w:pPr>
            <w:r>
              <w:rPr>
                <w:sz w:val="17"/>
              </w:rPr>
              <w:t>[●]</w:t>
            </w:r>
          </w:p>
        </w:tc>
        <w:tc>
          <w:tcPr>
            <w:tcW w:type="dxa" w:w="4912"/>
            <w:shd w:val="clear" w:color="auto" w:fill="EAF1F4"/>
          </w:tcPr>
          <w:p>
            <w:pPr>
              <w:spacing w:after="50" w:before="50" w:line="252" w:lineRule="auto"/>
            </w:pPr>
            <w:r>
              <w:rPr>
                <w:sz w:val="17"/>
              </w:rPr>
              <w:t>Mediation advocacy workshop</w:t>
            </w:r>
          </w:p>
        </w:tc>
        <w:tc>
          <w:tcPr>
            <w:tcW w:type="dxa" w:w="1769"/>
            <w:shd w:val="clear" w:color="auto" w:fill="EAF1F4"/>
          </w:tcPr>
          <w:p>
            <w:pPr>
              <w:spacing w:after="50" w:before="50" w:line="252" w:lineRule="auto"/>
            </w:pPr>
            <w:r>
              <w:rPr>
                <w:sz w:val="17"/>
              </w:rPr>
              <w:t>[●] students</w:t>
            </w:r>
          </w:p>
        </w:tc>
        <w:tc>
          <w:tcPr>
            <w:tcW w:type="dxa" w:w="1165"/>
            <w:shd w:val="clear" w:color="auto" w:fill="EAF1F4"/>
          </w:tcPr>
          <w:p>
            <w:pPr>
              <w:spacing w:after="50" w:before="50" w:line="252" w:lineRule="auto"/>
            </w:pPr>
            <w:r>
              <w:rPr>
                <w:sz w:val="17"/>
              </w:rPr>
              <w:t>Equator</w:t>
            </w:r>
          </w:p>
        </w:tc>
        <w:tc>
          <w:tcPr>
            <w:tcW w:type="dxa" w:w="962"/>
            <w:shd w:val="clear" w:color="auto" w:fill="EAF1F4"/>
          </w:tcPr>
          <w:p>
            <w:pPr>
              <w:spacing w:after="50" w:before="50" w:line="252" w:lineRule="auto"/>
            </w:pPr>
            <w:r>
              <w:rPr>
                <w:sz w:val="17"/>
              </w:rPr>
              <w:t>Yes</w:t>
            </w:r>
          </w:p>
        </w:tc>
      </w:tr>
      <w:tr>
        <w:tc>
          <w:tcPr>
            <w:tcW w:type="dxa" w:w="850"/>
          </w:tcPr>
          <w:p>
            <w:pPr>
              <w:spacing w:after="50" w:before="50" w:line="252" w:lineRule="auto"/>
            </w:pPr>
            <w:r>
              <w:rPr>
                <w:sz w:val="17"/>
              </w:rPr>
              <w:t>[●]</w:t>
            </w:r>
          </w:p>
        </w:tc>
        <w:tc>
          <w:tcPr>
            <w:tcW w:type="dxa" w:w="4912"/>
          </w:tcPr>
          <w:p>
            <w:pPr>
              <w:spacing w:after="50" w:before="50" w:line="252" w:lineRule="auto"/>
            </w:pPr>
            <w:r>
              <w:rPr>
                <w:sz w:val="17"/>
              </w:rPr>
              <w:t>Intra-university selection round</w:t>
            </w:r>
          </w:p>
        </w:tc>
        <w:tc>
          <w:tcPr>
            <w:tcW w:type="dxa" w:w="1769"/>
          </w:tcPr>
          <w:p>
            <w:pPr>
              <w:spacing w:after="50" w:before="50" w:line="252" w:lineRule="auto"/>
            </w:pPr>
            <w:r>
              <w:rPr>
                <w:sz w:val="17"/>
              </w:rPr>
              <w:t>All</w:t>
            </w:r>
          </w:p>
        </w:tc>
        <w:tc>
          <w:tcPr>
            <w:tcW w:type="dxa" w:w="1165"/>
          </w:tcPr>
          <w:p>
            <w:pPr>
              <w:spacing w:after="50" w:before="50" w:line="252" w:lineRule="auto"/>
            </w:pPr>
            <w:r>
              <w:rPr>
                <w:sz w:val="17"/>
              </w:rPr>
              <w:t>Joint</w:t>
            </w:r>
          </w:p>
        </w:tc>
        <w:tc>
          <w:tcPr>
            <w:tcW w:type="dxa" w:w="962"/>
          </w:tcPr>
          <w:p>
            <w:pPr>
              <w:spacing w:after="50" w:before="50" w:line="252" w:lineRule="auto"/>
            </w:pPr>
            <w:r>
              <w:rPr>
                <w:sz w:val="17"/>
              </w:rPr>
              <w:t>No</w:t>
            </w:r>
          </w:p>
        </w:tc>
      </w:tr>
      <w:tr>
        <w:tc>
          <w:tcPr>
            <w:tcW w:type="dxa" w:w="850"/>
            <w:shd w:val="clear" w:color="auto" w:fill="EAF1F4"/>
          </w:tcPr>
          <w:p>
            <w:pPr>
              <w:spacing w:after="50" w:before="50" w:line="252" w:lineRule="auto"/>
            </w:pPr>
            <w:r>
              <w:rPr>
                <w:sz w:val="17"/>
              </w:rPr>
              <w:t>[●]</w:t>
            </w:r>
          </w:p>
        </w:tc>
        <w:tc>
          <w:tcPr>
            <w:tcW w:type="dxa" w:w="4912"/>
            <w:shd w:val="clear" w:color="auto" w:fill="EAF1F4"/>
          </w:tcPr>
          <w:p>
            <w:pPr>
              <w:spacing w:after="50" w:before="50" w:line="252" w:lineRule="auto"/>
            </w:pPr>
            <w:r>
              <w:rPr>
                <w:sz w:val="17"/>
              </w:rPr>
              <w:t>Faculty Development Programme</w:t>
            </w:r>
          </w:p>
        </w:tc>
        <w:tc>
          <w:tcPr>
            <w:tcW w:type="dxa" w:w="1769"/>
            <w:shd w:val="clear" w:color="auto" w:fill="EAF1F4"/>
          </w:tcPr>
          <w:p>
            <w:pPr>
              <w:spacing w:after="50" w:before="50" w:line="252" w:lineRule="auto"/>
            </w:pPr>
            <w:r>
              <w:rPr>
                <w:sz w:val="17"/>
              </w:rPr>
              <w:t>[●] faculty</w:t>
            </w:r>
          </w:p>
        </w:tc>
        <w:tc>
          <w:tcPr>
            <w:tcW w:type="dxa" w:w="1165"/>
            <w:shd w:val="clear" w:color="auto" w:fill="EAF1F4"/>
          </w:tcPr>
          <w:p>
            <w:pPr>
              <w:spacing w:after="50" w:before="50" w:line="252" w:lineRule="auto"/>
            </w:pPr>
            <w:r>
              <w:rPr>
                <w:sz w:val="17"/>
              </w:rPr>
              <w:t>Equator</w:t>
            </w:r>
          </w:p>
        </w:tc>
        <w:tc>
          <w:tcPr>
            <w:tcW w:type="dxa" w:w="962"/>
            <w:shd w:val="clear" w:color="auto" w:fill="EAF1F4"/>
          </w:tcPr>
          <w:p>
            <w:pPr>
              <w:spacing w:after="50" w:before="50" w:line="252" w:lineRule="auto"/>
            </w:pPr>
            <w:r>
              <w:rPr>
                <w:sz w:val="17"/>
              </w:rPr>
              <w:t>Yes</w:t>
            </w:r>
          </w:p>
        </w:tc>
      </w:tr>
      <w:tr>
        <w:tc>
          <w:tcPr>
            <w:tcW w:type="dxa" w:w="850"/>
          </w:tcPr>
          <w:p>
            <w:pPr>
              <w:spacing w:after="50" w:before="50" w:line="252" w:lineRule="auto"/>
            </w:pPr>
            <w:r>
              <w:rPr>
                <w:sz w:val="17"/>
              </w:rPr>
              <w:t>[●]</w:t>
            </w:r>
          </w:p>
        </w:tc>
        <w:tc>
          <w:tcPr>
            <w:tcW w:type="dxa" w:w="4912"/>
          </w:tcPr>
          <w:p>
            <w:pPr>
              <w:spacing w:after="50" w:before="50" w:line="252" w:lineRule="auto"/>
            </w:pPr>
            <w:r>
              <w:rPr>
                <w:sz w:val="17"/>
              </w:rPr>
              <w:t>Mediation Week</w:t>
            </w:r>
          </w:p>
        </w:tc>
        <w:tc>
          <w:tcPr>
            <w:tcW w:type="dxa" w:w="1769"/>
          </w:tcPr>
          <w:p>
            <w:pPr>
              <w:spacing w:after="50" w:before="50" w:line="252" w:lineRule="auto"/>
            </w:pPr>
            <w:r>
              <w:rPr>
                <w:sz w:val="17"/>
              </w:rPr>
              <w:t>Institution-wide</w:t>
            </w:r>
          </w:p>
        </w:tc>
        <w:tc>
          <w:tcPr>
            <w:tcW w:type="dxa" w:w="1165"/>
          </w:tcPr>
          <w:p>
            <w:pPr>
              <w:spacing w:after="50" w:before="50" w:line="252" w:lineRule="auto"/>
            </w:pPr>
            <w:r>
              <w:rPr>
                <w:sz w:val="17"/>
              </w:rPr>
              <w:t>Joint</w:t>
            </w:r>
          </w:p>
        </w:tc>
        <w:tc>
          <w:tcPr>
            <w:tcW w:type="dxa" w:w="962"/>
          </w:tcPr>
          <w:p>
            <w:pPr>
              <w:spacing w:after="50" w:before="50" w:line="252" w:lineRule="auto"/>
            </w:pPr>
            <w:r>
              <w:rPr>
                <w:sz w:val="17"/>
              </w:rPr>
              <w:t>Cost-shared</w:t>
            </w:r>
          </w:p>
        </w:tc>
      </w:tr>
      <w:tr>
        <w:tc>
          <w:tcPr>
            <w:tcW w:type="dxa" w:w="850"/>
            <w:shd w:val="clear" w:color="auto" w:fill="EAF1F4"/>
          </w:tcPr>
          <w:p>
            <w:pPr>
              <w:spacing w:after="50" w:before="50" w:line="252" w:lineRule="auto"/>
            </w:pPr>
            <w:r>
              <w:rPr>
                <w:sz w:val="17"/>
              </w:rPr>
              <w:t>[●]</w:t>
            </w:r>
          </w:p>
        </w:tc>
        <w:tc>
          <w:tcPr>
            <w:tcW w:type="dxa" w:w="4912"/>
            <w:shd w:val="clear" w:color="auto" w:fill="EAF1F4"/>
          </w:tcPr>
          <w:p>
            <w:pPr>
              <w:spacing w:after="50" w:before="50" w:line="252" w:lineRule="auto"/>
            </w:pPr>
            <w:r>
              <w:rPr>
                <w:sz w:val="17"/>
              </w:rPr>
              <w:t>Judicial–academic roundtable</w:t>
            </w:r>
          </w:p>
        </w:tc>
        <w:tc>
          <w:tcPr>
            <w:tcW w:type="dxa" w:w="1769"/>
            <w:shd w:val="clear" w:color="auto" w:fill="EAF1F4"/>
          </w:tcPr>
          <w:p>
            <w:pPr>
              <w:spacing w:after="50" w:before="50" w:line="252" w:lineRule="auto"/>
            </w:pPr>
            <w:r>
              <w:rPr>
                <w:sz w:val="17"/>
              </w:rPr>
              <w:t>Invited</w:t>
            </w:r>
          </w:p>
        </w:tc>
        <w:tc>
          <w:tcPr>
            <w:tcW w:type="dxa" w:w="1165"/>
            <w:shd w:val="clear" w:color="auto" w:fill="EAF1F4"/>
          </w:tcPr>
          <w:p>
            <w:pPr>
              <w:spacing w:after="50" w:before="50" w:line="252" w:lineRule="auto"/>
            </w:pPr>
            <w:r>
              <w:rPr>
                <w:sz w:val="17"/>
              </w:rPr>
              <w:t>Joint</w:t>
            </w:r>
          </w:p>
        </w:tc>
        <w:tc>
          <w:tcPr>
            <w:tcW w:type="dxa" w:w="962"/>
            <w:shd w:val="clear" w:color="auto" w:fill="EAF1F4"/>
          </w:tcPr>
          <w:p>
            <w:pPr>
              <w:spacing w:after="50" w:before="50" w:line="252" w:lineRule="auto"/>
            </w:pPr>
            <w:r>
              <w:rPr>
                <w:sz w:val="17"/>
              </w:rPr>
              <w:t>Cost-shared</w:t>
            </w:r>
          </w:p>
        </w:tc>
      </w:tr>
      <w:tr>
        <w:tc>
          <w:tcPr>
            <w:tcW w:type="dxa" w:w="850"/>
          </w:tcPr>
          <w:p>
            <w:pPr>
              <w:spacing w:after="50" w:before="50" w:line="252" w:lineRule="auto"/>
            </w:pPr>
            <w:r>
              <w:rPr>
                <w:sz w:val="17"/>
              </w:rPr>
              <w:t>[●]</w:t>
            </w:r>
          </w:p>
        </w:tc>
        <w:tc>
          <w:tcPr>
            <w:tcW w:type="dxa" w:w="4912"/>
          </w:tcPr>
          <w:p>
            <w:pPr>
              <w:spacing w:after="50" w:before="50" w:line="252" w:lineRule="auto"/>
            </w:pPr>
            <w:r>
              <w:rPr>
                <w:sz w:val="17"/>
              </w:rPr>
              <w:t>Internship intake</w:t>
            </w:r>
          </w:p>
        </w:tc>
        <w:tc>
          <w:tcPr>
            <w:tcW w:type="dxa" w:w="1769"/>
          </w:tcPr>
          <w:p>
            <w:pPr>
              <w:spacing w:after="50" w:before="50" w:line="252" w:lineRule="auto"/>
            </w:pPr>
            <w:r>
              <w:rPr>
                <w:sz w:val="17"/>
              </w:rPr>
              <w:t>[●] students</w:t>
            </w:r>
          </w:p>
        </w:tc>
        <w:tc>
          <w:tcPr>
            <w:tcW w:type="dxa" w:w="1165"/>
          </w:tcPr>
          <w:p>
            <w:pPr>
              <w:spacing w:after="50" w:before="50" w:line="252" w:lineRule="auto"/>
            </w:pPr>
            <w:r>
              <w:rPr>
                <w:sz w:val="17"/>
              </w:rPr>
              <w:t>Equator</w:t>
            </w:r>
          </w:p>
        </w:tc>
        <w:tc>
          <w:tcPr>
            <w:tcW w:type="dxa" w:w="962"/>
          </w:tcPr>
          <w:p>
            <w:pPr>
              <w:spacing w:after="50" w:before="50" w:line="252" w:lineRule="auto"/>
            </w:pPr>
            <w:r>
              <w:rPr>
                <w:sz w:val="17"/>
              </w:rPr>
              <w:t>No</w:t>
            </w:r>
          </w:p>
        </w:tc>
      </w:tr>
      <w:tr>
        <w:tc>
          <w:tcPr>
            <w:tcW w:type="dxa" w:w="850"/>
            <w:shd w:val="clear" w:color="auto" w:fill="EAF1F4"/>
          </w:tcPr>
          <w:p>
            <w:pPr>
              <w:spacing w:after="50" w:before="50" w:line="252" w:lineRule="auto"/>
            </w:pPr>
            <w:r>
              <w:rPr>
                <w:sz w:val="17"/>
              </w:rPr>
              <w:t>[●]</w:t>
            </w:r>
          </w:p>
        </w:tc>
        <w:tc>
          <w:tcPr>
            <w:tcW w:type="dxa" w:w="4912"/>
            <w:shd w:val="clear" w:color="auto" w:fill="EAF1F4"/>
          </w:tcPr>
          <w:p>
            <w:pPr>
              <w:spacing w:after="50" w:before="50" w:line="252" w:lineRule="auto"/>
            </w:pPr>
            <w:r>
              <w:rPr>
                <w:sz w:val="17"/>
              </w:rPr>
              <w:t>Competition round hosted</w:t>
            </w:r>
          </w:p>
        </w:tc>
        <w:tc>
          <w:tcPr>
            <w:tcW w:type="dxa" w:w="1769"/>
            <w:shd w:val="clear" w:color="auto" w:fill="EAF1F4"/>
          </w:tcPr>
          <w:p>
            <w:pPr>
              <w:spacing w:after="50" w:before="50" w:line="252" w:lineRule="auto"/>
            </w:pPr>
            <w:r>
              <w:rPr>
                <w:sz w:val="17"/>
              </w:rPr>
              <w:t>National</w:t>
            </w:r>
          </w:p>
        </w:tc>
        <w:tc>
          <w:tcPr>
            <w:tcW w:type="dxa" w:w="1165"/>
            <w:shd w:val="clear" w:color="auto" w:fill="EAF1F4"/>
          </w:tcPr>
          <w:p>
            <w:pPr>
              <w:spacing w:after="50" w:before="50" w:line="252" w:lineRule="auto"/>
            </w:pPr>
            <w:r>
              <w:rPr>
                <w:sz w:val="17"/>
              </w:rPr>
              <w:t>Joint</w:t>
            </w:r>
          </w:p>
        </w:tc>
        <w:tc>
          <w:tcPr>
            <w:tcW w:type="dxa" w:w="962"/>
            <w:shd w:val="clear" w:color="auto" w:fill="EAF1F4"/>
          </w:tcPr>
          <w:p>
            <w:pPr>
              <w:spacing w:after="50" w:before="50" w:line="252" w:lineRule="auto"/>
            </w:pPr>
            <w:r>
              <w:rPr>
                <w:sz w:val="17"/>
              </w:rPr>
              <w:t>Cost-shared</w:t>
            </w:r>
          </w:p>
        </w:tc>
      </w:tr>
      <w:tr>
        <w:tc>
          <w:tcPr>
            <w:tcW w:type="dxa" w:w="850"/>
          </w:tcPr>
          <w:p>
            <w:pPr>
              <w:spacing w:after="50" w:before="50" w:line="252" w:lineRule="auto"/>
            </w:pPr>
            <w:r>
              <w:rPr>
                <w:sz w:val="17"/>
              </w:rPr>
              <w:t>[●]</w:t>
            </w:r>
          </w:p>
        </w:tc>
        <w:tc>
          <w:tcPr>
            <w:tcW w:type="dxa" w:w="4912"/>
          </w:tcPr>
          <w:p>
            <w:pPr>
              <w:spacing w:after="50" w:before="50" w:line="252" w:lineRule="auto"/>
            </w:pPr>
            <w:r>
              <w:rPr>
                <w:sz w:val="17"/>
              </w:rPr>
              <w:t>Annual review and steering committee</w:t>
            </w:r>
          </w:p>
        </w:tc>
        <w:tc>
          <w:tcPr>
            <w:tcW w:type="dxa" w:w="1769"/>
          </w:tcPr>
          <w:p>
            <w:pPr>
              <w:spacing w:after="50" w:before="50" w:line="252" w:lineRule="auto"/>
            </w:pPr>
            <w:r>
              <w:rPr>
                <w:sz w:val="17"/>
              </w:rPr>
              <w:t>Both</w:t>
            </w:r>
          </w:p>
        </w:tc>
        <w:tc>
          <w:tcPr>
            <w:tcW w:type="dxa" w:w="1165"/>
          </w:tcPr>
          <w:p>
            <w:pPr>
              <w:spacing w:after="50" w:before="50" w:line="252" w:lineRule="auto"/>
            </w:pPr>
            <w:r>
              <w:rPr>
                <w:sz w:val="17"/>
              </w:rPr>
              <w:t>Joint</w:t>
            </w:r>
          </w:p>
        </w:tc>
        <w:tc>
          <w:tcPr>
            <w:tcW w:type="dxa" w:w="962"/>
          </w:tcPr>
          <w:p>
            <w:pPr>
              <w:spacing w:after="50" w:before="50" w:line="252" w:lineRule="auto"/>
            </w:pPr>
            <w:r>
              <w:rPr>
                <w:sz w:val="17"/>
              </w:rPr>
              <w:t>No</w:t>
            </w:r>
          </w:p>
        </w:tc>
      </w:tr>
    </w:tbl>
    <w:p>
      <w:pPr>
        <w:spacing w:after="80" w:before="0"/>
      </w:pPr>
    </w:p>
    <w:p>
      <w:pPr>
        <w:spacing w:before="80" w:after="160"/>
        <w:pBdr>
          <w:bottom w:val="single" w:sz="6" w:space="1" w:color="C9D6DE"/>
        </w:pBdr>
      </w:pPr>
    </w:p>
    <w:p>
      <w:pPr>
        <w:pStyle w:val="Heading1"/>
        <w:pBdr>
          <w:bottom w:val="single" w:sz="8" w:space="4" w:color="C9D6DE"/>
        </w:pBdr>
      </w:pPr>
      <w:r>
        <w:t>Annexure 3 · Contact points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181"/>
            <w:shd w:val="clear" w:color="auto" w:fill="10375C"/>
          </w:tcPr>
          <w:p>
            <w:pPr>
              <w:spacing w:after="50" w:before="50"/>
            </w:pPr>
            <w:r>
              <w:rPr>
                <w:b/>
                <w:color w:val="FFFFFF"/>
                <w:sz w:val="17"/>
              </w:rPr>
              <w:t>Role</w:t>
            </w:r>
          </w:p>
        </w:tc>
        <w:tc>
          <w:tcPr>
            <w:tcW w:type="dxa" w:w="3174"/>
            <w:shd w:val="clear" w:color="auto" w:fill="10375C"/>
          </w:tcPr>
          <w:p>
            <w:pPr>
              <w:spacing w:after="50" w:before="50"/>
            </w:pPr>
            <w:r>
              <w:rPr>
                <w:b/>
                <w:color w:val="FFFFFF"/>
                <w:sz w:val="17"/>
              </w:rPr>
              <w:t>Equator ADR Institute</w:t>
            </w:r>
          </w:p>
        </w:tc>
        <w:tc>
          <w:tcPr>
            <w:tcW w:type="dxa" w:w="2112"/>
            <w:shd w:val="clear" w:color="auto" w:fill="10375C"/>
          </w:tcPr>
          <w:p>
            <w:pPr>
              <w:spacing w:after="50" w:before="50"/>
            </w:pPr>
            <w:r>
              <w:rPr>
                <w:b/>
                <w:color w:val="FFFFFF"/>
                <w:sz w:val="17"/>
              </w:rPr>
              <w:t>[●] University</w:t>
            </w:r>
          </w:p>
        </w:tc>
      </w:tr>
      <w:tr>
        <w:tc>
          <w:tcPr>
            <w:tcW w:type="dxa" w:w="4181"/>
          </w:tcPr>
          <w:p>
            <w:pPr>
              <w:spacing w:after="50" w:before="50" w:line="252" w:lineRule="auto"/>
            </w:pPr>
            <w:r>
              <w:rPr>
                <w:sz w:val="17"/>
              </w:rPr>
              <w:t>Nodal officer</w:t>
            </w:r>
          </w:p>
        </w:tc>
        <w:tc>
          <w:tcPr>
            <w:tcW w:type="dxa" w:w="3174"/>
          </w:tcPr>
          <w:p>
            <w:pPr>
              <w:spacing w:after="50" w:before="50" w:line="252" w:lineRule="auto"/>
            </w:pPr>
            <w:r>
              <w:rPr>
                <w:sz w:val="17"/>
              </w:rPr>
              <w:t>[●]</w:t>
            </w:r>
          </w:p>
        </w:tc>
        <w:tc>
          <w:tcPr>
            <w:tcW w:type="dxa" w:w="2112"/>
          </w:tcPr>
          <w:p>
            <w:pPr>
              <w:spacing w:after="50" w:before="50" w:line="252" w:lineRule="auto"/>
            </w:pPr>
            <w:r>
              <w:rPr>
                <w:sz w:val="17"/>
              </w:rPr>
              <w:t>[●]</w:t>
            </w:r>
          </w:p>
        </w:tc>
      </w:tr>
      <w:tr>
        <w:tc>
          <w:tcPr>
            <w:tcW w:type="dxa" w:w="4181"/>
            <w:shd w:val="clear" w:color="auto" w:fill="EAF1F4"/>
          </w:tcPr>
          <w:p>
            <w:pPr>
              <w:spacing w:after="50" w:before="50" w:line="252" w:lineRule="auto"/>
            </w:pPr>
            <w:r>
              <w:rPr>
                <w:sz w:val="17"/>
              </w:rPr>
              <w:t>Academic coordination</w:t>
            </w:r>
          </w:p>
        </w:tc>
        <w:tc>
          <w:tcPr>
            <w:tcW w:type="dxa" w:w="3174"/>
            <w:shd w:val="clear" w:color="auto" w:fill="EAF1F4"/>
          </w:tcPr>
          <w:p>
            <w:pPr>
              <w:spacing w:after="50" w:before="50" w:line="252" w:lineRule="auto"/>
            </w:pPr>
            <w:r>
              <w:rPr>
                <w:sz w:val="17"/>
              </w:rPr>
              <w:t>[●]</w:t>
            </w:r>
          </w:p>
        </w:tc>
        <w:tc>
          <w:tcPr>
            <w:tcW w:type="dxa" w:w="2112"/>
            <w:shd w:val="clear" w:color="auto" w:fill="EAF1F4"/>
          </w:tcPr>
          <w:p>
            <w:pPr>
              <w:spacing w:after="50" w:before="50" w:line="252" w:lineRule="auto"/>
            </w:pPr>
            <w:r>
              <w:rPr>
                <w:sz w:val="17"/>
              </w:rPr>
              <w:t>[●]</w:t>
            </w:r>
          </w:p>
        </w:tc>
      </w:tr>
      <w:tr>
        <w:tc>
          <w:tcPr>
            <w:tcW w:type="dxa" w:w="4181"/>
          </w:tcPr>
          <w:p>
            <w:pPr>
              <w:spacing w:after="50" w:before="50" w:line="252" w:lineRule="auto"/>
            </w:pPr>
            <w:r>
              <w:rPr>
                <w:sz w:val="17"/>
              </w:rPr>
              <w:t>Commercial and invoicing</w:t>
            </w:r>
          </w:p>
        </w:tc>
        <w:tc>
          <w:tcPr>
            <w:tcW w:type="dxa" w:w="3174"/>
          </w:tcPr>
          <w:p>
            <w:pPr>
              <w:spacing w:after="50" w:before="50" w:line="252" w:lineRule="auto"/>
            </w:pPr>
            <w:r>
              <w:rPr>
                <w:sz w:val="17"/>
              </w:rPr>
              <w:t>[●]</w:t>
            </w:r>
          </w:p>
        </w:tc>
        <w:tc>
          <w:tcPr>
            <w:tcW w:type="dxa" w:w="2112"/>
          </w:tcPr>
          <w:p>
            <w:pPr>
              <w:spacing w:after="50" w:before="50" w:line="252" w:lineRule="auto"/>
            </w:pPr>
            <w:r>
              <w:rPr>
                <w:sz w:val="17"/>
              </w:rPr>
              <w:t>[●]</w:t>
            </w:r>
          </w:p>
        </w:tc>
      </w:tr>
      <w:tr>
        <w:tc>
          <w:tcPr>
            <w:tcW w:type="dxa" w:w="4181"/>
            <w:shd w:val="clear" w:color="auto" w:fill="EAF1F4"/>
          </w:tcPr>
          <w:p>
            <w:pPr>
              <w:spacing w:after="50" w:before="50" w:line="252" w:lineRule="auto"/>
            </w:pPr>
            <w:r>
              <w:rPr>
                <w:sz w:val="17"/>
              </w:rPr>
              <w:t>Data protection</w:t>
            </w:r>
          </w:p>
        </w:tc>
        <w:tc>
          <w:tcPr>
            <w:tcW w:type="dxa" w:w="3174"/>
            <w:shd w:val="clear" w:color="auto" w:fill="EAF1F4"/>
          </w:tcPr>
          <w:p>
            <w:pPr>
              <w:spacing w:after="50" w:before="50" w:line="252" w:lineRule="auto"/>
            </w:pPr>
            <w:r>
              <w:rPr>
                <w:sz w:val="17"/>
              </w:rPr>
              <w:t>[●]</w:t>
            </w:r>
          </w:p>
        </w:tc>
        <w:tc>
          <w:tcPr>
            <w:tcW w:type="dxa" w:w="2112"/>
            <w:shd w:val="clear" w:color="auto" w:fill="EAF1F4"/>
          </w:tcPr>
          <w:p>
            <w:pPr>
              <w:spacing w:after="50" w:before="50" w:line="252" w:lineRule="auto"/>
            </w:pPr>
            <w:r>
              <w:rPr>
                <w:sz w:val="17"/>
              </w:rPr>
              <w:t>[●]</w:t>
            </w:r>
          </w:p>
        </w:tc>
      </w:tr>
      <w:tr>
        <w:tc>
          <w:tcPr>
            <w:tcW w:type="dxa" w:w="4181"/>
          </w:tcPr>
          <w:p>
            <w:pPr>
              <w:spacing w:after="50" w:before="50" w:line="252" w:lineRule="auto"/>
            </w:pPr>
            <w:r>
              <w:rPr>
                <w:sz w:val="17"/>
              </w:rPr>
              <w:t>Escalation</w:t>
            </w:r>
          </w:p>
        </w:tc>
        <w:tc>
          <w:tcPr>
            <w:tcW w:type="dxa" w:w="3174"/>
          </w:tcPr>
          <w:p>
            <w:pPr>
              <w:spacing w:after="50" w:before="50" w:line="252" w:lineRule="auto"/>
            </w:pPr>
            <w:r>
              <w:rPr>
                <w:sz w:val="17"/>
              </w:rPr>
              <w:t>Programme Director, [●]</w:t>
            </w:r>
          </w:p>
        </w:tc>
        <w:tc>
          <w:tcPr>
            <w:tcW w:type="dxa" w:w="2112"/>
          </w:tcPr>
          <w:p>
            <w:pPr>
              <w:spacing w:after="50" w:before="50" w:line="252" w:lineRule="auto"/>
            </w:pPr>
            <w:r>
              <w:rPr>
                <w:sz w:val="17"/>
              </w:rPr>
              <w:t>Registrar, [●]</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EQ-UAP-022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Partnership Proposal &amp; Concept Note</w:t>
    </w:r>
    <w:r>
      <w:rPr>
        <w:rFonts w:ascii="Calibri" w:hAnsi="Calibri"/>
        <w:color w:val="595959"/>
        <w:sz w:val="16"/>
      </w:rPr>
      <w:tab/>
      <w:t>Confidential — Draft for institution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80850F6-BCD9-4FAA-890A-533DB0C10022}"/>
</file>

<file path=customXml/itemProps3.xml><?xml version="1.0" encoding="utf-8"?>
<ds:datastoreItem xmlns:ds="http://schemas.openxmlformats.org/officeDocument/2006/customXml" ds:itemID="{2183DE7F-77E6-495D-9CA7-191DFBEF32AB}"/>
</file>

<file path=customXml/itemProps4.xml><?xml version="1.0" encoding="utf-8"?>
<ds:datastoreItem xmlns:ds="http://schemas.openxmlformats.org/officeDocument/2006/customXml" ds:itemID="{D4EFB497-A95E-492F-9130-58EC9458B51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