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Institutional Capability Statement</w:t>
      </w:r>
    </w:p>
    <w:p>
      <w:pPr>
        <w:spacing w:after="280" w:line="276" w:lineRule="auto"/>
      </w:pPr>
      <w:r>
        <w:rPr>
          <w:rFonts w:ascii="Calibri" w:hAnsi="Calibri"/>
          <w:i/>
          <w:color w:val="3E6B8A"/>
          <w:sz w:val="25"/>
        </w:rPr>
        <w:t>Who Equator is, what it does, how it is governed, and what it brings to an academic collaboration</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EQ-UAP-023</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Outreach</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Approved for external release (subject to completion of [●] fields)</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Equator at a glance</w:t>
      </w:r>
    </w:p>
    <w:p>
      <w:r>
        <w:rPr>
          <w:b/>
        </w:rPr>
        <w:t>Equator Resolution</w:t>
      </w:r>
      <w:r>
        <w:t xml:space="preserve"> is an institutional dispute-resolution platform, an Infrabyx Group venture. It administers mediation, conciliation and arbitration across five purpose-built verticals on one shared operating engine.</w:t>
      </w:r>
    </w:p>
    <w:p>
      <w:r>
        <w:rPr>
          <w:b/>
        </w:rPr>
        <w:t>Equator ADR Institute</w:t>
      </w:r>
      <w:r>
        <w:t xml:space="preserve"> is its academic, training and certification arm, and the counterparty to all academic collaborations.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57"/>
            <w:shd w:val="clear" w:color="auto" w:fill="10375C"/>
          </w:tcPr>
          <w:p>
            <w:pPr>
              <w:spacing w:after="50" w:before="50"/>
            </w:pPr>
            <w:r>
              <w:rPr>
                <w:b/>
                <w:color w:val="FFFFFF"/>
                <w:sz w:val="17"/>
              </w:rPr>
              <w:t>Item</w:t>
            </w:r>
          </w:p>
        </w:tc>
        <w:tc>
          <w:tcPr>
            <w:tcW w:type="dxa" w:w="6911"/>
            <w:shd w:val="clear" w:color="auto" w:fill="10375C"/>
          </w:tcPr>
          <w:p>
            <w:pPr>
              <w:spacing w:after="50" w:before="50"/>
            </w:pPr>
            <w:r>
              <w:rPr>
                <w:b/>
                <w:color w:val="FFFFFF"/>
                <w:sz w:val="17"/>
              </w:rPr>
              <w:t>Detail</w:t>
            </w:r>
          </w:p>
        </w:tc>
      </w:tr>
      <w:tr>
        <w:tc>
          <w:tcPr>
            <w:tcW w:type="dxa" w:w="2557"/>
          </w:tcPr>
          <w:p>
            <w:pPr>
              <w:spacing w:after="50" w:before="50" w:line="252" w:lineRule="auto"/>
            </w:pPr>
            <w:r>
              <w:rPr>
                <w:sz w:val="17"/>
              </w:rPr>
              <w:t>Legal entity — services</w:t>
            </w:r>
          </w:p>
        </w:tc>
        <w:tc>
          <w:tcPr>
            <w:tcW w:type="dxa" w:w="6911"/>
          </w:tcPr>
          <w:p>
            <w:pPr>
              <w:spacing w:after="50" w:before="50" w:line="252" w:lineRule="auto"/>
            </w:pPr>
            <w:r>
              <w:rPr>
                <w:sz w:val="17"/>
              </w:rPr>
              <w:t>[●]</w:t>
            </w:r>
          </w:p>
        </w:tc>
      </w:tr>
      <w:tr>
        <w:tc>
          <w:tcPr>
            <w:tcW w:type="dxa" w:w="2557"/>
            <w:shd w:val="clear" w:color="auto" w:fill="EAF1F4"/>
          </w:tcPr>
          <w:p>
            <w:pPr>
              <w:spacing w:after="50" w:before="50" w:line="252" w:lineRule="auto"/>
            </w:pPr>
            <w:r>
              <w:rPr>
                <w:sz w:val="17"/>
              </w:rPr>
              <w:t>Legal entity — institute</w:t>
            </w:r>
          </w:p>
        </w:tc>
        <w:tc>
          <w:tcPr>
            <w:tcW w:type="dxa" w:w="6911"/>
            <w:shd w:val="clear" w:color="auto" w:fill="EAF1F4"/>
          </w:tcPr>
          <w:p>
            <w:pPr>
              <w:spacing w:after="50" w:before="50" w:line="252" w:lineRule="auto"/>
            </w:pPr>
            <w:r>
              <w:rPr>
                <w:sz w:val="17"/>
              </w:rPr>
              <w:t>[●]</w:t>
            </w:r>
          </w:p>
        </w:tc>
      </w:tr>
      <w:tr>
        <w:tc>
          <w:tcPr>
            <w:tcW w:type="dxa" w:w="2557"/>
          </w:tcPr>
          <w:p>
            <w:pPr>
              <w:spacing w:after="50" w:before="50" w:line="252" w:lineRule="auto"/>
            </w:pPr>
            <w:r>
              <w:rPr>
                <w:sz w:val="17"/>
              </w:rPr>
              <w:t>Registered office</w:t>
            </w:r>
          </w:p>
        </w:tc>
        <w:tc>
          <w:tcPr>
            <w:tcW w:type="dxa" w:w="6911"/>
          </w:tcPr>
          <w:p>
            <w:pPr>
              <w:spacing w:after="50" w:before="50" w:line="252" w:lineRule="auto"/>
            </w:pPr>
            <w:r>
              <w:rPr>
                <w:sz w:val="17"/>
              </w:rPr>
              <w:t>[●]</w:t>
            </w:r>
          </w:p>
        </w:tc>
      </w:tr>
      <w:tr>
        <w:tc>
          <w:tcPr>
            <w:tcW w:type="dxa" w:w="2557"/>
            <w:shd w:val="clear" w:color="auto" w:fill="EAF1F4"/>
          </w:tcPr>
          <w:p>
            <w:pPr>
              <w:spacing w:after="50" w:before="50" w:line="252" w:lineRule="auto"/>
            </w:pPr>
            <w:r>
              <w:rPr>
                <w:sz w:val="17"/>
              </w:rPr>
              <w:t>Year established</w:t>
            </w:r>
          </w:p>
        </w:tc>
        <w:tc>
          <w:tcPr>
            <w:tcW w:type="dxa" w:w="6911"/>
            <w:shd w:val="clear" w:color="auto" w:fill="EAF1F4"/>
          </w:tcPr>
          <w:p>
            <w:pPr>
              <w:spacing w:after="50" w:before="50" w:line="252" w:lineRule="auto"/>
            </w:pPr>
            <w:r>
              <w:rPr>
                <w:sz w:val="17"/>
              </w:rPr>
              <w:t>[●]</w:t>
            </w:r>
          </w:p>
        </w:tc>
      </w:tr>
      <w:tr>
        <w:tc>
          <w:tcPr>
            <w:tcW w:type="dxa" w:w="2557"/>
          </w:tcPr>
          <w:p>
            <w:pPr>
              <w:spacing w:after="50" w:before="50" w:line="252" w:lineRule="auto"/>
            </w:pPr>
            <w:r>
              <w:rPr>
                <w:sz w:val="17"/>
              </w:rPr>
              <w:t>Group</w:t>
            </w:r>
          </w:p>
        </w:tc>
        <w:tc>
          <w:tcPr>
            <w:tcW w:type="dxa" w:w="6911"/>
          </w:tcPr>
          <w:p>
            <w:pPr>
              <w:spacing w:after="50" w:before="50" w:line="252" w:lineRule="auto"/>
            </w:pPr>
            <w:r>
              <w:rPr>
                <w:sz w:val="17"/>
              </w:rPr>
              <w:t>Infrabyx Group</w:t>
            </w:r>
          </w:p>
        </w:tc>
      </w:tr>
      <w:tr>
        <w:tc>
          <w:tcPr>
            <w:tcW w:type="dxa" w:w="2557"/>
            <w:shd w:val="clear" w:color="auto" w:fill="EAF1F4"/>
          </w:tcPr>
          <w:p>
            <w:pPr>
              <w:spacing w:after="50" w:before="50" w:line="252" w:lineRule="auto"/>
            </w:pPr>
            <w:r>
              <w:rPr>
                <w:sz w:val="17"/>
              </w:rPr>
              <w:t>Website</w:t>
            </w:r>
          </w:p>
        </w:tc>
        <w:tc>
          <w:tcPr>
            <w:tcW w:type="dxa" w:w="6911"/>
            <w:shd w:val="clear" w:color="auto" w:fill="EAF1F4"/>
          </w:tcPr>
          <w:p>
            <w:pPr>
              <w:spacing w:after="50" w:before="50" w:line="252" w:lineRule="auto"/>
            </w:pPr>
            <w:r>
              <w:rPr>
                <w:sz w:val="17"/>
              </w:rPr>
              <w:t>www.equatorresolution.com</w:t>
            </w:r>
          </w:p>
        </w:tc>
      </w:tr>
      <w:tr>
        <w:tc>
          <w:tcPr>
            <w:tcW w:type="dxa" w:w="2557"/>
          </w:tcPr>
          <w:p>
            <w:pPr>
              <w:spacing w:after="50" w:before="50" w:line="252" w:lineRule="auto"/>
            </w:pPr>
            <w:r>
              <w:rPr>
                <w:sz w:val="17"/>
              </w:rPr>
              <w:t>Principal activity</w:t>
            </w:r>
          </w:p>
        </w:tc>
        <w:tc>
          <w:tcPr>
            <w:tcW w:type="dxa" w:w="6911"/>
          </w:tcPr>
          <w:p>
            <w:pPr>
              <w:spacing w:after="50" w:before="50" w:line="252" w:lineRule="auto"/>
            </w:pPr>
            <w:r>
              <w:rPr>
                <w:sz w:val="17"/>
              </w:rPr>
              <w:t>Administration of mediation, conciliation and arbitration; training, certification and research in alternative dispute resolution</w:t>
            </w:r>
          </w:p>
        </w:tc>
      </w:tr>
      <w:tr>
        <w:tc>
          <w:tcPr>
            <w:tcW w:type="dxa" w:w="2557"/>
            <w:shd w:val="clear" w:color="auto" w:fill="EAF1F4"/>
          </w:tcPr>
          <w:p>
            <w:pPr>
              <w:spacing w:after="50" w:before="50" w:line="252" w:lineRule="auto"/>
            </w:pPr>
            <w:r>
              <w:rPr>
                <w:sz w:val="17"/>
              </w:rPr>
              <w:t>Insurance</w:t>
            </w:r>
          </w:p>
        </w:tc>
        <w:tc>
          <w:tcPr>
            <w:tcW w:type="dxa" w:w="6911"/>
            <w:shd w:val="clear" w:color="auto" w:fill="EAF1F4"/>
          </w:tcPr>
          <w:p>
            <w:pPr>
              <w:spacing w:after="50" w:before="50" w:line="252" w:lineRule="auto"/>
            </w:pPr>
            <w:r>
              <w:rPr>
                <w:sz w:val="17"/>
              </w:rPr>
              <w:t xml:space="preserve">Professional indemnity and public liability [●] </w:t>
            </w:r>
            <w:r>
              <w:rPr>
                <w:b/>
                <w:sz w:val="17"/>
              </w:rPr>
              <w:t>[verify]</w:t>
            </w:r>
          </w:p>
        </w:tc>
      </w:tr>
      <w:tr>
        <w:tc>
          <w:tcPr>
            <w:tcW w:type="dxa" w:w="2557"/>
          </w:tcPr>
          <w:p>
            <w:pPr>
              <w:spacing w:after="50" w:before="50" w:line="252" w:lineRule="auto"/>
            </w:pPr>
            <w:r>
              <w:rPr>
                <w:sz w:val="17"/>
              </w:rPr>
              <w:t>Data protection</w:t>
            </w:r>
          </w:p>
        </w:tc>
        <w:tc>
          <w:tcPr>
            <w:tcW w:type="dxa" w:w="6911"/>
          </w:tcPr>
          <w:p>
            <w:pPr>
              <w:spacing w:after="50" w:before="50" w:line="252" w:lineRule="auto"/>
            </w:pPr>
            <w:r>
              <w:rPr>
                <w:sz w:val="17"/>
              </w:rPr>
              <w:t>Data Protection Officer appointed; DPDP compliance programme in operation</w:t>
            </w:r>
          </w:p>
        </w:tc>
      </w:tr>
    </w:tbl>
    <w:p>
      <w:pPr>
        <w:spacing w:after="80" w:before="0"/>
      </w:pPr>
    </w:p>
    <w:p>
      <w:pPr>
        <w:spacing w:before="80" w:after="160"/>
        <w:pBdr>
          <w:bottom w:val="single" w:sz="6" w:space="1" w:color="C9D6DE"/>
        </w:pBdr>
      </w:pPr>
    </w:p>
    <w:p>
      <w:pPr>
        <w:pStyle w:val="Heading1"/>
        <w:pBdr>
          <w:bottom w:val="single" w:sz="8" w:space="4" w:color="C9D6DE"/>
        </w:pBdr>
      </w:pPr>
      <w:r>
        <w:t>2. The five verticals</w:t>
      </w:r>
    </w:p>
    <w:p>
      <w:r>
        <w:t>Equator's practice is organised into five verticals, each built for its own law and its own parties, sharing a common operating engine, quality regime and neutral panel.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869"/>
            <w:shd w:val="clear" w:color="auto" w:fill="10375C"/>
          </w:tcPr>
          <w:p>
            <w:pPr>
              <w:spacing w:after="50" w:before="50"/>
            </w:pPr>
            <w:r>
              <w:rPr>
                <w:b/>
                <w:color w:val="FFFFFF"/>
                <w:sz w:val="17"/>
              </w:rPr>
              <w:t>Vertical</w:t>
            </w:r>
          </w:p>
        </w:tc>
        <w:tc>
          <w:tcPr>
            <w:tcW w:type="dxa" w:w="6599"/>
            <w:shd w:val="clear" w:color="auto" w:fill="10375C"/>
          </w:tcPr>
          <w:p>
            <w:pPr>
              <w:spacing w:after="50" w:before="50"/>
            </w:pPr>
            <w:r>
              <w:rPr>
                <w:b/>
                <w:color w:val="FFFFFF"/>
                <w:sz w:val="17"/>
              </w:rPr>
              <w:t>Coverage</w:t>
            </w:r>
          </w:p>
        </w:tc>
      </w:tr>
      <w:tr>
        <w:tc>
          <w:tcPr>
            <w:tcW w:type="dxa" w:w="2869"/>
          </w:tcPr>
          <w:p>
            <w:pPr>
              <w:spacing w:after="50" w:before="50" w:line="252" w:lineRule="auto"/>
            </w:pPr>
            <w:r>
              <w:rPr>
                <w:b/>
                <w:sz w:val="17"/>
              </w:rPr>
              <w:t>Commercial &amp; Business</w:t>
            </w:r>
          </w:p>
        </w:tc>
        <w:tc>
          <w:tcPr>
            <w:tcW w:type="dxa" w:w="6599"/>
          </w:tcPr>
          <w:p>
            <w:pPr>
              <w:spacing w:after="50" w:before="50" w:line="252" w:lineRule="auto"/>
            </w:pPr>
            <w:r>
              <w:rPr>
                <w:sz w:val="17"/>
              </w:rPr>
              <w:t>Contract and payment disputes, MSME delayed payment, shareholder and joint venture matters, supply and construction, cross-border</w:t>
            </w:r>
          </w:p>
        </w:tc>
      </w:tr>
      <w:tr>
        <w:tc>
          <w:tcPr>
            <w:tcW w:type="dxa" w:w="2869"/>
            <w:shd w:val="clear" w:color="auto" w:fill="EAF1F4"/>
          </w:tcPr>
          <w:p>
            <w:pPr>
              <w:spacing w:after="50" w:before="50" w:line="252" w:lineRule="auto"/>
            </w:pPr>
            <w:r>
              <w:rPr>
                <w:b/>
                <w:sz w:val="17"/>
              </w:rPr>
              <w:t>Financial &amp; Loan</w:t>
            </w:r>
          </w:p>
        </w:tc>
        <w:tc>
          <w:tcPr>
            <w:tcW w:type="dxa" w:w="6599"/>
            <w:shd w:val="clear" w:color="auto" w:fill="EAF1F4"/>
          </w:tcPr>
          <w:p>
            <w:pPr>
              <w:spacing w:after="50" w:before="50" w:line="252" w:lineRule="auto"/>
            </w:pPr>
            <w:r>
              <w:rPr>
                <w:sz w:val="17"/>
              </w:rPr>
              <w:t>Loan default and one-time settlement, cheque dishonour, digital-lending grievances, recovery conduct, credit bureau correction</w:t>
            </w:r>
          </w:p>
        </w:tc>
      </w:tr>
      <w:tr>
        <w:tc>
          <w:tcPr>
            <w:tcW w:type="dxa" w:w="2869"/>
          </w:tcPr>
          <w:p>
            <w:pPr>
              <w:spacing w:after="50" w:before="50" w:line="252" w:lineRule="auto"/>
            </w:pPr>
            <w:r>
              <w:rPr>
                <w:b/>
                <w:sz w:val="17"/>
              </w:rPr>
              <w:t>Workplace &amp; HR</w:t>
            </w:r>
          </w:p>
        </w:tc>
        <w:tc>
          <w:tcPr>
            <w:tcW w:type="dxa" w:w="6599"/>
          </w:tcPr>
          <w:p>
            <w:pPr>
              <w:spacing w:after="50" w:before="50" w:line="252" w:lineRule="auto"/>
            </w:pPr>
            <w:r>
              <w:rPr>
                <w:sz w:val="17"/>
              </w:rPr>
              <w:t>Wages and full-and-final settlement, termination and separation, grievances and benefits, and support to Internal Committees under the POSH Act</w:t>
            </w:r>
          </w:p>
        </w:tc>
      </w:tr>
      <w:tr>
        <w:tc>
          <w:tcPr>
            <w:tcW w:type="dxa" w:w="2869"/>
            <w:shd w:val="clear" w:color="auto" w:fill="EAF1F4"/>
          </w:tcPr>
          <w:p>
            <w:pPr>
              <w:spacing w:after="50" w:before="50" w:line="252" w:lineRule="auto"/>
            </w:pPr>
            <w:r>
              <w:rPr>
                <w:b/>
                <w:sz w:val="17"/>
              </w:rPr>
              <w:t>Insurance</w:t>
            </w:r>
          </w:p>
        </w:tc>
        <w:tc>
          <w:tcPr>
            <w:tcW w:type="dxa" w:w="6599"/>
            <w:shd w:val="clear" w:color="auto" w:fill="EAF1F4"/>
          </w:tcPr>
          <w:p>
            <w:pPr>
              <w:spacing w:after="50" w:before="50" w:line="252" w:lineRule="auto"/>
            </w:pPr>
            <w:r>
              <w:rPr>
                <w:sz w:val="17"/>
              </w:rPr>
              <w:t>Repudiated and short-settled claims, deductions, pre-existing disease and waiting period disputes, mis-selling, delay, nomination and heirship, commercial lines quantum</w:t>
            </w:r>
          </w:p>
        </w:tc>
      </w:tr>
      <w:tr>
        <w:tc>
          <w:tcPr>
            <w:tcW w:type="dxa" w:w="2869"/>
          </w:tcPr>
          <w:p>
            <w:pPr>
              <w:spacing w:after="50" w:before="50" w:line="252" w:lineRule="auto"/>
            </w:pPr>
            <w:r>
              <w:rPr>
                <w:b/>
                <w:sz w:val="17"/>
              </w:rPr>
              <w:t>Family &amp; Marital</w:t>
            </w:r>
          </w:p>
        </w:tc>
        <w:tc>
          <w:tcPr>
            <w:tcW w:type="dxa" w:w="6599"/>
          </w:tcPr>
          <w:p>
            <w:pPr>
              <w:spacing w:after="50" w:before="50" w:line="252" w:lineRule="auto"/>
            </w:pPr>
            <w:r>
              <w:rPr>
                <w:sz w:val="17"/>
              </w:rPr>
              <w:t xml:space="preserve">Divorce, maintenance, custody and parenting, matrimonial property and </w:t>
            </w:r>
            <w:r>
              <w:rPr>
                <w:i/>
                <w:sz w:val="17"/>
              </w:rPr>
              <w:t>stridhan</w:t>
            </w:r>
            <w:r>
              <w:rPr>
                <w:sz w:val="17"/>
              </w:rPr>
              <w:t>, domestic-violence-linked matters, NRI marriages</w:t>
            </w:r>
          </w:p>
        </w:tc>
      </w:tr>
    </w:tbl>
    <w:p>
      <w:pPr>
        <w:spacing w:after="80" w:before="0"/>
      </w:pPr>
    </w:p>
    <w:p>
      <w:r>
        <w:rPr>
          <w:b/>
        </w:rPr>
        <w:t>Why this matters academically.</w:t>
      </w:r>
      <w:r>
        <w:t xml:space="preserve"> A single-subject provider can teach mediation in the abstract. A five-vertical institution can teach it as it differs across commercial, financial, employment, insurance and family contexts — which is how it actually differs in practice.</w:t>
      </w:r>
    </w:p>
    <w:p>
      <w:pPr>
        <w:spacing w:before="80" w:after="160"/>
        <w:pBdr>
          <w:bottom w:val="single" w:sz="6" w:space="1" w:color="C9D6DE"/>
        </w:pBdr>
      </w:pPr>
    </w:p>
    <w:p>
      <w:pPr>
        <w:pStyle w:val="Heading1"/>
        <w:pBdr>
          <w:bottom w:val="single" w:sz="8" w:space="4" w:color="C9D6DE"/>
        </w:pBdr>
      </w:pPr>
      <w:r>
        <w:t>3. What Equator brings to a university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887"/>
            <w:shd w:val="clear" w:color="auto" w:fill="10375C"/>
          </w:tcPr>
          <w:p>
            <w:pPr>
              <w:spacing w:after="50" w:before="50"/>
            </w:pPr>
            <w:r>
              <w:rPr>
                <w:b/>
                <w:color w:val="FFFFFF"/>
                <w:sz w:val="17"/>
              </w:rPr>
              <w:t>Capability</w:t>
            </w:r>
          </w:p>
        </w:tc>
        <w:tc>
          <w:tcPr>
            <w:tcW w:type="dxa" w:w="6581"/>
            <w:shd w:val="clear" w:color="auto" w:fill="10375C"/>
          </w:tcPr>
          <w:p>
            <w:pPr>
              <w:spacing w:after="50" w:before="50"/>
            </w:pPr>
            <w:r>
              <w:rPr>
                <w:b/>
                <w:color w:val="FFFFFF"/>
                <w:sz w:val="17"/>
              </w:rPr>
              <w:t>Detail</w:t>
            </w:r>
          </w:p>
        </w:tc>
      </w:tr>
      <w:tr>
        <w:tc>
          <w:tcPr>
            <w:tcW w:type="dxa" w:w="2887"/>
          </w:tcPr>
          <w:p>
            <w:pPr>
              <w:spacing w:after="50" w:before="50" w:line="252" w:lineRule="auto"/>
            </w:pPr>
            <w:r>
              <w:rPr>
                <w:b/>
                <w:sz w:val="17"/>
              </w:rPr>
              <w:t>Practitioner faculty</w:t>
            </w:r>
          </w:p>
        </w:tc>
        <w:tc>
          <w:tcPr>
            <w:tcW w:type="dxa" w:w="6581"/>
          </w:tcPr>
          <w:p>
            <w:pPr>
              <w:spacing w:after="50" w:before="50" w:line="252" w:lineRule="auto"/>
            </w:pPr>
            <w:r>
              <w:rPr>
                <w:sz w:val="17"/>
              </w:rPr>
              <w:t>Trainers drawn from active practice, certified against an internal trainer standard and subject to annual calibration</w:t>
            </w:r>
          </w:p>
        </w:tc>
      </w:tr>
      <w:tr>
        <w:tc>
          <w:tcPr>
            <w:tcW w:type="dxa" w:w="2887"/>
            <w:shd w:val="clear" w:color="auto" w:fill="EAF1F4"/>
          </w:tcPr>
          <w:p>
            <w:pPr>
              <w:spacing w:after="50" w:before="50" w:line="252" w:lineRule="auto"/>
            </w:pPr>
            <w:r>
              <w:rPr>
                <w:b/>
                <w:sz w:val="17"/>
              </w:rPr>
              <w:t>Curriculum</w:t>
            </w:r>
          </w:p>
        </w:tc>
        <w:tc>
          <w:tcPr>
            <w:tcW w:type="dxa" w:w="6581"/>
            <w:shd w:val="clear" w:color="auto" w:fill="EAF1F4"/>
          </w:tcPr>
          <w:p>
            <w:pPr>
              <w:spacing w:after="50" w:before="50" w:line="252" w:lineRule="auto"/>
            </w:pPr>
            <w:r>
              <w:rPr>
                <w:sz w:val="17"/>
              </w:rPr>
              <w:t>Structured on the 40-hour basic and 20-hour advanced model used by court-annexed centres; modular, mapped to learning outcomes, capable of credit alignment</w:t>
            </w:r>
          </w:p>
        </w:tc>
      </w:tr>
      <w:tr>
        <w:tc>
          <w:tcPr>
            <w:tcW w:type="dxa" w:w="2887"/>
          </w:tcPr>
          <w:p>
            <w:pPr>
              <w:spacing w:after="50" w:before="50" w:line="252" w:lineRule="auto"/>
            </w:pPr>
            <w:r>
              <w:rPr>
                <w:b/>
                <w:sz w:val="17"/>
              </w:rPr>
              <w:t>Assessment</w:t>
            </w:r>
          </w:p>
        </w:tc>
        <w:tc>
          <w:tcPr>
            <w:tcW w:type="dxa" w:w="6581"/>
          </w:tcPr>
          <w:p>
            <w:pPr>
              <w:spacing w:after="50" w:before="50" w:line="252" w:lineRule="auto"/>
            </w:pPr>
            <w:r>
              <w:rPr>
                <w:sz w:val="17"/>
              </w:rPr>
              <w:t>Written, simulation-based and viva components, with published criteria, double marking on borderline cases and an appeals route</w:t>
            </w:r>
          </w:p>
        </w:tc>
      </w:tr>
      <w:tr>
        <w:tc>
          <w:tcPr>
            <w:tcW w:type="dxa" w:w="2887"/>
            <w:shd w:val="clear" w:color="auto" w:fill="EAF1F4"/>
          </w:tcPr>
          <w:p>
            <w:pPr>
              <w:spacing w:after="50" w:before="50" w:line="252" w:lineRule="auto"/>
            </w:pPr>
            <w:r>
              <w:rPr>
                <w:b/>
                <w:sz w:val="17"/>
              </w:rPr>
              <w:t>Competitions</w:t>
            </w:r>
          </w:p>
        </w:tc>
        <w:tc>
          <w:tcPr>
            <w:tcW w:type="dxa" w:w="6581"/>
            <w:shd w:val="clear" w:color="auto" w:fill="EAF1F4"/>
          </w:tcPr>
          <w:p>
            <w:pPr>
              <w:spacing w:after="50" w:before="50" w:line="252" w:lineRule="auto"/>
            </w:pPr>
            <w:r>
              <w:rPr>
                <w:sz w:val="17"/>
              </w:rPr>
              <w:t>A national mediation championship, an arbitration moot, a negotiation championship, with published rules, original problems and calibrated judging</w:t>
            </w:r>
          </w:p>
        </w:tc>
      </w:tr>
      <w:tr>
        <w:tc>
          <w:tcPr>
            <w:tcW w:type="dxa" w:w="2887"/>
          </w:tcPr>
          <w:p>
            <w:pPr>
              <w:spacing w:after="50" w:before="50" w:line="252" w:lineRule="auto"/>
            </w:pPr>
            <w:r>
              <w:rPr>
                <w:b/>
                <w:sz w:val="17"/>
              </w:rPr>
              <w:t>Live exposure</w:t>
            </w:r>
          </w:p>
        </w:tc>
        <w:tc>
          <w:tcPr>
            <w:tcW w:type="dxa" w:w="6581"/>
          </w:tcPr>
          <w:p>
            <w:pPr>
              <w:spacing w:after="50" w:before="50" w:line="252" w:lineRule="auto"/>
            </w:pPr>
            <w:r>
              <w:rPr>
                <w:sz w:val="17"/>
              </w:rPr>
              <w:t>Supervised observation of real proceedings, subject to party consent and to the confidentiality requirements of the Mediation Act, 2023</w:t>
            </w:r>
          </w:p>
        </w:tc>
      </w:tr>
      <w:tr>
        <w:tc>
          <w:tcPr>
            <w:tcW w:type="dxa" w:w="2887"/>
            <w:shd w:val="clear" w:color="auto" w:fill="EAF1F4"/>
          </w:tcPr>
          <w:p>
            <w:pPr>
              <w:spacing w:after="50" w:before="50" w:line="252" w:lineRule="auto"/>
            </w:pPr>
            <w:r>
              <w:rPr>
                <w:b/>
                <w:sz w:val="17"/>
              </w:rPr>
              <w:t>Research</w:t>
            </w:r>
          </w:p>
        </w:tc>
        <w:tc>
          <w:tcPr>
            <w:tcW w:type="dxa" w:w="6581"/>
            <w:shd w:val="clear" w:color="auto" w:fill="EAF1F4"/>
          </w:tcPr>
          <w:p>
            <w:pPr>
              <w:spacing w:after="50" w:before="50" w:line="252" w:lineRule="auto"/>
            </w:pPr>
            <w:r>
              <w:rPr>
                <w:sz w:val="17"/>
              </w:rPr>
              <w:t>An empirical research capability drawing on anonymised outcome data, subject to a published data protocol</w:t>
            </w:r>
          </w:p>
        </w:tc>
      </w:tr>
      <w:tr>
        <w:tc>
          <w:tcPr>
            <w:tcW w:type="dxa" w:w="2887"/>
          </w:tcPr>
          <w:p>
            <w:pPr>
              <w:spacing w:after="50" w:before="50" w:line="252" w:lineRule="auto"/>
            </w:pPr>
            <w:r>
              <w:rPr>
                <w:b/>
                <w:sz w:val="17"/>
              </w:rPr>
              <w:t>Employment pathway</w:t>
            </w:r>
          </w:p>
        </w:tc>
        <w:tc>
          <w:tcPr>
            <w:tcW w:type="dxa" w:w="6581"/>
          </w:tcPr>
          <w:p>
            <w:pPr>
              <w:spacing w:after="50" w:before="50" w:line="252" w:lineRule="auto"/>
            </w:pPr>
            <w:r>
              <w:rPr>
                <w:sz w:val="17"/>
              </w:rPr>
              <w:t>A structured internship ladder with documented conversion into case management and neutral roles</w:t>
            </w:r>
          </w:p>
        </w:tc>
      </w:tr>
      <w:tr>
        <w:tc>
          <w:tcPr>
            <w:tcW w:type="dxa" w:w="2887"/>
            <w:shd w:val="clear" w:color="auto" w:fill="EAF1F4"/>
          </w:tcPr>
          <w:p>
            <w:pPr>
              <w:spacing w:after="50" w:before="50" w:line="252" w:lineRule="auto"/>
            </w:pPr>
            <w:r>
              <w:rPr>
                <w:b/>
                <w:sz w:val="17"/>
              </w:rPr>
              <w:t>Institutional services</w:t>
            </w:r>
          </w:p>
        </w:tc>
        <w:tc>
          <w:tcPr>
            <w:tcW w:type="dxa" w:w="6581"/>
            <w:shd w:val="clear" w:color="auto" w:fill="EAF1F4"/>
          </w:tcPr>
          <w:p>
            <w:pPr>
              <w:spacing w:after="50" w:before="50" w:line="252" w:lineRule="auto"/>
            </w:pPr>
            <w:r>
              <w:rPr>
                <w:sz w:val="17"/>
              </w:rPr>
              <w:t>Grievance process design, Ombudsperson and committee support, POSH training and external member supply</w:t>
            </w:r>
          </w:p>
        </w:tc>
      </w:tr>
    </w:tbl>
    <w:p>
      <w:pPr>
        <w:spacing w:after="80" w:before="0"/>
      </w:pPr>
    </w:p>
    <w:p>
      <w:pPr>
        <w:spacing w:before="80" w:after="160"/>
        <w:pBdr>
          <w:bottom w:val="single" w:sz="6" w:space="1" w:color="C9D6DE"/>
        </w:pBdr>
      </w:pPr>
    </w:p>
    <w:p>
      <w:pPr>
        <w:pStyle w:val="Heading1"/>
        <w:pBdr>
          <w:bottom w:val="single" w:sz="8" w:space="4" w:color="C9D6DE"/>
        </w:pBdr>
      </w:pPr>
      <w:r>
        <w:t>4. Governance and quality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71"/>
            <w:shd w:val="clear" w:color="auto" w:fill="10375C"/>
          </w:tcPr>
          <w:p>
            <w:pPr>
              <w:spacing w:after="50" w:before="50"/>
            </w:pPr>
            <w:r>
              <w:rPr>
                <w:b/>
                <w:color w:val="FFFFFF"/>
                <w:sz w:val="17"/>
              </w:rPr>
              <w:t>Element</w:t>
            </w:r>
          </w:p>
        </w:tc>
        <w:tc>
          <w:tcPr>
            <w:tcW w:type="dxa" w:w="6897"/>
            <w:shd w:val="clear" w:color="auto" w:fill="10375C"/>
          </w:tcPr>
          <w:p>
            <w:pPr>
              <w:spacing w:after="50" w:before="50"/>
            </w:pPr>
            <w:r>
              <w:rPr>
                <w:b/>
                <w:color w:val="FFFFFF"/>
                <w:sz w:val="17"/>
              </w:rPr>
              <w:t>Position</w:t>
            </w:r>
          </w:p>
        </w:tc>
      </w:tr>
      <w:tr>
        <w:tc>
          <w:tcPr>
            <w:tcW w:type="dxa" w:w="2571"/>
          </w:tcPr>
          <w:p>
            <w:pPr>
              <w:spacing w:after="50" w:before="50" w:line="252" w:lineRule="auto"/>
            </w:pPr>
            <w:r>
              <w:rPr>
                <w:sz w:val="17"/>
              </w:rPr>
              <w:t>Academic governance</w:t>
            </w:r>
          </w:p>
        </w:tc>
        <w:tc>
          <w:tcPr>
            <w:tcW w:type="dxa" w:w="6897"/>
          </w:tcPr>
          <w:p>
            <w:pPr>
              <w:spacing w:after="50" w:before="50" w:line="252" w:lineRule="auto"/>
            </w:pPr>
            <w:r>
              <w:rPr>
                <w:sz w:val="17"/>
              </w:rPr>
              <w:t>Curriculum &amp; Certification Committee, including an external academic member, approves curriculum, assessment standards and certification</w:t>
            </w:r>
          </w:p>
        </w:tc>
      </w:tr>
      <w:tr>
        <w:tc>
          <w:tcPr>
            <w:tcW w:type="dxa" w:w="2571"/>
            <w:shd w:val="clear" w:color="auto" w:fill="EAF1F4"/>
          </w:tcPr>
          <w:p>
            <w:pPr>
              <w:spacing w:after="50" w:before="50" w:line="252" w:lineRule="auto"/>
            </w:pPr>
            <w:r>
              <w:rPr>
                <w:sz w:val="17"/>
              </w:rPr>
              <w:t>Competition governance</w:t>
            </w:r>
          </w:p>
        </w:tc>
        <w:tc>
          <w:tcPr>
            <w:tcW w:type="dxa" w:w="6897"/>
            <w:shd w:val="clear" w:color="auto" w:fill="EAF1F4"/>
          </w:tcPr>
          <w:p>
            <w:pPr>
              <w:spacing w:after="50" w:before="50" w:line="252" w:lineRule="auto"/>
            </w:pPr>
            <w:r>
              <w:rPr>
                <w:sz w:val="17"/>
              </w:rPr>
              <w:t>Competition Committee, including two external practitioners, approves problems, rules and judging panels and rules on integrity challenges</w:t>
            </w:r>
          </w:p>
        </w:tc>
      </w:tr>
      <w:tr>
        <w:tc>
          <w:tcPr>
            <w:tcW w:type="dxa" w:w="2571"/>
          </w:tcPr>
          <w:p>
            <w:pPr>
              <w:spacing w:after="50" w:before="50" w:line="252" w:lineRule="auto"/>
            </w:pPr>
            <w:r>
              <w:rPr>
                <w:sz w:val="17"/>
              </w:rPr>
              <w:t>Trainer standard</w:t>
            </w:r>
          </w:p>
        </w:tc>
        <w:tc>
          <w:tcPr>
            <w:tcW w:type="dxa" w:w="6897"/>
          </w:tcPr>
          <w:p>
            <w:pPr>
              <w:spacing w:after="50" w:before="50" w:line="252" w:lineRule="auto"/>
            </w:pPr>
            <w:r>
              <w:rPr>
                <w:sz w:val="17"/>
              </w:rPr>
              <w:t>Trainers are certified against an internal standard, observed, and recalibrated annually</w:t>
            </w:r>
          </w:p>
        </w:tc>
      </w:tr>
      <w:tr>
        <w:tc>
          <w:tcPr>
            <w:tcW w:type="dxa" w:w="2571"/>
            <w:shd w:val="clear" w:color="auto" w:fill="EAF1F4"/>
          </w:tcPr>
          <w:p>
            <w:pPr>
              <w:spacing w:after="50" w:before="50" w:line="252" w:lineRule="auto"/>
            </w:pPr>
            <w:r>
              <w:rPr>
                <w:sz w:val="17"/>
              </w:rPr>
              <w:t>Quality assurance</w:t>
            </w:r>
          </w:p>
        </w:tc>
        <w:tc>
          <w:tcPr>
            <w:tcW w:type="dxa" w:w="6897"/>
            <w:shd w:val="clear" w:color="auto" w:fill="EAF1F4"/>
          </w:tcPr>
          <w:p>
            <w:pPr>
              <w:spacing w:after="50" w:before="50" w:line="252" w:lineRule="auto"/>
            </w:pPr>
            <w:r>
              <w:rPr>
                <w:sz w:val="17"/>
              </w:rPr>
              <w:t>Feedback captured on every session; assessment moderated; calibration variance monitored</w:t>
            </w:r>
          </w:p>
        </w:tc>
      </w:tr>
      <w:tr>
        <w:tc>
          <w:tcPr>
            <w:tcW w:type="dxa" w:w="2571"/>
          </w:tcPr>
          <w:p>
            <w:pPr>
              <w:spacing w:after="50" w:before="50" w:line="252" w:lineRule="auto"/>
            </w:pPr>
            <w:r>
              <w:rPr>
                <w:sz w:val="17"/>
              </w:rPr>
              <w:t>Conflicts</w:t>
            </w:r>
          </w:p>
        </w:tc>
        <w:tc>
          <w:tcPr>
            <w:tcW w:type="dxa" w:w="6897"/>
          </w:tcPr>
          <w:p>
            <w:pPr>
              <w:spacing w:after="50" w:before="50" w:line="252" w:lineRule="auto"/>
            </w:pPr>
            <w:r>
              <w:rPr>
                <w:sz w:val="17"/>
              </w:rPr>
              <w:t>Published conflict of interest policy; disclosure and recusal protocol where a partner institution is connected to a matter</w:t>
            </w:r>
          </w:p>
        </w:tc>
      </w:tr>
      <w:tr>
        <w:tc>
          <w:tcPr>
            <w:tcW w:type="dxa" w:w="2571"/>
            <w:shd w:val="clear" w:color="auto" w:fill="EAF1F4"/>
          </w:tcPr>
          <w:p>
            <w:pPr>
              <w:spacing w:after="50" w:before="50" w:line="252" w:lineRule="auto"/>
            </w:pPr>
            <w:r>
              <w:rPr>
                <w:sz w:val="17"/>
              </w:rPr>
              <w:t>Confidentiality</w:t>
            </w:r>
          </w:p>
        </w:tc>
        <w:tc>
          <w:tcPr>
            <w:tcW w:type="dxa" w:w="6897"/>
            <w:shd w:val="clear" w:color="auto" w:fill="EAF1F4"/>
          </w:tcPr>
          <w:p>
            <w:pPr>
              <w:spacing w:after="50" w:before="50" w:line="252" w:lineRule="auto"/>
            </w:pPr>
            <w:r>
              <w:rPr>
                <w:sz w:val="17"/>
              </w:rPr>
              <w:t>Statutory confidentiality obligations under the Mediation Act, 2023 applied to every activity involving a live matter; written undertakings from every student and observer</w:t>
            </w:r>
          </w:p>
        </w:tc>
      </w:tr>
      <w:tr>
        <w:tc>
          <w:tcPr>
            <w:tcW w:type="dxa" w:w="2571"/>
          </w:tcPr>
          <w:p>
            <w:pPr>
              <w:spacing w:after="50" w:before="50" w:line="252" w:lineRule="auto"/>
            </w:pPr>
            <w:r>
              <w:rPr>
                <w:sz w:val="17"/>
              </w:rPr>
              <w:t>Data protection</w:t>
            </w:r>
          </w:p>
        </w:tc>
        <w:tc>
          <w:tcPr>
            <w:tcW w:type="dxa" w:w="6897"/>
          </w:tcPr>
          <w:p>
            <w:pPr>
              <w:spacing w:after="50" w:before="50" w:line="252" w:lineRule="auto"/>
            </w:pPr>
            <w:r>
              <w:rPr>
                <w:sz w:val="17"/>
              </w:rPr>
              <w:t>Consent-based processing, purpose limitation, defined retention, and a breach response protocol under the DPDP framework</w:t>
            </w:r>
          </w:p>
        </w:tc>
      </w:tr>
      <w:tr>
        <w:tc>
          <w:tcPr>
            <w:tcW w:type="dxa" w:w="2571"/>
            <w:shd w:val="clear" w:color="auto" w:fill="EAF1F4"/>
          </w:tcPr>
          <w:p>
            <w:pPr>
              <w:spacing w:after="50" w:before="50" w:line="252" w:lineRule="auto"/>
            </w:pPr>
            <w:r>
              <w:rPr>
                <w:sz w:val="17"/>
              </w:rPr>
              <w:t>Safeguarding</w:t>
            </w:r>
          </w:p>
        </w:tc>
        <w:tc>
          <w:tcPr>
            <w:tcW w:type="dxa" w:w="6897"/>
            <w:shd w:val="clear" w:color="auto" w:fill="EAF1F4"/>
          </w:tcPr>
          <w:p>
            <w:pPr>
              <w:spacing w:after="50" w:before="50" w:line="252" w:lineRule="auto"/>
            </w:pPr>
            <w:r>
              <w:rPr>
                <w:sz w:val="17"/>
              </w:rPr>
              <w:t>Safeguarding policy applying to all activity involving students, including minors in school outreach</w:t>
            </w:r>
          </w:p>
        </w:tc>
      </w:tr>
    </w:tbl>
    <w:p>
      <w:pPr>
        <w:spacing w:after="80" w:before="0"/>
      </w:pPr>
    </w:p>
    <w:p>
      <w:pPr>
        <w:spacing w:before="80" w:after="160"/>
        <w:pBdr>
          <w:bottom w:val="single" w:sz="6" w:space="1" w:color="C9D6DE"/>
        </w:pBdr>
      </w:pPr>
    </w:p>
    <w:p>
      <w:pPr>
        <w:pStyle w:val="Heading1"/>
        <w:pBdr>
          <w:bottom w:val="single" w:sz="8" w:space="4" w:color="C9D6DE"/>
        </w:pBdr>
      </w:pPr>
      <w:r>
        <w:t>5. Our position on claims</w:t>
      </w:r>
    </w:p>
    <w:p>
      <w:r>
        <w:t>We think it is worth stating plainly what we do not claim, because in this sector a good deal is claimed loosely.</w:t>
      </w:r>
    </w:p>
    <w:p>
      <w:pPr>
        <w:pStyle w:val="ListBullet"/>
      </w:pPr>
      <w:r>
        <w:rPr>
          <w:sz w:val="21"/>
        </w:rPr>
        <w:t xml:space="preserve">We do </w:t>
      </w:r>
      <w:r>
        <w:rPr>
          <w:b/>
          <w:sz w:val="21"/>
        </w:rPr>
        <w:t>not</w:t>
      </w:r>
      <w:r>
        <w:rPr>
          <w:sz w:val="21"/>
        </w:rPr>
        <w:t xml:space="preserve"> award degrees or diplomas. We issue certificates of training and competence.</w:t>
      </w:r>
    </w:p>
    <w:p>
      <w:pPr>
        <w:pStyle w:val="ListBullet"/>
      </w:pPr>
      <w:r>
        <w:rPr>
          <w:sz w:val="21"/>
        </w:rPr>
        <w:t xml:space="preserve">We do </w:t>
      </w:r>
      <w:r>
        <w:rPr>
          <w:b/>
          <w:sz w:val="21"/>
        </w:rPr>
        <w:t>not</w:t>
      </w:r>
      <w:r>
        <w:rPr>
          <w:sz w:val="21"/>
        </w:rPr>
        <w:t xml:space="preserve"> describe our certification as government-recognised or as accredited by the Mediation Council of India. The Council is not yet constituted. Our curriculum is designed in line with prevailing court-annexed training norms and is built to be re-mapped when Council standards are notified.</w:t>
      </w:r>
    </w:p>
    <w:p>
      <w:pPr>
        <w:pStyle w:val="ListBullet"/>
      </w:pPr>
      <w:r>
        <w:rPr>
          <w:sz w:val="21"/>
        </w:rPr>
        <w:t xml:space="preserve">We do </w:t>
      </w:r>
      <w:r>
        <w:rPr>
          <w:b/>
          <w:sz w:val="21"/>
        </w:rPr>
        <w:t>not</w:t>
      </w:r>
      <w:r>
        <w:rPr>
          <w:sz w:val="21"/>
        </w:rPr>
        <w:t xml:space="preserve"> promise placement.</w:t>
      </w:r>
    </w:p>
    <w:p>
      <w:pPr>
        <w:pStyle w:val="ListBullet"/>
      </w:pPr>
      <w:r>
        <w:rPr>
          <w:sz w:val="21"/>
        </w:rPr>
        <w:t xml:space="preserve">We do </w:t>
      </w:r>
      <w:r>
        <w:rPr>
          <w:b/>
          <w:sz w:val="21"/>
        </w:rPr>
        <w:t>not</w:t>
      </w:r>
      <w:r>
        <w:rPr>
          <w:sz w:val="21"/>
        </w:rPr>
        <w:t xml:space="preserve"> accept an appointment as neutral in a matter connected to a partner institution without disclosure and, where appropriate, recusal.</w:t>
      </w:r>
    </w:p>
    <w:p>
      <w:pPr>
        <w:spacing w:before="80" w:after="160"/>
        <w:pBdr>
          <w:bottom w:val="single" w:sz="6" w:space="1" w:color="C9D6DE"/>
        </w:pBdr>
      </w:pPr>
    </w:p>
    <w:p>
      <w:pPr>
        <w:pStyle w:val="Heading1"/>
        <w:pBdr>
          <w:bottom w:val="single" w:sz="8" w:space="4" w:color="C9D6DE"/>
        </w:pBdr>
      </w:pPr>
      <w:r>
        <w:t>6. Track record</w:t>
      </w:r>
    </w:p>
    <w:p>
      <w:r>
        <w:rPr>
          <w:i/>
        </w:rPr>
        <w:t>Complete before external issue. Do not issue this statement with an empty section 6 — where the record is limited, say so and describe the pipeline instead.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388"/>
            <w:shd w:val="clear" w:color="auto" w:fill="10375C"/>
          </w:tcPr>
          <w:p>
            <w:pPr>
              <w:spacing w:after="50" w:before="50"/>
            </w:pPr>
            <w:r>
              <w:rPr>
                <w:b/>
                <w:color w:val="FFFFFF"/>
                <w:sz w:val="17"/>
              </w:rPr>
              <w:t>Measure</w:t>
            </w:r>
          </w:p>
        </w:tc>
        <w:tc>
          <w:tcPr>
            <w:tcW w:type="dxa" w:w="2080"/>
            <w:shd w:val="clear" w:color="auto" w:fill="10375C"/>
          </w:tcPr>
          <w:p>
            <w:pPr>
              <w:spacing w:after="50" w:before="50"/>
            </w:pPr>
            <w:r>
              <w:rPr>
                <w:b/>
                <w:color w:val="FFFFFF"/>
                <w:sz w:val="17"/>
              </w:rPr>
              <w:t>Position</w:t>
            </w:r>
          </w:p>
        </w:tc>
      </w:tr>
      <w:tr>
        <w:tc>
          <w:tcPr>
            <w:tcW w:type="dxa" w:w="7388"/>
          </w:tcPr>
          <w:p>
            <w:pPr>
              <w:spacing w:after="50" w:before="50" w:line="252" w:lineRule="auto"/>
            </w:pPr>
            <w:r>
              <w:rPr>
                <w:sz w:val="17"/>
              </w:rPr>
              <w:t>Institutions partnered</w:t>
            </w:r>
          </w:p>
        </w:tc>
        <w:tc>
          <w:tcPr>
            <w:tcW w:type="dxa" w:w="2080"/>
          </w:tcPr>
          <w:p>
            <w:pPr>
              <w:spacing w:after="50" w:before="50" w:line="252" w:lineRule="auto"/>
            </w:pPr>
            <w:r>
              <w:rPr>
                <w:sz w:val="17"/>
              </w:rPr>
              <w:t>[●]</w:t>
            </w:r>
          </w:p>
        </w:tc>
      </w:tr>
      <w:tr>
        <w:tc>
          <w:tcPr>
            <w:tcW w:type="dxa" w:w="7388"/>
            <w:shd w:val="clear" w:color="auto" w:fill="EAF1F4"/>
          </w:tcPr>
          <w:p>
            <w:pPr>
              <w:spacing w:after="50" w:before="50" w:line="252" w:lineRule="auto"/>
            </w:pPr>
            <w:r>
              <w:rPr>
                <w:sz w:val="17"/>
              </w:rPr>
              <w:t>Participants trained</w:t>
            </w:r>
          </w:p>
        </w:tc>
        <w:tc>
          <w:tcPr>
            <w:tcW w:type="dxa" w:w="2080"/>
            <w:shd w:val="clear" w:color="auto" w:fill="EAF1F4"/>
          </w:tcPr>
          <w:p>
            <w:pPr>
              <w:spacing w:after="50" w:before="50" w:line="252" w:lineRule="auto"/>
            </w:pPr>
            <w:r>
              <w:rPr>
                <w:sz w:val="17"/>
              </w:rPr>
              <w:t>[●]</w:t>
            </w:r>
          </w:p>
        </w:tc>
      </w:tr>
      <w:tr>
        <w:tc>
          <w:tcPr>
            <w:tcW w:type="dxa" w:w="7388"/>
          </w:tcPr>
          <w:p>
            <w:pPr>
              <w:spacing w:after="50" w:before="50" w:line="252" w:lineRule="auto"/>
            </w:pPr>
            <w:r>
              <w:rPr>
                <w:sz w:val="17"/>
              </w:rPr>
              <w:t>Faculty trained</w:t>
            </w:r>
          </w:p>
        </w:tc>
        <w:tc>
          <w:tcPr>
            <w:tcW w:type="dxa" w:w="2080"/>
          </w:tcPr>
          <w:p>
            <w:pPr>
              <w:spacing w:after="50" w:before="50" w:line="252" w:lineRule="auto"/>
            </w:pPr>
            <w:r>
              <w:rPr>
                <w:sz w:val="17"/>
              </w:rPr>
              <w:t>[●]</w:t>
            </w:r>
          </w:p>
        </w:tc>
      </w:tr>
      <w:tr>
        <w:tc>
          <w:tcPr>
            <w:tcW w:type="dxa" w:w="7388"/>
            <w:shd w:val="clear" w:color="auto" w:fill="EAF1F4"/>
          </w:tcPr>
          <w:p>
            <w:pPr>
              <w:spacing w:after="50" w:before="50" w:line="252" w:lineRule="auto"/>
            </w:pPr>
            <w:r>
              <w:rPr>
                <w:sz w:val="17"/>
              </w:rPr>
              <w:t>Interns hosted</w:t>
            </w:r>
          </w:p>
        </w:tc>
        <w:tc>
          <w:tcPr>
            <w:tcW w:type="dxa" w:w="2080"/>
            <w:shd w:val="clear" w:color="auto" w:fill="EAF1F4"/>
          </w:tcPr>
          <w:p>
            <w:pPr>
              <w:spacing w:after="50" w:before="50" w:line="252" w:lineRule="auto"/>
            </w:pPr>
            <w:r>
              <w:rPr>
                <w:sz w:val="17"/>
              </w:rPr>
              <w:t>[●]</w:t>
            </w:r>
          </w:p>
        </w:tc>
      </w:tr>
      <w:tr>
        <w:tc>
          <w:tcPr>
            <w:tcW w:type="dxa" w:w="7388"/>
          </w:tcPr>
          <w:p>
            <w:pPr>
              <w:spacing w:after="50" w:before="50" w:line="252" w:lineRule="auto"/>
            </w:pPr>
            <w:r>
              <w:rPr>
                <w:sz w:val="17"/>
              </w:rPr>
              <w:t>Competitions convened</w:t>
            </w:r>
          </w:p>
        </w:tc>
        <w:tc>
          <w:tcPr>
            <w:tcW w:type="dxa" w:w="2080"/>
          </w:tcPr>
          <w:p>
            <w:pPr>
              <w:spacing w:after="50" w:before="50" w:line="252" w:lineRule="auto"/>
            </w:pPr>
            <w:r>
              <w:rPr>
                <w:sz w:val="17"/>
              </w:rPr>
              <w:t>[●]</w:t>
            </w:r>
          </w:p>
        </w:tc>
      </w:tr>
      <w:tr>
        <w:tc>
          <w:tcPr>
            <w:tcW w:type="dxa" w:w="7388"/>
            <w:shd w:val="clear" w:color="auto" w:fill="EAF1F4"/>
          </w:tcPr>
          <w:p>
            <w:pPr>
              <w:spacing w:after="50" w:before="50" w:line="252" w:lineRule="auto"/>
            </w:pPr>
            <w:r>
              <w:rPr>
                <w:sz w:val="17"/>
              </w:rPr>
              <w:t>Publications</w:t>
            </w:r>
          </w:p>
        </w:tc>
        <w:tc>
          <w:tcPr>
            <w:tcW w:type="dxa" w:w="2080"/>
            <w:shd w:val="clear" w:color="auto" w:fill="EAF1F4"/>
          </w:tcPr>
          <w:p>
            <w:pPr>
              <w:spacing w:after="50" w:before="50" w:line="252" w:lineRule="auto"/>
            </w:pPr>
            <w:r>
              <w:rPr>
                <w:sz w:val="17"/>
              </w:rPr>
              <w:t>[●]</w:t>
            </w:r>
          </w:p>
        </w:tc>
      </w:tr>
      <w:tr>
        <w:tc>
          <w:tcPr>
            <w:tcW w:type="dxa" w:w="7388"/>
          </w:tcPr>
          <w:p>
            <w:pPr>
              <w:spacing w:after="50" w:before="50" w:line="252" w:lineRule="auto"/>
            </w:pPr>
            <w:r>
              <w:rPr>
                <w:sz w:val="17"/>
              </w:rPr>
              <w:t>Panel size</w:t>
            </w:r>
          </w:p>
        </w:tc>
        <w:tc>
          <w:tcPr>
            <w:tcW w:type="dxa" w:w="2080"/>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7. Selected people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805"/>
            <w:shd w:val="clear" w:color="auto" w:fill="10375C"/>
          </w:tcPr>
          <w:p>
            <w:pPr>
              <w:spacing w:after="50" w:before="50"/>
            </w:pPr>
            <w:r>
              <w:rPr>
                <w:b/>
                <w:color w:val="FFFFFF"/>
                <w:sz w:val="17"/>
              </w:rPr>
              <w:t>Name</w:t>
            </w:r>
          </w:p>
        </w:tc>
        <w:tc>
          <w:tcPr>
            <w:tcW w:type="dxa" w:w="2805"/>
            <w:shd w:val="clear" w:color="auto" w:fill="10375C"/>
          </w:tcPr>
          <w:p>
            <w:pPr>
              <w:spacing w:after="50" w:before="50"/>
            </w:pPr>
            <w:r>
              <w:rPr>
                <w:b/>
                <w:color w:val="FFFFFF"/>
                <w:sz w:val="17"/>
              </w:rPr>
              <w:t>Role</w:t>
            </w:r>
          </w:p>
        </w:tc>
        <w:tc>
          <w:tcPr>
            <w:tcW w:type="dxa" w:w="3857"/>
            <w:shd w:val="clear" w:color="auto" w:fill="10375C"/>
          </w:tcPr>
          <w:p>
            <w:pPr>
              <w:spacing w:after="50" w:before="50"/>
            </w:pPr>
            <w:r>
              <w:rPr>
                <w:b/>
                <w:color w:val="FFFFFF"/>
                <w:sz w:val="17"/>
              </w:rPr>
              <w:t>Background</w:t>
            </w:r>
          </w:p>
        </w:tc>
      </w:tr>
      <w:tr>
        <w:tc>
          <w:tcPr>
            <w:tcW w:type="dxa" w:w="2805"/>
          </w:tcPr>
          <w:p>
            <w:pPr>
              <w:spacing w:after="50" w:before="50" w:line="252" w:lineRule="auto"/>
            </w:pPr>
            <w:r>
              <w:rPr>
                <w:sz w:val="17"/>
              </w:rPr>
              <w:t>[●]</w:t>
            </w:r>
          </w:p>
        </w:tc>
        <w:tc>
          <w:tcPr>
            <w:tcW w:type="dxa" w:w="2805"/>
          </w:tcPr>
          <w:p>
            <w:pPr>
              <w:spacing w:after="50" w:before="50" w:line="252" w:lineRule="auto"/>
            </w:pPr>
            <w:r>
              <w:rPr>
                <w:sz w:val="17"/>
              </w:rPr>
              <w:t>[●]</w:t>
            </w:r>
          </w:p>
        </w:tc>
        <w:tc>
          <w:tcPr>
            <w:tcW w:type="dxa" w:w="3857"/>
          </w:tcPr>
          <w:p>
            <w:pPr>
              <w:spacing w:after="50" w:before="50" w:line="252" w:lineRule="auto"/>
            </w:pPr>
            <w:r>
              <w:rPr>
                <w:sz w:val="17"/>
              </w:rPr>
              <w:t>[●]</w:t>
            </w:r>
          </w:p>
        </w:tc>
      </w:tr>
      <w:tr>
        <w:tc>
          <w:tcPr>
            <w:tcW w:type="dxa" w:w="2805"/>
            <w:shd w:val="clear" w:color="auto" w:fill="EAF1F4"/>
          </w:tcPr>
          <w:p>
            <w:pPr>
              <w:spacing w:after="50" w:before="50" w:line="252" w:lineRule="auto"/>
            </w:pPr>
            <w:r>
              <w:rPr>
                <w:sz w:val="17"/>
              </w:rPr>
              <w:t>[●]</w:t>
            </w:r>
          </w:p>
        </w:tc>
        <w:tc>
          <w:tcPr>
            <w:tcW w:type="dxa" w:w="2805"/>
            <w:shd w:val="clear" w:color="auto" w:fill="EAF1F4"/>
          </w:tcPr>
          <w:p>
            <w:pPr>
              <w:spacing w:after="50" w:before="50" w:line="252" w:lineRule="auto"/>
            </w:pPr>
            <w:r>
              <w:rPr>
                <w:sz w:val="17"/>
              </w:rPr>
              <w:t>[●]</w:t>
            </w:r>
          </w:p>
        </w:tc>
        <w:tc>
          <w:tcPr>
            <w:tcW w:type="dxa" w:w="3857"/>
            <w:shd w:val="clear" w:color="auto" w:fill="EAF1F4"/>
          </w:tcPr>
          <w:p>
            <w:pPr>
              <w:spacing w:after="50" w:before="50" w:line="252" w:lineRule="auto"/>
            </w:pPr>
            <w:r>
              <w:rPr>
                <w:sz w:val="17"/>
              </w:rPr>
              <w:t>[●]</w:t>
            </w:r>
          </w:p>
        </w:tc>
      </w:tr>
      <w:tr>
        <w:tc>
          <w:tcPr>
            <w:tcW w:type="dxa" w:w="2805"/>
          </w:tcPr>
          <w:p>
            <w:pPr>
              <w:spacing w:after="50" w:before="50" w:line="252" w:lineRule="auto"/>
            </w:pPr>
            <w:r>
              <w:rPr>
                <w:sz w:val="17"/>
              </w:rPr>
              <w:t>[●]</w:t>
            </w:r>
          </w:p>
        </w:tc>
        <w:tc>
          <w:tcPr>
            <w:tcW w:type="dxa" w:w="2805"/>
          </w:tcPr>
          <w:p>
            <w:pPr>
              <w:spacing w:after="50" w:before="50" w:line="252" w:lineRule="auto"/>
            </w:pPr>
            <w:r>
              <w:rPr>
                <w:sz w:val="17"/>
              </w:rPr>
              <w:t>[●]</w:t>
            </w:r>
          </w:p>
        </w:tc>
        <w:tc>
          <w:tcPr>
            <w:tcW w:type="dxa" w:w="3857"/>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8. Contact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994"/>
            <w:shd w:val="clear" w:color="auto" w:fill="10375C"/>
          </w:tcPr>
          <w:p>
            <w:pPr>
              <w:spacing w:after="50" w:before="50"/>
            </w:pPr>
            <w:r>
              <w:rPr>
                <w:b/>
                <w:color w:val="FFFFFF"/>
                <w:sz w:val="17"/>
              </w:rPr>
              <w:t>Purpose</w:t>
            </w:r>
          </w:p>
        </w:tc>
        <w:tc>
          <w:tcPr>
            <w:tcW w:type="dxa" w:w="5473"/>
            <w:shd w:val="clear" w:color="auto" w:fill="10375C"/>
          </w:tcPr>
          <w:p>
            <w:pPr>
              <w:spacing w:after="50" w:before="50"/>
            </w:pPr>
            <w:r>
              <w:rPr>
                <w:b/>
                <w:color w:val="FFFFFF"/>
                <w:sz w:val="17"/>
              </w:rPr>
              <w:t>Contact</w:t>
            </w:r>
          </w:p>
        </w:tc>
      </w:tr>
      <w:tr>
        <w:tc>
          <w:tcPr>
            <w:tcW w:type="dxa" w:w="3994"/>
          </w:tcPr>
          <w:p>
            <w:pPr>
              <w:spacing w:after="50" w:before="50" w:line="252" w:lineRule="auto"/>
            </w:pPr>
            <w:r>
              <w:rPr>
                <w:sz w:val="17"/>
              </w:rPr>
              <w:t>Academic collaborations</w:t>
            </w:r>
          </w:p>
        </w:tc>
        <w:tc>
          <w:tcPr>
            <w:tcW w:type="dxa" w:w="5473"/>
          </w:tcPr>
          <w:p>
            <w:pPr>
              <w:spacing w:after="50" w:before="50" w:line="252" w:lineRule="auto"/>
            </w:pPr>
            <w:r>
              <w:rPr>
                <w:sz w:val="17"/>
              </w:rPr>
              <w:t>Programme Director — Academic Partnerships, [●]</w:t>
            </w:r>
          </w:p>
        </w:tc>
      </w:tr>
      <w:tr>
        <w:tc>
          <w:tcPr>
            <w:tcW w:type="dxa" w:w="3994"/>
            <w:shd w:val="clear" w:color="auto" w:fill="EAF1F4"/>
          </w:tcPr>
          <w:p>
            <w:pPr>
              <w:spacing w:after="50" w:before="50" w:line="252" w:lineRule="auto"/>
            </w:pPr>
            <w:r>
              <w:rPr>
                <w:sz w:val="17"/>
              </w:rPr>
              <w:t>Training and certification</w:t>
            </w:r>
          </w:p>
        </w:tc>
        <w:tc>
          <w:tcPr>
            <w:tcW w:type="dxa" w:w="5473"/>
            <w:shd w:val="clear" w:color="auto" w:fill="EAF1F4"/>
          </w:tcPr>
          <w:p>
            <w:pPr>
              <w:spacing w:after="50" w:before="50" w:line="252" w:lineRule="auto"/>
            </w:pPr>
            <w:r>
              <w:rPr>
                <w:sz w:val="17"/>
              </w:rPr>
              <w:t>Head of Curriculum &amp; Certification, [●]</w:t>
            </w:r>
          </w:p>
        </w:tc>
      </w:tr>
      <w:tr>
        <w:tc>
          <w:tcPr>
            <w:tcW w:type="dxa" w:w="3994"/>
          </w:tcPr>
          <w:p>
            <w:pPr>
              <w:spacing w:after="50" w:before="50" w:line="252" w:lineRule="auto"/>
            </w:pPr>
            <w:r>
              <w:rPr>
                <w:sz w:val="17"/>
              </w:rPr>
              <w:t>Competitions</w:t>
            </w:r>
          </w:p>
        </w:tc>
        <w:tc>
          <w:tcPr>
            <w:tcW w:type="dxa" w:w="5473"/>
          </w:tcPr>
          <w:p>
            <w:pPr>
              <w:spacing w:after="50" w:before="50" w:line="252" w:lineRule="auto"/>
            </w:pPr>
            <w:r>
              <w:rPr>
                <w:sz w:val="17"/>
              </w:rPr>
              <w:t>Competition Convenor, [●]</w:t>
            </w:r>
          </w:p>
        </w:tc>
      </w:tr>
      <w:tr>
        <w:tc>
          <w:tcPr>
            <w:tcW w:type="dxa" w:w="3994"/>
            <w:shd w:val="clear" w:color="auto" w:fill="EAF1F4"/>
          </w:tcPr>
          <w:p>
            <w:pPr>
              <w:spacing w:after="50" w:before="50" w:line="252" w:lineRule="auto"/>
            </w:pPr>
            <w:r>
              <w:rPr>
                <w:sz w:val="17"/>
              </w:rPr>
              <w:t>Institutional advisory services</w:t>
            </w:r>
          </w:p>
        </w:tc>
        <w:tc>
          <w:tcPr>
            <w:tcW w:type="dxa" w:w="5473"/>
            <w:shd w:val="clear" w:color="auto" w:fill="EAF1F4"/>
          </w:tcPr>
          <w:p>
            <w:pPr>
              <w:spacing w:after="50" w:before="50" w:line="252" w:lineRule="auto"/>
            </w:pPr>
            <w:r>
              <w:rPr>
                <w:sz w:val="17"/>
              </w:rPr>
              <w:t>[●]</w:t>
            </w:r>
          </w:p>
        </w:tc>
      </w:tr>
      <w:tr>
        <w:tc>
          <w:tcPr>
            <w:tcW w:type="dxa" w:w="3994"/>
          </w:tcPr>
          <w:p>
            <w:pPr>
              <w:spacing w:after="50" w:before="50" w:line="252" w:lineRule="auto"/>
            </w:pPr>
            <w:r>
              <w:rPr>
                <w:sz w:val="17"/>
              </w:rPr>
              <w:t>Media</w:t>
            </w:r>
          </w:p>
        </w:tc>
        <w:tc>
          <w:tcPr>
            <w:tcW w:type="dxa" w:w="5473"/>
          </w:tcPr>
          <w:p>
            <w:pPr>
              <w:spacing w:after="50" w:before="50" w:line="252" w:lineRule="auto"/>
            </w:pPr>
            <w:r>
              <w:rPr>
                <w:sz w:val="17"/>
              </w:rPr>
              <w:t>[●]</w:t>
            </w:r>
          </w:p>
        </w:tc>
      </w:tr>
      <w:tr>
        <w:tc>
          <w:tcPr>
            <w:tcW w:type="dxa" w:w="3994"/>
            <w:shd w:val="clear" w:color="auto" w:fill="EAF1F4"/>
          </w:tcPr>
          <w:p>
            <w:pPr>
              <w:spacing w:after="50" w:before="50" w:line="252" w:lineRule="auto"/>
            </w:pPr>
            <w:r>
              <w:rPr>
                <w:sz w:val="17"/>
              </w:rPr>
              <w:t>Data protection</w:t>
            </w:r>
          </w:p>
        </w:tc>
        <w:tc>
          <w:tcPr>
            <w:tcW w:type="dxa" w:w="5473"/>
            <w:shd w:val="clear" w:color="auto" w:fill="EAF1F4"/>
          </w:tcPr>
          <w:p>
            <w:pPr>
              <w:spacing w:after="50" w:before="50" w:line="252" w:lineRule="auto"/>
            </w:pPr>
            <w:r>
              <w:rPr>
                <w:sz w:val="17"/>
              </w:rPr>
              <w:t>Data Protection Officer, [●]</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EQ-UAP-023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Institutional Capability Statement</w:t>
    </w:r>
    <w:r>
      <w:rPr>
        <w:rFonts w:ascii="Calibri" w:hAnsi="Calibri"/>
        <w:color w:val="595959"/>
        <w:sz w:val="16"/>
      </w:rPr>
      <w:tab/>
      <w:t>Approved for external release (subject to completion of [●] fields)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AC764B2-7AD6-46DC-91C7-79BDDDD84C68}"/>
</file>

<file path=customXml/itemProps3.xml><?xml version="1.0" encoding="utf-8"?>
<ds:datastoreItem xmlns:ds="http://schemas.openxmlformats.org/officeDocument/2006/customXml" ds:itemID="{96953EF0-BC95-4AEB-A99C-DF24DE8F05A1}"/>
</file>

<file path=customXml/itemProps4.xml><?xml version="1.0" encoding="utf-8"?>
<ds:datastoreItem xmlns:ds="http://schemas.openxmlformats.org/officeDocument/2006/customXml" ds:itemID="{8EA81C8F-2514-49C3-AB40-9D9B16E6AB2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