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Outreach Email Sequences &amp; Follow-Up Playbook</w:t>
      </w:r>
    </w:p>
    <w:p>
      <w:pPr>
        <w:spacing w:after="280" w:line="276" w:lineRule="auto"/>
      </w:pPr>
      <w:r>
        <w:rPr>
          <w:rFonts w:ascii="Calibri" w:hAnsi="Calibri"/>
          <w:i/>
          <w:color w:val="3E6B8A"/>
          <w:sz w:val="25"/>
        </w:rPr>
        <w:t>Sequenced, role-specific email templates with cadence, qualification logic and CRM discipline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EQ-UAP-024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Outreach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Principles</w:t>
      </w:r>
    </w:p>
    <w:p>
      <w:pPr>
        <w:pStyle w:val="ListNumber"/>
      </w:pPr>
      <w:r>
        <w:rPr>
          <w:b/>
          <w:sz w:val="21"/>
        </w:rPr>
        <w:t>Email opens the door; the letter carries the weight.</w:t>
      </w:r>
      <w:r>
        <w:rPr>
          <w:sz w:val="21"/>
        </w:rPr>
        <w:t xml:space="preserve"> Formal letters go to the Registrar and Vice-Chancellor. Email is for the Dean, the centre head and the coordinator.</w:t>
      </w:r>
    </w:p>
    <w:p>
      <w:pPr>
        <w:pStyle w:val="ListNumber"/>
      </w:pPr>
      <w:r>
        <w:rPr>
          <w:b/>
          <w:sz w:val="21"/>
        </w:rPr>
        <w:t>Every email offers something, asks for one thing, and is under 180 words.</w:t>
      </w:r>
    </w:p>
    <w:p>
      <w:pPr>
        <w:pStyle w:val="ListNumber"/>
      </w:pPr>
      <w:r>
        <w:rPr>
          <w:b/>
          <w:sz w:val="21"/>
        </w:rPr>
        <w:t>Lead with their obligation, not our catalogue.</w:t>
      </w:r>
    </w:p>
    <w:p>
      <w:pPr>
        <w:pStyle w:val="ListNumber"/>
      </w:pPr>
      <w:r>
        <w:rPr>
          <w:b/>
          <w:sz w:val="21"/>
        </w:rPr>
        <w:t>No sequence exceeds five touches.</w:t>
      </w:r>
      <w:r>
        <w:rPr>
          <w:sz w:val="21"/>
        </w:rPr>
        <w:t xml:space="preserve"> After the fifth, the institution moves to nurture and is not contacted for six months.</w:t>
      </w:r>
    </w:p>
    <w:p>
      <w:pPr>
        <w:pStyle w:val="ListNumber"/>
      </w:pPr>
      <w:r>
        <w:rPr>
          <w:b/>
          <w:sz w:val="21"/>
        </w:rPr>
        <w:t>Log every touch in the CRM the same day.</w:t>
      </w:r>
      <w:r>
        <w:rPr>
          <w:sz w:val="21"/>
        </w:rPr>
        <w:t xml:space="preserve"> A touch not logged did not happen.</w:t>
      </w:r>
    </w:p>
    <w:p>
      <w:pPr>
        <w:pStyle w:val="ListNumber"/>
      </w:pPr>
      <w:r>
        <w:rPr>
          <w:b/>
          <w:sz w:val="21"/>
        </w:rPr>
        <w:t>Never attach the rate card to a cold email.</w:t>
      </w:r>
    </w:p>
    <w:p>
      <w:pPr>
        <w:spacing w:before="80" w:after="160"/>
        <w:pBdr>
          <w:bottom w:val="single" w:sz="6" w:space="1" w:color="C9D6DE"/>
        </w:pBdr>
      </w:pPr>
    </w:p>
    <w:p>
      <w:pPr>
        <w:pStyle w:val="Heading1"/>
        <w:pBdr>
          <w:bottom w:val="single" w:sz="8" w:space="4" w:color="C9D6DE"/>
        </w:pBdr>
      </w:pPr>
      <w:r>
        <w:t>2. Cadence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Touch</w:t>
            </w:r>
          </w:p>
        </w:tc>
        <w:tc>
          <w:tcPr>
            <w:tcW w:type="dxa" w:w="850"/>
            <w:shd w:val="clear" w:color="auto" w:fill="10375C"/>
          </w:tcPr>
          <w:p>
            <w:pPr>
              <w:spacing w:after="50" w:before="50"/>
            </w:pPr>
            <w:r>
              <w:rPr>
                <w:b/>
                <w:color w:val="FFFFFF"/>
                <w:sz w:val="17"/>
              </w:rPr>
              <w:t>Day</w:t>
            </w:r>
          </w:p>
        </w:tc>
        <w:tc>
          <w:tcPr>
            <w:tcW w:type="dxa" w:w="2850"/>
            <w:shd w:val="clear" w:color="auto" w:fill="10375C"/>
          </w:tcPr>
          <w:p>
            <w:pPr>
              <w:spacing w:after="50" w:before="50"/>
            </w:pPr>
            <w:r>
              <w:rPr>
                <w:b/>
                <w:color w:val="FFFFFF"/>
                <w:sz w:val="17"/>
              </w:rPr>
              <w:t>Channel</w:t>
            </w:r>
          </w:p>
        </w:tc>
        <w:tc>
          <w:tcPr>
            <w:tcW w:type="dxa" w:w="5209"/>
            <w:shd w:val="clear" w:color="auto" w:fill="10375C"/>
          </w:tcPr>
          <w:p>
            <w:pPr>
              <w:spacing w:after="50" w:before="50"/>
            </w:pPr>
            <w:r>
              <w:rPr>
                <w:b/>
                <w:color w:val="FFFFFF"/>
                <w:sz w:val="17"/>
              </w:rPr>
              <w:t>Purpose</w:t>
            </w:r>
          </w:p>
        </w:tc>
      </w:tr>
      <w:tr>
        <w:tc>
          <w:tcPr>
            <w:tcW w:type="dxa" w:w="850"/>
          </w:tcPr>
          <w:p>
            <w:pPr>
              <w:spacing w:after="50" w:before="50" w:line="252" w:lineRule="auto"/>
            </w:pPr>
            <w:r>
              <w:rPr>
                <w:sz w:val="17"/>
              </w:rPr>
              <w:t>1</w:t>
            </w:r>
          </w:p>
        </w:tc>
        <w:tc>
          <w:tcPr>
            <w:tcW w:type="dxa" w:w="850"/>
          </w:tcPr>
          <w:p>
            <w:pPr>
              <w:spacing w:after="50" w:before="50" w:line="252" w:lineRule="auto"/>
            </w:pPr>
            <w:r>
              <w:rPr>
                <w:sz w:val="17"/>
              </w:rPr>
              <w:t>0</w:t>
            </w:r>
          </w:p>
        </w:tc>
        <w:tc>
          <w:tcPr>
            <w:tcW w:type="dxa" w:w="2850"/>
          </w:tcPr>
          <w:p>
            <w:pPr>
              <w:spacing w:after="50" w:before="50" w:line="252" w:lineRule="auto"/>
            </w:pPr>
            <w:r>
              <w:rPr>
                <w:sz w:val="17"/>
              </w:rPr>
              <w:t>Email</w:t>
            </w:r>
          </w:p>
        </w:tc>
        <w:tc>
          <w:tcPr>
            <w:tcW w:type="dxa" w:w="5209"/>
          </w:tcPr>
          <w:p>
            <w:pPr>
              <w:spacing w:after="50" w:before="50" w:line="252" w:lineRule="auto"/>
            </w:pPr>
            <w:r>
              <w:rPr>
                <w:sz w:val="17"/>
              </w:rPr>
              <w:t>Open with the obligation we solve</w:t>
            </w:r>
          </w:p>
        </w:tc>
      </w:tr>
      <w:tr>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4</w:t>
            </w:r>
          </w:p>
        </w:tc>
        <w:tc>
          <w:tcPr>
            <w:tcW w:type="dxa" w:w="2850"/>
            <w:shd w:val="clear" w:color="auto" w:fill="EAF1F4"/>
          </w:tcPr>
          <w:p>
            <w:pPr>
              <w:spacing w:after="50" w:before="50" w:line="252" w:lineRule="auto"/>
            </w:pPr>
            <w:r>
              <w:rPr>
                <w:sz w:val="17"/>
              </w:rPr>
              <w:t>LinkedIn connection with a one-line note</w:t>
            </w:r>
          </w:p>
        </w:tc>
        <w:tc>
          <w:tcPr>
            <w:tcW w:type="dxa" w:w="5209"/>
            <w:shd w:val="clear" w:color="auto" w:fill="EAF1F4"/>
          </w:tcPr>
          <w:p>
            <w:pPr>
              <w:spacing w:after="50" w:before="50" w:line="252" w:lineRule="auto"/>
            </w:pPr>
            <w:r>
              <w:rPr>
                <w:sz w:val="17"/>
              </w:rPr>
              <w:t>Presence without pressure</w:t>
            </w:r>
          </w:p>
        </w:tc>
      </w:tr>
      <w:tr>
        <w:tc>
          <w:tcPr>
            <w:tcW w:type="dxa" w:w="850"/>
          </w:tcPr>
          <w:p>
            <w:pPr>
              <w:spacing w:after="50" w:before="50" w:line="252" w:lineRule="auto"/>
            </w:pPr>
            <w:r>
              <w:rPr>
                <w:sz w:val="17"/>
              </w:rPr>
              <w:t>3</w:t>
            </w:r>
          </w:p>
        </w:tc>
        <w:tc>
          <w:tcPr>
            <w:tcW w:type="dxa" w:w="850"/>
          </w:tcPr>
          <w:p>
            <w:pPr>
              <w:spacing w:after="50" w:before="50" w:line="252" w:lineRule="auto"/>
            </w:pPr>
            <w:r>
              <w:rPr>
                <w:sz w:val="17"/>
              </w:rPr>
              <w:t>9</w:t>
            </w:r>
          </w:p>
        </w:tc>
        <w:tc>
          <w:tcPr>
            <w:tcW w:type="dxa" w:w="2850"/>
          </w:tcPr>
          <w:p>
            <w:pPr>
              <w:spacing w:after="50" w:before="50" w:line="252" w:lineRule="auto"/>
            </w:pPr>
            <w:r>
              <w:rPr>
                <w:sz w:val="17"/>
              </w:rPr>
              <w:t>Email</w:t>
            </w:r>
          </w:p>
        </w:tc>
        <w:tc>
          <w:tcPr>
            <w:tcW w:type="dxa" w:w="5209"/>
          </w:tcPr>
          <w:p>
            <w:pPr>
              <w:spacing w:after="50" w:before="50" w:line="252" w:lineRule="auto"/>
            </w:pPr>
            <w:r>
              <w:rPr>
                <w:sz w:val="17"/>
              </w:rPr>
              <w:t>Offer the free guest lecture</w:t>
            </w:r>
          </w:p>
        </w:tc>
      </w:tr>
      <w:tr>
        <w:tc>
          <w:tcPr>
            <w:tcW w:type="dxa" w:w="850"/>
            <w:shd w:val="clear" w:color="auto" w:fill="EAF1F4"/>
          </w:tcPr>
          <w:p>
            <w:pPr>
              <w:spacing w:after="50" w:before="50" w:line="252" w:lineRule="auto"/>
            </w:pPr>
            <w:r>
              <w:rPr>
                <w:sz w:val="17"/>
              </w:rPr>
              <w:t>4</w:t>
            </w:r>
          </w:p>
        </w:tc>
        <w:tc>
          <w:tcPr>
            <w:tcW w:type="dxa" w:w="850"/>
            <w:shd w:val="clear" w:color="auto" w:fill="EAF1F4"/>
          </w:tcPr>
          <w:p>
            <w:pPr>
              <w:spacing w:after="50" w:before="50" w:line="252" w:lineRule="auto"/>
            </w:pPr>
            <w:r>
              <w:rPr>
                <w:sz w:val="17"/>
              </w:rPr>
              <w:t>18</w:t>
            </w:r>
          </w:p>
        </w:tc>
        <w:tc>
          <w:tcPr>
            <w:tcW w:type="dxa" w:w="2850"/>
            <w:shd w:val="clear" w:color="auto" w:fill="EAF1F4"/>
          </w:tcPr>
          <w:p>
            <w:pPr>
              <w:spacing w:after="50" w:before="50" w:line="252" w:lineRule="auto"/>
            </w:pPr>
            <w:r>
              <w:rPr>
                <w:sz w:val="17"/>
              </w:rPr>
              <w:t>Phone</w:t>
            </w:r>
          </w:p>
        </w:tc>
        <w:tc>
          <w:tcPr>
            <w:tcW w:type="dxa" w:w="5209"/>
            <w:shd w:val="clear" w:color="auto" w:fill="EAF1F4"/>
          </w:tcPr>
          <w:p>
            <w:pPr>
              <w:spacing w:after="50" w:before="50" w:line="252" w:lineRule="auto"/>
            </w:pPr>
            <w:r>
              <w:rPr>
                <w:sz w:val="17"/>
              </w:rPr>
              <w:t>Direct approach; leave a message if unanswered</w:t>
            </w:r>
          </w:p>
        </w:tc>
      </w:tr>
      <w:tr>
        <w:tc>
          <w:tcPr>
            <w:tcW w:type="dxa" w:w="850"/>
          </w:tcPr>
          <w:p>
            <w:pPr>
              <w:spacing w:after="50" w:before="50" w:line="252" w:lineRule="auto"/>
            </w:pPr>
            <w:r>
              <w:rPr>
                <w:sz w:val="17"/>
              </w:rPr>
              <w:t>5</w:t>
            </w:r>
          </w:p>
        </w:tc>
        <w:tc>
          <w:tcPr>
            <w:tcW w:type="dxa" w:w="850"/>
          </w:tcPr>
          <w:p>
            <w:pPr>
              <w:spacing w:after="50" w:before="50" w:line="252" w:lineRule="auto"/>
            </w:pPr>
            <w:r>
              <w:rPr>
                <w:sz w:val="17"/>
              </w:rPr>
              <w:t>30</w:t>
            </w:r>
          </w:p>
        </w:tc>
        <w:tc>
          <w:tcPr>
            <w:tcW w:type="dxa" w:w="2850"/>
          </w:tcPr>
          <w:p>
            <w:pPr>
              <w:spacing w:after="50" w:before="50" w:line="252" w:lineRule="auto"/>
            </w:pPr>
            <w:r>
              <w:rPr>
                <w:sz w:val="17"/>
              </w:rPr>
              <w:t>Email</w:t>
            </w:r>
          </w:p>
        </w:tc>
        <w:tc>
          <w:tcPr>
            <w:tcW w:type="dxa" w:w="5209"/>
          </w:tcPr>
          <w:p>
            <w:pPr>
              <w:spacing w:after="50" w:before="50" w:line="252" w:lineRule="auto"/>
            </w:pPr>
            <w:r>
              <w:rPr>
                <w:sz w:val="17"/>
              </w:rPr>
              <w:t>Value-only close; move to nurture</w:t>
            </w:r>
          </w:p>
        </w:tc>
      </w:tr>
      <w:tr>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180</w:t>
            </w:r>
          </w:p>
        </w:tc>
        <w:tc>
          <w:tcPr>
            <w:tcW w:type="dxa" w:w="2850"/>
            <w:shd w:val="clear" w:color="auto" w:fill="EAF1F4"/>
          </w:tcPr>
          <w:p>
            <w:pPr>
              <w:spacing w:after="50" w:before="50" w:line="252" w:lineRule="auto"/>
            </w:pPr>
            <w:r>
              <w:rPr>
                <w:sz w:val="17"/>
              </w:rPr>
              <w:t>Email</w:t>
            </w:r>
          </w:p>
        </w:tc>
        <w:tc>
          <w:tcPr>
            <w:tcW w:type="dxa" w:w="5209"/>
            <w:shd w:val="clear" w:color="auto" w:fill="EAF1F4"/>
          </w:tcPr>
          <w:p>
            <w:pPr>
              <w:spacing w:after="50" w:before="50" w:line="252" w:lineRule="auto"/>
            </w:pPr>
            <w:r>
              <w:rPr>
                <w:sz w:val="17"/>
              </w:rPr>
              <w:t>Re-entry with new evidence</w:t>
            </w:r>
          </w:p>
        </w:tc>
      </w:tr>
    </w:tbl>
    <w:p>
      <w:pPr>
        <w:spacing w:after="80" w:before="0"/>
      </w:pPr>
    </w:p>
    <w:p>
      <w:pPr>
        <w:spacing w:before="80" w:after="160"/>
        <w:pBdr>
          <w:bottom w:val="single" w:sz="6" w:space="1" w:color="C9D6DE"/>
        </w:pBdr>
      </w:pPr>
    </w:p>
    <w:p>
      <w:pPr>
        <w:pStyle w:val="Heading1"/>
        <w:pBdr>
          <w:bottom w:val="single" w:sz="8" w:space="4" w:color="C9D6DE"/>
        </w:pBdr>
      </w:pPr>
      <w:r>
        <w:t>3. Sequence A · Dean or Head of Faculty of Law</w:t>
      </w:r>
    </w:p>
    <w:p>
      <w:pPr>
        <w:pStyle w:val="Heading2"/>
      </w:pPr>
      <w:r>
        <w:t>A1 — Day 0</w:t>
      </w:r>
    </w:p>
    <w:p>
      <w:r>
        <w:rPr>
          <w:b/>
        </w:rPr>
        <w:t>Subject:</w:t>
      </w:r>
      <w:r>
        <w:t xml:space="preserve"> Internship-embedded degree — ADR placements for [●]</w:t>
      </w:r>
    </w:p>
    <w:p>
      <w:r>
        <w:t>Dear Professor [●],</w:t>
      </w:r>
    </w:p>
    <w:p>
      <w:r>
        <w:t>UGC guidance requires undergraduate programmes to carry a substantial internship component, delivered under an MOU with an outside organisation. For law faculties, discipline-appropriate hosts that can actually supervise and assess are scarce.</w:t>
      </w:r>
    </w:p>
    <w:p>
      <w:r>
        <w:t>Equator ADR Institute is the academic arm of Equator Resolution, an institutional dispute-resolution platform. We host structured ADR internships with defined learning outcomes, named supervision and a written evaluation instrument designed to support your credit award.</w:t>
      </w:r>
    </w:p>
    <w:p>
      <w:r>
        <w:t>We also run mediation training on campus, a national competition, and joint empirical research.</w:t>
      </w:r>
    </w:p>
    <w:p>
      <w:r>
        <w:t>Would thirty minutes be useful, in person or online?</w:t>
      </w:r>
    </w:p>
    <w:p>
      <w:r>
        <w:t>With regards,</w:t>
      </w:r>
    </w:p>
    <w:p>
      <w:r>
        <w:t>[●]</w:t>
      </w:r>
    </w:p>
    <w:p>
      <w:pPr>
        <w:pStyle w:val="Heading2"/>
      </w:pPr>
      <w:r>
        <w:t>A2 — Day 4, LinkedIn</w:t>
      </w:r>
    </w:p>
    <w:p>
      <w:r>
        <w:rPr>
          <w:i/>
        </w:rPr>
        <w:t>Professor [●] — I wrote to you last week about ADR internships and campus training at [●]. Connecting here in case it is an easier route. — [●], Equator ADR Institute</w:t>
      </w:r>
    </w:p>
    <w:p>
      <w:pPr>
        <w:pStyle w:val="Heading2"/>
      </w:pPr>
      <w:r>
        <w:t>A3 — Day 9</w:t>
      </w:r>
    </w:p>
    <w:p>
      <w:r>
        <w:rPr>
          <w:b/>
        </w:rPr>
        <w:t>Subject:</w:t>
      </w:r>
      <w:r>
        <w:t xml:space="preserve"> A session for your students, at no cost</w:t>
      </w:r>
    </w:p>
    <w:p>
      <w:r>
        <w:t>Dear Professor [●],</w:t>
      </w:r>
    </w:p>
    <w:p>
      <w:r>
        <w:t xml:space="preserve">Rather than continue to propose a collaboration in the abstract, may I offer something concrete: one guest session of ninety minutes for your students, at no cost, on </w:t>
      </w:r>
      <w:r>
        <w:rPr>
          <w:i/>
        </w:rPr>
        <w:t>Mediation after the Mediation Act, 2023 — what practice now requires</w:t>
      </w:r>
      <w:r>
        <w:t>.</w:t>
      </w:r>
    </w:p>
    <w:p>
      <w:r>
        <w:t>It needs a room and a date. If it is useful, we can discuss more; if not, you will have had a session.</w:t>
      </w:r>
    </w:p>
    <w:p>
      <w:r>
        <w:t>With regards,</w:t>
      </w:r>
    </w:p>
    <w:p>
      <w:r>
        <w:t>[●]</w:t>
      </w:r>
    </w:p>
    <w:p>
      <w:pPr>
        <w:pStyle w:val="Heading2"/>
      </w:pPr>
      <w:r>
        <w:t>A4 — Day 18, telephone</w:t>
      </w:r>
    </w:p>
    <w:p>
      <w:r>
        <w:t xml:space="preserve">Script: </w:t>
      </w:r>
      <w:r>
        <w:rPr>
          <w:i/>
        </w:rPr>
        <w:t>Professor, [●] from Equator ADR Institute. I wrote about ADR internships and an offer of a free session for your students. I am not calling to sell anything — I wanted to ask one question: is ADR something your faculty is trying to build up this year, or is it not a priority at present? Either answer is genuinely useful to me.</w:t>
      </w:r>
    </w:p>
    <w:p>
      <w:pPr>
        <w:pStyle w:val="Heading2"/>
      </w:pPr>
      <w:r>
        <w:t>A5 — Day 30</w:t>
      </w:r>
    </w:p>
    <w:p>
      <w:r>
        <w:rPr>
          <w:b/>
        </w:rPr>
        <w:t>Subject:</w:t>
      </w:r>
      <w:r>
        <w:t xml:space="preserve"> Closing the loop, and something that may be useful anyway</w:t>
      </w:r>
    </w:p>
    <w:p>
      <w:r>
        <w:t>Dear Professor [●],</w:t>
      </w:r>
    </w:p>
    <w:p>
      <w:r>
        <w:t>I will not write again this session. Two things remain open regardless:</w:t>
      </w:r>
    </w:p>
    <w:p>
      <w:r>
        <w:t>Your students are welcome on our national webinar programme — no cost, no registration barrier: [●].</w:t>
      </w:r>
    </w:p>
    <w:p>
      <w:r>
        <w:t>Your teams are welcome to enter the Equator National Mediation Championship, on the same footing as any institution: [●].</w:t>
      </w:r>
    </w:p>
    <w:p>
      <w:r>
        <w:t>If ADR becomes a priority at [●], please do write.</w:t>
      </w:r>
    </w:p>
    <w:p>
      <w:r>
        <w:t>With regards,</w:t>
      </w:r>
    </w:p>
    <w:p>
      <w:r>
        <w:t>[●]</w:t>
      </w:r>
    </w:p>
    <w:p>
      <w:pPr>
        <w:spacing w:before="80" w:after="160"/>
        <w:pBdr>
          <w:bottom w:val="single" w:sz="6" w:space="1" w:color="C9D6DE"/>
        </w:pBdr>
      </w:pPr>
    </w:p>
    <w:p>
      <w:pPr>
        <w:pStyle w:val="Heading1"/>
        <w:pBdr>
          <w:bottom w:val="single" w:sz="8" w:space="4" w:color="C9D6DE"/>
        </w:pBdr>
      </w:pPr>
      <w:r>
        <w:t>4. Sequence B · Dean or Director of a management or commerce school</w:t>
      </w:r>
    </w:p>
    <w:p>
      <w:pPr>
        <w:pStyle w:val="Heading2"/>
      </w:pPr>
      <w:r>
        <w:t>B1 — Day 0</w:t>
      </w:r>
    </w:p>
    <w:p>
      <w:r>
        <w:rPr>
          <w:b/>
        </w:rPr>
        <w:t>Subject:</w:t>
      </w:r>
      <w:r>
        <w:t xml:space="preserve"> Negotiation capability for [●] students</w:t>
      </w:r>
    </w:p>
    <w:p>
      <w:r>
        <w:t>Dear Professor [●],</w:t>
      </w:r>
    </w:p>
    <w:p>
      <w:r>
        <w:t>Employers increasingly ask management graduates about negotiation and dispute handling, and most programmes cover it as a single theoretical session.</w:t>
      </w:r>
    </w:p>
    <w:p>
      <w:r>
        <w:t>Equator ADR Institute runs a simulation-led negotiation laboratory, a commercial disputes workshop, and workplace conflict and POSH modules for HR specialisations. We are also establishing a national negotiation championship, which gives your students a competition circuit that does not currently exist for them.</w:t>
      </w:r>
    </w:p>
    <w:p>
      <w:r>
        <w:t>We are practitioners — Equator Resolution administers commercial, financial and workplace disputes — so the teaching comes from live matters rather than from a textbook.</w:t>
      </w:r>
    </w:p>
    <w:p>
      <w:r>
        <w:t>Thirty minutes?</w:t>
      </w:r>
    </w:p>
    <w:p>
      <w:r>
        <w:t>With regards,</w:t>
      </w:r>
    </w:p>
    <w:p>
      <w:r>
        <w:t>[●]</w:t>
      </w:r>
    </w:p>
    <w:p>
      <w:pPr>
        <w:pStyle w:val="Heading2"/>
      </w:pPr>
      <w:r>
        <w:t>B2 to B5</w:t>
      </w:r>
    </w:p>
    <w:p>
      <w:r>
        <w:t xml:space="preserve">Follow the pattern in Sequence A, substituting </w:t>
      </w:r>
      <w:r>
        <w:rPr>
          <w:i/>
        </w:rPr>
        <w:t>Negotiation under pressure — what actually decides commercial outcomes</w:t>
      </w:r>
      <w:r>
        <w:t xml:space="preserve"> as the free session, and the founder-dispute clinic with the incubation cell as the day-30 value item.</w:t>
      </w:r>
    </w:p>
    <w:p>
      <w:pPr>
        <w:spacing w:before="80" w:after="160"/>
        <w:pBdr>
          <w:bottom w:val="single" w:sz="6" w:space="1" w:color="C9D6DE"/>
        </w:pBdr>
      </w:pPr>
    </w:p>
    <w:p>
      <w:pPr>
        <w:pStyle w:val="Heading1"/>
        <w:pBdr>
          <w:bottom w:val="single" w:sz="8" w:space="4" w:color="C9D6DE"/>
        </w:pBdr>
      </w:pPr>
      <w:r>
        <w:t>5. Sequence C · Head of an ADR Centre, Moot Court Committee or Legal Aid Clinic</w:t>
      </w:r>
    </w:p>
    <w:p>
      <w:pPr>
        <w:pStyle w:val="Heading2"/>
      </w:pPr>
      <w:r>
        <w:t>C1 — Day 0</w:t>
      </w:r>
    </w:p>
    <w:p>
      <w:r>
        <w:rPr>
          <w:b/>
        </w:rPr>
        <w:t>Subject:</w:t>
      </w:r>
      <w:r>
        <w:t xml:space="preserve"> Competition circuit, coaching and judges for [●]</w:t>
      </w:r>
    </w:p>
    <w:p>
      <w:r>
        <w:t>Dear [●],</w:t>
      </w:r>
    </w:p>
    <w:p>
      <w:r>
        <w:t>I write about three things your committee may find useful.</w:t>
      </w:r>
    </w:p>
    <w:p>
      <w:r>
        <w:rPr>
          <w:b/>
        </w:rPr>
        <w:t>Competitions.</w:t>
      </w:r>
      <w:r>
        <w:t xml:space="preserve"> We convene the Equator National Mediation Championship and are inviting entries; we also host regional rounds on partner campuses.</w:t>
      </w:r>
    </w:p>
    <w:p>
      <w:r>
        <w:rPr>
          <w:b/>
        </w:rPr>
        <w:t>Coaching.</w:t>
      </w:r>
      <w:r>
        <w:t xml:space="preserve"> Institutions that want to enter the major international mediation competitions frequently have no one to coach them. We run structured coaching for that circuit.</w:t>
      </w:r>
    </w:p>
    <w:p>
      <w:r>
        <w:rPr>
          <w:b/>
        </w:rPr>
        <w:t>Judges.</w:t>
      </w:r>
      <w:r>
        <w:t xml:space="preserve"> We supply practitioner judges to university-hosted competitions at no fee.</w:t>
      </w:r>
    </w:p>
    <w:p>
      <w:r>
        <w:t>Any of these is a reasonable place to start. Which is most useful to you this year?</w:t>
      </w:r>
    </w:p>
    <w:p>
      <w:r>
        <w:t>With regards,</w:t>
      </w:r>
    </w:p>
    <w:p>
      <w:r>
        <w:t>[●]</w:t>
      </w:r>
    </w:p>
    <w:p>
      <w:pPr>
        <w:spacing w:before="80" w:after="160"/>
        <w:pBdr>
          <w:bottom w:val="single" w:sz="6" w:space="1" w:color="C9D6DE"/>
        </w:pBdr>
      </w:pPr>
    </w:p>
    <w:p>
      <w:pPr>
        <w:pStyle w:val="Heading1"/>
        <w:pBdr>
          <w:bottom w:val="single" w:sz="8" w:space="4" w:color="C9D6DE"/>
        </w:pBdr>
      </w:pPr>
      <w:r>
        <w:t>6. Sequence D · Registrar or administration — institutional services</w:t>
      </w:r>
    </w:p>
    <w:p>
      <w:pPr>
        <w:pStyle w:val="Heading2"/>
      </w:pPr>
      <w:r>
        <w:t>D1 — Day 0</w:t>
      </w:r>
    </w:p>
    <w:p>
      <w:r>
        <w:rPr>
          <w:b/>
        </w:rPr>
        <w:t>Subject:</w:t>
      </w:r>
      <w:r>
        <w:t xml:space="preserve"> Ombudsperson and SGRC framework — support available</w:t>
      </w:r>
    </w:p>
    <w:p>
      <w:r>
        <w:t>Respected Sir / Madam,</w:t>
      </w:r>
    </w:p>
    <w:p>
      <w:r>
        <w:t>The University Grants Commission (Redressal of Grievances of Students) Regulations, 2023 require every institution to constitute Students' Grievance Redressal Committees and appoint an Ombudsperson, with prescribed composition and process.</w:t>
      </w:r>
    </w:p>
    <w:p>
      <w:r>
        <w:t>Equator Resolution is an institutional dispute-resolution provider. We support institutions with process design and documentation, training of committee members and the Ombudsperson, and the supply of trained external neutrals. We provide the same support for Internal Committees under the POSH Act, 2013.</w:t>
      </w:r>
    </w:p>
    <w:p>
      <w:r>
        <w:t>May we send a short note on what this involves?</w:t>
      </w:r>
    </w:p>
    <w:p>
      <w:r>
        <w:t>With respect,</w:t>
      </w:r>
    </w:p>
    <w:p>
      <w:r>
        <w:t>[●]</w:t>
      </w:r>
    </w:p>
    <w:p>
      <w:pPr>
        <w:spacing w:before="80" w:after="160"/>
        <w:pBdr>
          <w:bottom w:val="single" w:sz="6" w:space="1" w:color="C9D6DE"/>
        </w:pBdr>
      </w:pPr>
    </w:p>
    <w:p>
      <w:pPr>
        <w:pStyle w:val="Heading1"/>
        <w:pBdr>
          <w:bottom w:val="single" w:sz="8" w:space="4" w:color="C9D6DE"/>
        </w:pBdr>
      </w:pPr>
      <w:r>
        <w:t>7. Re-engagement, day 180</w:t>
      </w:r>
    </w:p>
    <w:p>
      <w:r>
        <w:rPr>
          <w:b/>
        </w:rPr>
        <w:t>Subject:</w:t>
      </w:r>
      <w:r>
        <w:t xml:space="preserve"> [●] — since we last wrote</w:t>
      </w:r>
    </w:p>
    <w:p>
      <w:r>
        <w:t>Dear [●],</w:t>
      </w:r>
    </w:p>
    <w:p>
      <w:r>
        <w:t>We wrote to you in [●]. Since then: [● new evidence — a competition edition delivered, a partner institution's results, a publication, a new programme].</w:t>
      </w:r>
    </w:p>
    <w:p>
      <w:r>
        <w:t>If the position at [●] has changed, I would be glad to pick up the conversation. If not, this will be my last note for the time being.</w:t>
      </w:r>
    </w:p>
    <w:p>
      <w:r>
        <w:t>With regards,</w:t>
      </w:r>
    </w:p>
    <w:p>
      <w:r>
        <w:t>[●]</w:t>
      </w:r>
    </w:p>
    <w:p>
      <w:pPr>
        <w:spacing w:before="80" w:after="160"/>
        <w:pBdr>
          <w:bottom w:val="single" w:sz="6" w:space="1" w:color="C9D6DE"/>
        </w:pBdr>
      </w:pPr>
    </w:p>
    <w:p>
      <w:pPr>
        <w:pStyle w:val="Heading1"/>
        <w:pBdr>
          <w:bottom w:val="single" w:sz="8" w:space="4" w:color="C9D6DE"/>
        </w:pBdr>
      </w:pPr>
      <w:r>
        <w:t>8. Qualification and CRM discipline</w:t>
      </w:r>
    </w:p>
    <w:p>
      <w:pPr>
        <w:pStyle w:val="Heading2"/>
      </w:pPr>
      <w:r>
        <w:t>8.1 Fields captured on every institution record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668"/>
            <w:shd w:val="clear" w:color="auto" w:fill="10375C"/>
          </w:tcPr>
          <w:p>
            <w:pPr>
              <w:spacing w:after="50" w:before="50"/>
            </w:pPr>
            <w:r>
              <w:rPr>
                <w:b/>
                <w:color w:val="FFFFFF"/>
                <w:sz w:val="17"/>
              </w:rPr>
              <w:t>Field</w:t>
            </w:r>
          </w:p>
        </w:tc>
        <w:tc>
          <w:tcPr>
            <w:tcW w:type="dxa" w:w="3800"/>
            <w:shd w:val="clear" w:color="auto" w:fill="10375C"/>
          </w:tcPr>
          <w:p>
            <w:pPr>
              <w:spacing w:after="50" w:before="50"/>
            </w:pPr>
            <w:r>
              <w:rPr>
                <w:b/>
                <w:color w:val="FFFFFF"/>
                <w:sz w:val="17"/>
              </w:rPr>
              <w:t>Notes</w:t>
            </w:r>
          </w:p>
        </w:tc>
      </w:tr>
      <w:tr>
        <w:tc>
          <w:tcPr>
            <w:tcW w:type="dxa" w:w="5668"/>
          </w:tcPr>
          <w:p>
            <w:pPr>
              <w:spacing w:after="50" w:before="50" w:line="252" w:lineRule="auto"/>
            </w:pPr>
            <w:r>
              <w:rPr>
                <w:sz w:val="17"/>
              </w:rPr>
              <w:t>Institution, type, city, state</w:t>
            </w:r>
          </w:p>
        </w:tc>
        <w:tc>
          <w:tcPr>
            <w:tcW w:type="dxa" w:w="3800"/>
          </w:tcPr>
          <w:p>
            <w:pPr>
              <w:spacing w:after="50" w:before="50" w:line="252" w:lineRule="auto"/>
            </w:pPr>
            <w:r>
              <w:rPr>
                <w:sz w:val="17"/>
              </w:rPr>
              <w:t>—</w:t>
            </w:r>
          </w:p>
        </w:tc>
      </w:tr>
      <w:tr>
        <w:tc>
          <w:tcPr>
            <w:tcW w:type="dxa" w:w="5668"/>
            <w:shd w:val="clear" w:color="auto" w:fill="EAF1F4"/>
          </w:tcPr>
          <w:p>
            <w:pPr>
              <w:spacing w:after="50" w:before="50" w:line="252" w:lineRule="auto"/>
            </w:pPr>
            <w:r>
              <w:rPr>
                <w:sz w:val="17"/>
              </w:rPr>
              <w:t>Tier score and date scored</w:t>
            </w:r>
          </w:p>
        </w:tc>
        <w:tc>
          <w:tcPr>
            <w:tcW w:type="dxa" w:w="3800"/>
            <w:shd w:val="clear" w:color="auto" w:fill="EAF1F4"/>
          </w:tcPr>
          <w:p>
            <w:pPr>
              <w:spacing w:after="50" w:before="50" w:line="252" w:lineRule="auto"/>
            </w:pPr>
            <w:r>
              <w:rPr>
                <w:sz w:val="17"/>
              </w:rPr>
              <w:t>Per 01.3</w:t>
            </w:r>
          </w:p>
        </w:tc>
      </w:tr>
      <w:tr>
        <w:tc>
          <w:tcPr>
            <w:tcW w:type="dxa" w:w="5668"/>
          </w:tcPr>
          <w:p>
            <w:pPr>
              <w:spacing w:after="50" w:before="50" w:line="252" w:lineRule="auto"/>
            </w:pPr>
            <w:r>
              <w:rPr>
                <w:sz w:val="17"/>
              </w:rPr>
              <w:t>Champion — name, role, evidence of personal interest</w:t>
            </w:r>
          </w:p>
        </w:tc>
        <w:tc>
          <w:tcPr>
            <w:tcW w:type="dxa" w:w="3800"/>
          </w:tcPr>
          <w:p>
            <w:pPr>
              <w:spacing w:after="50" w:before="50" w:line="252" w:lineRule="auto"/>
            </w:pPr>
            <w:r>
              <w:rPr>
                <w:sz w:val="17"/>
              </w:rPr>
              <w:t>The single strongest predictor</w:t>
            </w:r>
          </w:p>
        </w:tc>
      </w:tr>
      <w:tr>
        <w:tc>
          <w:tcPr>
            <w:tcW w:type="dxa" w:w="5668"/>
            <w:shd w:val="clear" w:color="auto" w:fill="EAF1F4"/>
          </w:tcPr>
          <w:p>
            <w:pPr>
              <w:spacing w:after="50" w:before="50" w:line="252" w:lineRule="auto"/>
            </w:pPr>
            <w:r>
              <w:rPr>
                <w:sz w:val="17"/>
              </w:rPr>
              <w:t>Signing authority and route to it</w:t>
            </w:r>
          </w:p>
        </w:tc>
        <w:tc>
          <w:tcPr>
            <w:tcW w:type="dxa" w:w="3800"/>
            <w:shd w:val="clear" w:color="auto" w:fill="EAF1F4"/>
          </w:tcPr>
          <w:p>
            <w:pPr>
              <w:spacing w:after="50" w:before="50" w:line="252" w:lineRule="auto"/>
            </w:pPr>
            <w:r>
              <w:rPr>
                <w:sz w:val="17"/>
              </w:rPr>
              <w:t>—</w:t>
            </w:r>
          </w:p>
        </w:tc>
      </w:tr>
      <w:tr>
        <w:tc>
          <w:tcPr>
            <w:tcW w:type="dxa" w:w="5668"/>
          </w:tcPr>
          <w:p>
            <w:pPr>
              <w:spacing w:after="50" w:before="50" w:line="252" w:lineRule="auto"/>
            </w:pPr>
            <w:r>
              <w:rPr>
                <w:sz w:val="17"/>
              </w:rPr>
              <w:t>Compliance need identified</w:t>
            </w:r>
          </w:p>
        </w:tc>
        <w:tc>
          <w:tcPr>
            <w:tcW w:type="dxa" w:w="3800"/>
          </w:tcPr>
          <w:p>
            <w:pPr>
              <w:spacing w:after="50" w:before="50" w:line="252" w:lineRule="auto"/>
            </w:pPr>
            <w:r>
              <w:rPr>
                <w:sz w:val="17"/>
              </w:rPr>
              <w:t>Internship / SGRC / POSH / none</w:t>
            </w:r>
          </w:p>
        </w:tc>
      </w:tr>
      <w:tr>
        <w:tc>
          <w:tcPr>
            <w:tcW w:type="dxa" w:w="5668"/>
            <w:shd w:val="clear" w:color="auto" w:fill="EAF1F4"/>
          </w:tcPr>
          <w:p>
            <w:pPr>
              <w:spacing w:after="50" w:before="50" w:line="252" w:lineRule="auto"/>
            </w:pPr>
            <w:r>
              <w:rPr>
                <w:sz w:val="17"/>
              </w:rPr>
              <w:t>Budget indication</w:t>
            </w:r>
          </w:p>
        </w:tc>
        <w:tc>
          <w:tcPr>
            <w:tcW w:type="dxa" w:w="3800"/>
            <w:shd w:val="clear" w:color="auto" w:fill="EAF1F4"/>
          </w:tcPr>
          <w:p>
            <w:pPr>
              <w:spacing w:after="50" w:before="50" w:line="252" w:lineRule="auto"/>
            </w:pPr>
            <w:r>
              <w:rPr>
                <w:sz w:val="17"/>
              </w:rPr>
              <w:t>Confirmed / indicated / none</w:t>
            </w:r>
          </w:p>
        </w:tc>
      </w:tr>
      <w:tr>
        <w:tc>
          <w:tcPr>
            <w:tcW w:type="dxa" w:w="5668"/>
          </w:tcPr>
          <w:p>
            <w:pPr>
              <w:spacing w:after="50" w:before="50" w:line="252" w:lineRule="auto"/>
            </w:pPr>
            <w:r>
              <w:rPr>
                <w:sz w:val="17"/>
              </w:rPr>
              <w:t>Academic calendar constraints</w:t>
            </w:r>
          </w:p>
        </w:tc>
        <w:tc>
          <w:tcPr>
            <w:tcW w:type="dxa" w:w="3800"/>
          </w:tcPr>
          <w:p>
            <w:pPr>
              <w:spacing w:after="50" w:before="50" w:line="252" w:lineRule="auto"/>
            </w:pPr>
            <w:r>
              <w:rPr>
                <w:sz w:val="17"/>
              </w:rPr>
              <w:t>Examination and vacation windows</w:t>
            </w:r>
          </w:p>
        </w:tc>
      </w:tr>
      <w:tr>
        <w:tc>
          <w:tcPr>
            <w:tcW w:type="dxa" w:w="5668"/>
            <w:shd w:val="clear" w:color="auto" w:fill="EAF1F4"/>
          </w:tcPr>
          <w:p>
            <w:pPr>
              <w:spacing w:after="50" w:before="50" w:line="252" w:lineRule="auto"/>
            </w:pPr>
            <w:r>
              <w:rPr>
                <w:sz w:val="17"/>
              </w:rPr>
              <w:t>Touch history</w:t>
            </w:r>
          </w:p>
        </w:tc>
        <w:tc>
          <w:tcPr>
            <w:tcW w:type="dxa" w:w="3800"/>
            <w:shd w:val="clear" w:color="auto" w:fill="EAF1F4"/>
          </w:tcPr>
          <w:p>
            <w:pPr>
              <w:spacing w:after="50" w:before="50" w:line="252" w:lineRule="auto"/>
            </w:pPr>
            <w:r>
              <w:rPr>
                <w:sz w:val="17"/>
              </w:rPr>
              <w:t>Every contact, dated</w:t>
            </w:r>
          </w:p>
        </w:tc>
      </w:tr>
      <w:tr>
        <w:tc>
          <w:tcPr>
            <w:tcW w:type="dxa" w:w="5668"/>
          </w:tcPr>
          <w:p>
            <w:pPr>
              <w:spacing w:after="50" w:before="50" w:line="252" w:lineRule="auto"/>
            </w:pPr>
            <w:r>
              <w:rPr>
                <w:sz w:val="17"/>
              </w:rPr>
              <w:t>Stage and next action with a date</w:t>
            </w:r>
          </w:p>
        </w:tc>
        <w:tc>
          <w:tcPr>
            <w:tcW w:type="dxa" w:w="3800"/>
          </w:tcPr>
          <w:p>
            <w:pPr>
              <w:spacing w:after="50" w:before="50" w:line="252" w:lineRule="auto"/>
            </w:pPr>
            <w:r>
              <w:rPr>
                <w:sz w:val="17"/>
              </w:rPr>
              <w:t>No record without a next action</w:t>
            </w:r>
          </w:p>
        </w:tc>
      </w:tr>
    </w:tbl>
    <w:p>
      <w:pPr>
        <w:spacing w:after="80" w:before="0"/>
      </w:pPr>
    </w:p>
    <w:p>
      <w:pPr>
        <w:pStyle w:val="Heading2"/>
      </w:pPr>
      <w:r>
        <w:t>8.2 Disqualification signals</w:t>
      </w:r>
    </w:p>
    <w:p>
      <w:r>
        <w:t>Move to nurture immediately on any of these:</w:t>
      </w:r>
    </w:p>
    <w:p>
      <w:pPr>
        <w:pStyle w:val="ListBullet"/>
      </w:pPr>
      <w:r>
        <w:rPr>
          <w:sz w:val="21"/>
        </w:rPr>
        <w:t>Enthusiasm without any route to the signing authority after three touches.</w:t>
      </w:r>
    </w:p>
    <w:p>
      <w:pPr>
        <w:pStyle w:val="ListBullet"/>
      </w:pPr>
      <w:r>
        <w:rPr>
          <w:sz w:val="21"/>
        </w:rPr>
        <w:t>Explicit statement that no budget exists for any paid activity and none will.</w:t>
      </w:r>
    </w:p>
    <w:p>
      <w:pPr>
        <w:pStyle w:val="ListBullet"/>
      </w:pPr>
      <w:r>
        <w:rPr>
          <w:sz w:val="21"/>
        </w:rPr>
        <w:t>Request for the Equator name on institutional collateral before any activity is agreed.</w:t>
      </w:r>
    </w:p>
    <w:p>
      <w:pPr>
        <w:pStyle w:val="ListBullet"/>
      </w:pPr>
      <w:r>
        <w:rPr>
          <w:sz w:val="21"/>
        </w:rPr>
        <w:t>Request for exclusivity at first contact.</w:t>
      </w:r>
    </w:p>
    <w:p>
      <w:pPr>
        <w:pStyle w:val="ListBullet"/>
      </w:pPr>
      <w:r>
        <w:rPr>
          <w:sz w:val="21"/>
        </w:rPr>
        <w:t>No response after five touches.</w:t>
      </w:r>
    </w:p>
    <w:p>
      <w:pPr>
        <w:pStyle w:val="Heading2"/>
      </w:pPr>
      <w:r>
        <w:t>8.3 What not to do</w:t>
      </w:r>
    </w:p>
    <w:p>
      <w:pPr>
        <w:pStyle w:val="ListBullet"/>
      </w:pPr>
      <w:r>
        <w:rPr>
          <w:sz w:val="21"/>
        </w:rPr>
        <w:t>Do not send the rate card, the MOU or the full proposal to an unqualified contact.</w:t>
      </w:r>
    </w:p>
    <w:p>
      <w:pPr>
        <w:pStyle w:val="ListBullet"/>
      </w:pPr>
      <w:r>
        <w:rPr>
          <w:sz w:val="21"/>
        </w:rPr>
        <w:t>Do not offer discounts to secure a meeting.</w:t>
      </w:r>
    </w:p>
    <w:p>
      <w:pPr>
        <w:pStyle w:val="ListBullet"/>
      </w:pPr>
      <w:r>
        <w:rPr>
          <w:sz w:val="21"/>
        </w:rPr>
        <w:t>Do not copy the Vice-Chancellor into email correspondence with a Dean without the Dean's knowledge.</w:t>
      </w:r>
    </w:p>
    <w:p>
      <w:pPr>
        <w:pStyle w:val="ListBullet"/>
      </w:pPr>
      <w:r>
        <w:rPr>
          <w:sz w:val="21"/>
        </w:rPr>
        <w:t>Do not commit to dates before the delivery calendar is checked with Operations.</w:t>
      </w:r>
    </w:p>
    <w:p>
      <w:pPr>
        <w:pStyle w:val="ListBullet"/>
      </w:pPr>
      <w:r>
        <w:rPr>
          <w:sz w:val="21"/>
        </w:rPr>
        <w:t>Do not describe any Equator credential as recognised or accredited.</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EQ-UAP-024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Outreach Email Sequences &amp; Follow-Up Playbook</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99ACC74-05DE-48AC-BFEC-93E10A534C6A}"/>
</file>

<file path=customXml/itemProps3.xml><?xml version="1.0" encoding="utf-8"?>
<ds:datastoreItem xmlns:ds="http://schemas.openxmlformats.org/officeDocument/2006/customXml" ds:itemID="{F8417C6E-78D9-4E28-8DF9-B38A06771A09}"/>
</file>

<file path=customXml/itemProps4.xml><?xml version="1.0" encoding="utf-8"?>
<ds:datastoreItem xmlns:ds="http://schemas.openxmlformats.org/officeDocument/2006/customXml" ds:itemID="{D4AAF153-2097-4976-9736-BEC1E19B104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