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Objection Handling &amp; FAQ Guide</w:t>
      </w:r>
    </w:p>
    <w:p>
      <w:pPr>
        <w:spacing w:after="280" w:line="276" w:lineRule="auto"/>
      </w:pPr>
      <w:r>
        <w:rPr>
          <w:rFonts w:ascii="Calibri" w:hAnsi="Calibri"/>
          <w:i/>
          <w:color w:val="3E6B8A"/>
          <w:sz w:val="25"/>
        </w:rPr>
        <w:t>The objections that actually arise, the answers that work, and the concessions that are never available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EQ-UAP-026</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Outreach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How to use this guide</w:t>
      </w:r>
    </w:p>
    <w:p>
      <w:r>
        <w:t>Each entry gives the objection as it is usually phrased, what is generally behind it, the response, and the boundary — what may never be conceded in answer to it.</w:t>
      </w:r>
    </w:p>
    <w:p>
      <w:r>
        <w:rPr>
          <w:b/>
        </w:rPr>
        <w:t>The governing principle:</w:t>
      </w:r>
      <w:r>
        <w:t xml:space="preserve"> an objection is information. Answer it, then return to the institution's own problem. Never answer an objection by discounting.</w:t>
      </w:r>
    </w:p>
    <w:p>
      <w:pPr>
        <w:spacing w:before="80" w:after="160"/>
        <w:pBdr>
          <w:bottom w:val="single" w:sz="6" w:space="1" w:color="C9D6DE"/>
        </w:pBdr>
      </w:pPr>
    </w:p>
    <w:p>
      <w:pPr>
        <w:pStyle w:val="Heading1"/>
        <w:pBdr>
          <w:bottom w:val="single" w:sz="8" w:space="4" w:color="C9D6DE"/>
        </w:pBdr>
      </w:pPr>
      <w:r>
        <w:t>1. Commercial objections</w:t>
      </w:r>
    </w:p>
    <w:p>
      <w:pPr>
        <w:pStyle w:val="Heading2"/>
      </w:pPr>
      <w:r>
        <w:t xml:space="preserve">1.1 </w:t>
      </w:r>
      <w:r>
        <w:rPr>
          <w:i/>
        </w:rPr>
        <w:t>We do not have a budget for this.</w:t>
      </w:r>
    </w:p>
    <w:p>
      <w:r>
        <w:rPr>
          <w:b/>
        </w:rPr>
        <w:t>Usually means:</w:t>
      </w:r>
      <w:r>
        <w:t xml:space="preserve"> there is no budget in this line, or the speaker does not control one.</w:t>
      </w:r>
    </w:p>
    <w:p>
      <w:r>
        <w:rPr>
          <w:b/>
        </w:rPr>
        <w:t>Response.</w:t>
      </w:r>
      <w:r>
        <w:t xml:space="preserve"> Ask which of three routes is open: a budget line elsewhere (faculty development, add-on courses, student welfare); direct student payment for a certificate course; or a sponsored or CSR-funded route. Most institutions have at least one. Then propose starting with the free guest lecture and the webinar programme, which cost nothing and establish whether there is appetite before money is discussed at all.</w:t>
      </w:r>
    </w:p>
    <w:p>
      <w:r>
        <w:rPr>
          <w:b/>
        </w:rPr>
        <w:t>Never concede.</w:t>
      </w:r>
      <w:r>
        <w:t xml:space="preserve"> Free delivery of a paid programme to secure a signature. That sets the price permanently at zero.</w:t>
      </w:r>
    </w:p>
    <w:p>
      <w:pPr>
        <w:pStyle w:val="Heading2"/>
      </w:pPr>
      <w:r>
        <w:t xml:space="preserve">1.2 </w:t>
      </w:r>
      <w:r>
        <w:rPr>
          <w:i/>
        </w:rPr>
        <w:t>Other providers do this free.</w:t>
      </w:r>
    </w:p>
    <w:p>
      <w:r>
        <w:rPr>
          <w:b/>
        </w:rPr>
        <w:t>Usually means:</w:t>
      </w:r>
      <w:r>
        <w:t xml:space="preserve"> a court-annexed centre or a legal services authority has offered something, or an individual academic has.</w:t>
      </w:r>
    </w:p>
    <w:p>
      <w:r>
        <w:rPr>
          <w:b/>
        </w:rPr>
        <w:t>Response.</w:t>
      </w:r>
      <w:r>
        <w:t xml:space="preserve"> Acknowledge it directly — state-funded providers do valuable work and we do not compete with them on price. Then distinguish on what the institution actually needs: documented assessment, a written evaluation instrument that supports credit, insurance, quality assurance, continuity if an individual leaves, competitions, internships and an employment pathway. Ask which of those the free option provides.</w:t>
      </w:r>
    </w:p>
    <w:p>
      <w:r>
        <w:rPr>
          <w:b/>
        </w:rPr>
        <w:t>Never concede.</w:t>
      </w:r>
      <w:r>
        <w:t xml:space="preserve"> A price match against a subsidised provider.</w:t>
      </w:r>
    </w:p>
    <w:p>
      <w:pPr>
        <w:pStyle w:val="Heading2"/>
      </w:pPr>
      <w:r>
        <w:t xml:space="preserve">1.3 </w:t>
      </w:r>
      <w:r>
        <w:rPr>
          <w:i/>
        </w:rPr>
        <w:t>Your rate is higher than we expected.</w:t>
      </w:r>
    </w:p>
    <w:p>
      <w:r>
        <w:rPr>
          <w:b/>
        </w:rPr>
        <w:t>Response.</w:t>
      </w:r>
      <w:r>
        <w:t xml:space="preserve"> Do not move immediately. Ask what they compared it to, and on what basis. Then restructure rather than discount: a smaller cohort, a shorter format, a phased delivery across two terms, or a revenue-share model in which the University carries no cash risk. A revenue share on student fees converts a cost into an income line for them, and is usually the answer.</w:t>
      </w:r>
    </w:p>
    <w:p>
      <w:r>
        <w:rPr>
          <w:b/>
        </w:rPr>
        <w:t>Boundary.</w:t>
      </w:r>
      <w:r>
        <w:t xml:space="preserve"> Discount to 10% at BD discretion; 10 to 25% requires Programme Director and Finance jointly; beyond 25% requires the Programme Board. Never below the published floor.</w:t>
      </w:r>
    </w:p>
    <w:p>
      <w:pPr>
        <w:pStyle w:val="Heading2"/>
      </w:pPr>
      <w:r>
        <w:t xml:space="preserve">1.4 </w:t>
      </w:r>
      <w:r>
        <w:rPr>
          <w:i/>
        </w:rPr>
        <w:t>We want a share of the revenue.</w:t>
      </w:r>
    </w:p>
    <w:p>
      <w:r>
        <w:rPr>
          <w:b/>
        </w:rPr>
        <w:t>Response.</w:t>
      </w:r>
      <w:r>
        <w:t xml:space="preserve"> Agree in principle — this is standard and it is what makes the arrangement durable. Move directly to the standard split and the mechanics in Schedule H, including who collects, when settlement occurs, and how the account is reconciled. An institution that asks for a revenue share is an institution that intends to promote the programme, which is what we want.</w:t>
      </w:r>
    </w:p>
    <w:p>
      <w:r>
        <w:rPr>
          <w:b/>
        </w:rPr>
        <w:t>Boundary.</w:t>
      </w:r>
      <w:r>
        <w:t xml:space="preserve"> Any split varying from standard by more than ten percentage points requires Programme Board approval.</w:t>
      </w:r>
    </w:p>
    <w:p>
      <w:pPr>
        <w:spacing w:before="80" w:after="160"/>
        <w:pBdr>
          <w:bottom w:val="single" w:sz="6" w:space="1" w:color="C9D6DE"/>
        </w:pBdr>
      </w:pPr>
    </w:p>
    <w:p>
      <w:pPr>
        <w:pStyle w:val="Heading1"/>
        <w:pBdr>
          <w:bottom w:val="single" w:sz="8" w:space="4" w:color="C9D6DE"/>
        </w:pBdr>
      </w:pPr>
      <w:r>
        <w:t>2. Institutional and process objections</w:t>
      </w:r>
    </w:p>
    <w:p>
      <w:pPr>
        <w:pStyle w:val="Heading2"/>
      </w:pPr>
      <w:r>
        <w:t xml:space="preserve">2.1 </w:t>
      </w:r>
      <w:r>
        <w:rPr>
          <w:i/>
        </w:rPr>
        <w:t>Our approvals take a long time.</w:t>
      </w:r>
    </w:p>
    <w:p>
      <w:r>
        <w:rPr>
          <w:b/>
        </w:rPr>
        <w:t>Response.</w:t>
      </w:r>
      <w:r>
        <w:t xml:space="preserve"> Accept it and work with it. Ask for the exact route and the realistic timeline, and structure the first activity so that it does not require the MOU — a guest lecture, a webinar, judges at their competition. Begin the relationship while the paperwork moves. Then work backwards from the academic calendar so that the MOU lands before the term in which the first paid activity must run.</w:t>
      </w:r>
    </w:p>
    <w:p>
      <w:pPr>
        <w:pStyle w:val="Heading2"/>
      </w:pPr>
      <w:r>
        <w:t xml:space="preserve">2.2 </w:t>
      </w:r>
      <w:r>
        <w:rPr>
          <w:i/>
        </w:rPr>
        <w:t>We already have an MOU with another ADR body.</w:t>
      </w:r>
    </w:p>
    <w:p>
      <w:r>
        <w:rPr>
          <w:b/>
        </w:rPr>
        <w:t>Response.</w:t>
      </w:r>
      <w:r>
        <w:t xml:space="preserve"> Ask what it delivers in practice. In most cases the answer is a signed document and little activity. Position Equator as complementary and specific: we are not seeking to displace anyone, we are proposing defined activities with a minimum commitment attached. Where the existing arrangement is genuinely active, propose a Tier 3 association focused on competitions and webinars.</w:t>
      </w:r>
    </w:p>
    <w:p>
      <w:r>
        <w:rPr>
          <w:b/>
        </w:rPr>
        <w:t>Never concede.</w:t>
      </w:r>
      <w:r>
        <w:t xml:space="preserve"> A demand that Equator match an exclusivity granted to another provider.</w:t>
      </w:r>
    </w:p>
    <w:p>
      <w:pPr>
        <w:pStyle w:val="Heading2"/>
      </w:pPr>
      <w:r>
        <w:t xml:space="preserve">2.3 </w:t>
      </w:r>
      <w:r>
        <w:rPr>
          <w:i/>
        </w:rPr>
        <w:t>We want exclusivity.</w:t>
      </w:r>
    </w:p>
    <w:p>
      <w:r>
        <w:rPr>
          <w:b/>
        </w:rPr>
        <w:t>Usually means:</w:t>
      </w:r>
      <w:r>
        <w:t xml:space="preserve"> the institution wants assurance that a rival institution in the same city will not get the same thing.</w:t>
      </w:r>
    </w:p>
    <w:p>
      <w:r>
        <w:rPr>
          <w:b/>
        </w:rPr>
        <w:t>Response.</w:t>
      </w:r>
      <w:r>
        <w:t xml:space="preserve"> Explore what they actually fear. Usually a narrow answer solves it: exclusivity for the hosting of the national competition in that state; or first refusal on a defined programme in that city; or a commitment not to establish a co-branded ADR Laboratory with another institution in the same city during the term. Offer narrow, time-limited and subject-specific exclusivity, never general exclusivity.</w:t>
      </w:r>
    </w:p>
    <w:p>
      <w:r>
        <w:rPr>
          <w:b/>
        </w:rPr>
        <w:t>Boundary.</w:t>
      </w:r>
      <w:r>
        <w:t xml:space="preserve"> Any exclusivity requires Programme Board approval. General or open-ended exclusivity is refused.</w:t>
      </w:r>
    </w:p>
    <w:p>
      <w:pPr>
        <w:pStyle w:val="Heading2"/>
      </w:pPr>
      <w:r>
        <w:t xml:space="preserve">2.4 </w:t>
      </w:r>
      <w:r>
        <w:rPr>
          <w:i/>
        </w:rPr>
        <w:t>Can you guarantee placements?</w:t>
      </w:r>
    </w:p>
    <w:p>
      <w:r>
        <w:rPr>
          <w:b/>
        </w:rPr>
        <w:t>Response.</w:t>
      </w:r>
      <w:r>
        <w:t xml:space="preserve"> No, and say so plainly — it is a prohibited representation and any provider who gives that guarantee should not be believed. Then give what is real: a structured internship ladder, a defined number of internship positions per cycle under Schedule A, a documented conversion pathway into case management and neutral roles, and published conversion data once it exists.</w:t>
      </w:r>
    </w:p>
    <w:p>
      <w:r>
        <w:rPr>
          <w:b/>
        </w:rPr>
        <w:t>Never concede.</w:t>
      </w:r>
      <w:r>
        <w:t xml:space="preserve"> Any placement guarantee, in any form, in any document. This is a non-delegable prohibition.</w:t>
      </w:r>
    </w:p>
    <w:p>
      <w:pPr>
        <w:pStyle w:val="Heading2"/>
      </w:pPr>
      <w:r>
        <w:t xml:space="preserve">2.5 </w:t>
      </w:r>
      <w:r>
        <w:rPr>
          <w:i/>
        </w:rPr>
        <w:t>Will your certificate be recognised?</w:t>
      </w:r>
    </w:p>
    <w:p>
      <w:r>
        <w:rPr>
          <w:b/>
        </w:rPr>
        <w:t>Response.</w:t>
      </w:r>
      <w:r>
        <w:t xml:space="preserve"> Be exact. The Mediation Council of India contemplated by the Mediation Act, 2023 is not yet constituted, so no body in India currently issues a statutorily recognised mediator certification. Our programme is designed in line with the prevailing court-annexed norms of 40 hours basic and 20 hours advanced training, is modular, and is built to be re-mapped when Council standards are notified. Then explain what the certificate is actually worth today: evidence of assessed competence, entry to supervised practice, eligibility for consideration for empanelment, and a route into the profession.</w:t>
      </w:r>
    </w:p>
    <w:p>
      <w:r>
        <w:rPr>
          <w:b/>
        </w:rPr>
        <w:t>Never concede.</w:t>
      </w:r>
      <w:r>
        <w:t xml:space="preserve"> Any statement that the certification is recognised, accredited or approved. Prohibited outright.</w:t>
      </w:r>
    </w:p>
    <w:p>
      <w:pPr>
        <w:pStyle w:val="Heading2"/>
      </w:pPr>
      <w:r>
        <w:t xml:space="preserve">2.6 </w:t>
      </w:r>
      <w:r>
        <w:rPr>
          <w:i/>
        </w:rPr>
        <w:t>We cannot give students academic credit for this.</w:t>
      </w:r>
    </w:p>
    <w:p>
      <w:r>
        <w:rPr>
          <w:b/>
        </w:rPr>
        <w:t>Response.</w:t>
      </w:r>
      <w:r>
        <w:t xml:space="preserve"> Credit is desirable but not essential. Where it is possible, we supply the learning outcomes, contact-hour mapping and assessment records that the academic council needs. Where it is not, the course runs as a value-added or add-on programme, which most institutions can approve at faculty level without going to the academic council at all — and which is faster.</w:t>
      </w:r>
    </w:p>
    <w:p>
      <w:pPr>
        <w:spacing w:before="80" w:after="160"/>
        <w:pBdr>
          <w:bottom w:val="single" w:sz="6" w:space="1" w:color="C9D6DE"/>
        </w:pBdr>
      </w:pPr>
    </w:p>
    <w:p>
      <w:pPr>
        <w:pStyle w:val="Heading1"/>
        <w:pBdr>
          <w:bottom w:val="single" w:sz="8" w:space="4" w:color="C9D6DE"/>
        </w:pBdr>
      </w:pPr>
      <w:r>
        <w:t>3. Academic and pedagogical objections</w:t>
      </w:r>
    </w:p>
    <w:p>
      <w:pPr>
        <w:pStyle w:val="Heading2"/>
      </w:pPr>
      <w:r>
        <w:t xml:space="preserve">3.1 </w:t>
      </w:r>
      <w:r>
        <w:rPr>
          <w:i/>
        </w:rPr>
        <w:t>Our faculty already teach ADR.</w:t>
      </w:r>
    </w:p>
    <w:p>
      <w:r>
        <w:rPr>
          <w:b/>
        </w:rPr>
        <w:t>Response.</w:t>
      </w:r>
      <w:r>
        <w:t xml:space="preserve"> Agree, and be careful not to imply otherwise. The proposition is not substitution but supplementation: practice-side content, simulation, live exposure and assessment against practitioner criteria. Offer the curriculum consultation free, and offer faculty empanelment. The faculty member who fears displacement becomes the champion once they are offered a panel seat and a co-authored paper.</w:t>
      </w:r>
    </w:p>
    <w:p>
      <w:r>
        <w:rPr>
          <w:b/>
        </w:rPr>
        <w:t>Never concede.</w:t>
      </w:r>
      <w:r>
        <w:t xml:space="preserve"> Any suggestion that Equator will assess or grade for the institution's own examinations.</w:t>
      </w:r>
    </w:p>
    <w:p>
      <w:pPr>
        <w:pStyle w:val="Heading2"/>
      </w:pPr>
      <w:r>
        <w:t xml:space="preserve">3.2 </w:t>
      </w:r>
      <w:r>
        <w:rPr>
          <w:i/>
        </w:rPr>
        <w:t>Will this take teaching hours away?</w:t>
      </w:r>
    </w:p>
    <w:p>
      <w:r>
        <w:rPr>
          <w:b/>
        </w:rPr>
        <w:t>Response.</w:t>
      </w:r>
      <w:r>
        <w:t xml:space="preserve"> Propose delivery outside teaching hours — evenings, weekends, or the vacation period, which is when residential formats work best. For credit-bearing delivery, propose a compressed format across two or three weekends.</w:t>
      </w:r>
    </w:p>
    <w:p>
      <w:pPr>
        <w:pStyle w:val="Heading2"/>
      </w:pPr>
      <w:r>
        <w:t xml:space="preserve">3.3 </w:t>
      </w:r>
      <w:r>
        <w:rPr>
          <w:i/>
        </w:rPr>
        <w:t>Our students will not pay.</w:t>
      </w:r>
    </w:p>
    <w:p>
      <w:r>
        <w:rPr>
          <w:b/>
        </w:rPr>
        <w:t>Response.</w:t>
      </w:r>
      <w:r>
        <w:t xml:space="preserve"> Test it rather than assume it. Run the free guest lecture and take expressions of interest at the end. In our experience, a defined skill certificate with an internship pathway attached converts far better than a general course. Then propose an early-bird cohort at the floor price with a small numbers commitment from the University, which de-risks the first cohort for both sides.</w:t>
      </w:r>
    </w:p>
    <w:p>
      <w:pPr>
        <w:spacing w:before="80" w:after="160"/>
        <w:pBdr>
          <w:bottom w:val="single" w:sz="6" w:space="1" w:color="C9D6DE"/>
        </w:pBdr>
      </w:pPr>
    </w:p>
    <w:p>
      <w:pPr>
        <w:pStyle w:val="Heading1"/>
        <w:pBdr>
          <w:bottom w:val="single" w:sz="8" w:space="4" w:color="C9D6DE"/>
        </w:pBdr>
      </w:pPr>
      <w:r>
        <w:t>4. Legal, data and risk objections</w:t>
      </w:r>
    </w:p>
    <w:p>
      <w:pPr>
        <w:pStyle w:val="Heading2"/>
      </w:pPr>
      <w:r>
        <w:t xml:space="preserve">4.1 </w:t>
      </w:r>
      <w:r>
        <w:rPr>
          <w:i/>
        </w:rPr>
        <w:t>Our legal department will want to change the MOU.</w:t>
      </w:r>
    </w:p>
    <w:p>
      <w:r>
        <w:rPr>
          <w:b/>
        </w:rPr>
        <w:t>Response.</w:t>
      </w:r>
      <w:r>
        <w:t xml:space="preserve"> Welcome it. Explain the architecture: the body of the MOU is standard across all our partnerships and we would prefer not to vary it, but the schedules are drafted precisely to be varied and that is usually where their concerns can be accommodated. Offer a call between counsel. This framing resolves most legal review quickly.</w:t>
      </w:r>
    </w:p>
    <w:p>
      <w:r>
        <w:rPr>
          <w:b/>
        </w:rPr>
        <w:t>Boundary.</w:t>
      </w:r>
      <w:r>
        <w:t xml:space="preserve"> Amendments to the body of the MOU require Programme Board approval. Schedule variations may be agreed by the Programme Director with General Counsel.</w:t>
      </w:r>
    </w:p>
    <w:p>
      <w:pPr>
        <w:pStyle w:val="Heading2"/>
      </w:pPr>
      <w:r>
        <w:t xml:space="preserve">4.2 </w:t>
      </w:r>
      <w:r>
        <w:rPr>
          <w:i/>
        </w:rPr>
        <w:t>We cannot share student data.</w:t>
      </w:r>
    </w:p>
    <w:p>
      <w:r>
        <w:rPr>
          <w:b/>
        </w:rPr>
        <w:t>Response.</w:t>
      </w:r>
      <w:r>
        <w:t xml:space="preserve"> Correct, and we do not ask for it. Registration is by student consent, captured directly by Equator with a compliant notice. The University does not transfer student data to us; students provide their own. Where the University does need to share anything — a class list for attendance reconciliation, for instance — the Data Sharing and DPDP Addendum governs it, and the University's data protection contact should review it directly.</w:t>
      </w:r>
    </w:p>
    <w:p>
      <w:pPr>
        <w:pStyle w:val="Heading2"/>
      </w:pPr>
      <w:r>
        <w:t xml:space="preserve">4.3 </w:t>
      </w:r>
      <w:r>
        <w:rPr>
          <w:i/>
        </w:rPr>
        <w:t>Who is liable if a student is hurt at your event?</w:t>
      </w:r>
    </w:p>
    <w:p>
      <w:r>
        <w:rPr>
          <w:b/>
        </w:rPr>
        <w:t>Response.</w:t>
      </w:r>
      <w:r>
        <w:t xml:space="preserve"> Address it rather than deflect. Equator carries insurance for its personnel and public liability as agreed in the MOU; the University retains responsibility for the safety and statutory compliance of its own premises; the risk allocation is stated expressly in the MOU rather than left to implication. Offer to share the insurance position and the safeguarding policy.</w:t>
      </w:r>
    </w:p>
    <w:p>
      <w:pPr>
        <w:pStyle w:val="Heading2"/>
      </w:pPr>
      <w:r>
        <w:t xml:space="preserve">4.4 </w:t>
      </w:r>
      <w:r>
        <w:rPr>
          <w:i/>
        </w:rPr>
        <w:t>What if we end up in a dispute with you, or with someone you are mediating for?</w:t>
      </w:r>
    </w:p>
    <w:p>
      <w:r>
        <w:rPr>
          <w:b/>
        </w:rPr>
        <w:t>Response.</w:t>
      </w:r>
      <w:r>
        <w:t xml:space="preserve"> This is a good question and one we have anticipated. The Institute and the services entity are deliberately separate. Our conflict of interest policy requires disclosure and, where appropriate, recusal where a partner institution is connected to a matter. The MOU contains a defined escalation and dispute resolution route, and — as one might hope — it provides for mediation before anything else.</w:t>
      </w:r>
    </w:p>
    <w:p>
      <w:pPr>
        <w:spacing w:before="80" w:after="160"/>
        <w:pBdr>
          <w:bottom w:val="single" w:sz="6" w:space="1" w:color="C9D6DE"/>
        </w:pBdr>
      </w:pPr>
    </w:p>
    <w:p>
      <w:pPr>
        <w:pStyle w:val="Heading1"/>
        <w:pBdr>
          <w:bottom w:val="single" w:sz="8" w:space="4" w:color="C9D6DE"/>
        </w:pBdr>
      </w:pPr>
      <w:r>
        <w:t>5. Objections from the sceptical individual</w:t>
      </w:r>
    </w:p>
    <w:p>
      <w:pPr>
        <w:pStyle w:val="Heading2"/>
      </w:pPr>
      <w:r>
        <w:t xml:space="preserve">5.1 </w:t>
      </w:r>
      <w:r>
        <w:rPr>
          <w:i/>
        </w:rPr>
        <w:t>This is a marketing exercise for you.</w:t>
      </w:r>
    </w:p>
    <w:p>
      <w:r>
        <w:rPr>
          <w:b/>
        </w:rPr>
        <w:t>Response.</w:t>
      </w:r>
      <w:r>
        <w:t xml:space="preserve"> Concede the obvious part honestly. Yes, this benefits Equator — we recruit from these programmes and we build our reputation through them, and an arrangement that benefited only one side would not last. Then set out precisely what the institution gets, and point to the minimum activity clause: we bind ourselves to deliver, and the arrangement lapses if we do not.</w:t>
      </w:r>
    </w:p>
    <w:p>
      <w:pPr>
        <w:pStyle w:val="Heading2"/>
      </w:pPr>
      <w:r>
        <w:t xml:space="preserve">5.2 </w:t>
      </w:r>
      <w:r>
        <w:rPr>
          <w:i/>
        </w:rPr>
        <w:t>We have been let down by external providers before.</w:t>
      </w:r>
    </w:p>
    <w:p>
      <w:r>
        <w:rPr>
          <w:b/>
        </w:rPr>
        <w:t>Response.</w:t>
      </w:r>
      <w:r>
        <w:t xml:space="preserve"> Ask what happened, specifically. Then answer it structurally rather than with assurances: named nodal officers, a written activity calendar signed by both sides, a minimum activity clause with automatic lapse, feedback captured on every session, a steering committee, and an annual written review. Offer to begin with a single paid activity rather than a full-term commitment.</w:t>
      </w:r>
    </w:p>
    <w:p>
      <w:pPr>
        <w:pStyle w:val="Heading2"/>
      </w:pPr>
      <w:r>
        <w:t xml:space="preserve">5.3 </w:t>
      </w:r>
      <w:r>
        <w:rPr>
          <w:i/>
        </w:rPr>
        <w:t>Why should we work with you rather than a court-annexed centre?</w:t>
      </w:r>
    </w:p>
    <w:p>
      <w:r>
        <w:rPr>
          <w:b/>
        </w:rPr>
        <w:t>Response.</w:t>
      </w:r>
      <w:r>
        <w:t xml:space="preserve"> Work with both. They provide statutory legitimacy and low-cost basic training; we provide sectoral depth across five practice areas, competitions, internships, live commercial exposure, research capability and an employment pathway. The two are complementary and an institution that has both is better placed than one that has either.</w:t>
      </w:r>
    </w:p>
    <w:p>
      <w:pPr>
        <w:spacing w:before="80" w:after="160"/>
        <w:pBdr>
          <w:bottom w:val="single" w:sz="6" w:space="1" w:color="C9D6DE"/>
        </w:pBdr>
      </w:pPr>
    </w:p>
    <w:p>
      <w:pPr>
        <w:pStyle w:val="Heading1"/>
        <w:pBdr>
          <w:bottom w:val="single" w:sz="8" w:space="4" w:color="C9D6DE"/>
        </w:pBdr>
      </w:pPr>
      <w:r>
        <w:t>6. Frequently asked questions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086"/>
            <w:shd w:val="clear" w:color="auto" w:fill="10375C"/>
          </w:tcPr>
          <w:p>
            <w:pPr>
              <w:spacing w:after="50" w:before="50"/>
            </w:pPr>
            <w:r>
              <w:rPr>
                <w:b/>
                <w:color w:val="FFFFFF"/>
                <w:sz w:val="17"/>
              </w:rPr>
              <w:t>Question</w:t>
            </w:r>
          </w:p>
        </w:tc>
        <w:tc>
          <w:tcPr>
            <w:tcW w:type="dxa" w:w="5382"/>
            <w:shd w:val="clear" w:color="auto" w:fill="10375C"/>
          </w:tcPr>
          <w:p>
            <w:pPr>
              <w:spacing w:after="50" w:before="50"/>
            </w:pPr>
            <w:r>
              <w:rPr>
                <w:b/>
                <w:color w:val="FFFFFF"/>
                <w:sz w:val="17"/>
              </w:rPr>
              <w:t>Standard answer</w:t>
            </w:r>
          </w:p>
        </w:tc>
      </w:tr>
      <w:tr>
        <w:tc>
          <w:tcPr>
            <w:tcW w:type="dxa" w:w="4086"/>
          </w:tcPr>
          <w:p>
            <w:pPr>
              <w:spacing w:after="50" w:before="50" w:line="252" w:lineRule="auto"/>
            </w:pPr>
            <w:r>
              <w:rPr>
                <w:sz w:val="17"/>
              </w:rPr>
              <w:t>How long does a certificate course take?</w:t>
            </w:r>
          </w:p>
        </w:tc>
        <w:tc>
          <w:tcPr>
            <w:tcW w:type="dxa" w:w="5382"/>
          </w:tcPr>
          <w:p>
            <w:pPr>
              <w:spacing w:after="50" w:before="50" w:line="252" w:lineRule="auto"/>
            </w:pPr>
            <w:r>
              <w:rPr>
                <w:sz w:val="17"/>
              </w:rPr>
              <w:t>The basic programme is 40 hours, typically delivered across five full days or four weekends. The advanced module is 20 hours and follows supervised practice.</w:t>
            </w:r>
          </w:p>
        </w:tc>
      </w:tr>
      <w:tr>
        <w:tc>
          <w:tcPr>
            <w:tcW w:type="dxa" w:w="4086"/>
            <w:shd w:val="clear" w:color="auto" w:fill="EAF1F4"/>
          </w:tcPr>
          <w:p>
            <w:pPr>
              <w:spacing w:after="50" w:before="50" w:line="252" w:lineRule="auto"/>
            </w:pPr>
            <w:r>
              <w:rPr>
                <w:sz w:val="17"/>
              </w:rPr>
              <w:t>What is the minimum cohort?</w:t>
            </w:r>
          </w:p>
        </w:tc>
        <w:tc>
          <w:tcPr>
            <w:tcW w:type="dxa" w:w="5382"/>
            <w:shd w:val="clear" w:color="auto" w:fill="EAF1F4"/>
          </w:tcPr>
          <w:p>
            <w:pPr>
              <w:spacing w:after="50" w:before="50" w:line="252" w:lineRule="auto"/>
            </w:pPr>
            <w:r>
              <w:rPr>
                <w:sz w:val="17"/>
              </w:rPr>
              <w:t>[●]. Below that the economics do not work and we would propose combining cohorts across institutions.</w:t>
            </w:r>
          </w:p>
        </w:tc>
      </w:tr>
      <w:tr>
        <w:tc>
          <w:tcPr>
            <w:tcW w:type="dxa" w:w="4086"/>
          </w:tcPr>
          <w:p>
            <w:pPr>
              <w:spacing w:after="50" w:before="50" w:line="252" w:lineRule="auto"/>
            </w:pPr>
            <w:r>
              <w:rPr>
                <w:sz w:val="17"/>
              </w:rPr>
              <w:t>Who issues the certificate?</w:t>
            </w:r>
          </w:p>
        </w:tc>
        <w:tc>
          <w:tcPr>
            <w:tcW w:type="dxa" w:w="5382"/>
          </w:tcPr>
          <w:p>
            <w:pPr>
              <w:spacing w:after="50" w:before="50" w:line="252" w:lineRule="auto"/>
            </w:pPr>
            <w:r>
              <w:rPr>
                <w:sz w:val="17"/>
              </w:rPr>
              <w:t>Equator ADR Institute, or jointly with the institution where the institution wishes and its own regulations permit.</w:t>
            </w:r>
          </w:p>
        </w:tc>
      </w:tr>
      <w:tr>
        <w:tc>
          <w:tcPr>
            <w:tcW w:type="dxa" w:w="4086"/>
            <w:shd w:val="clear" w:color="auto" w:fill="EAF1F4"/>
          </w:tcPr>
          <w:p>
            <w:pPr>
              <w:spacing w:after="50" w:before="50" w:line="252" w:lineRule="auto"/>
            </w:pPr>
            <w:r>
              <w:rPr>
                <w:sz w:val="17"/>
              </w:rPr>
              <w:t>Can faculty attend the student programme?</w:t>
            </w:r>
          </w:p>
        </w:tc>
        <w:tc>
          <w:tcPr>
            <w:tcW w:type="dxa" w:w="5382"/>
            <w:shd w:val="clear" w:color="auto" w:fill="EAF1F4"/>
          </w:tcPr>
          <w:p>
            <w:pPr>
              <w:spacing w:after="50" w:before="50" w:line="252" w:lineRule="auto"/>
            </w:pPr>
            <w:r>
              <w:rPr>
                <w:sz w:val="17"/>
              </w:rPr>
              <w:t>Yes, but the Faculty Development Programme is designed for them and is a better use of their time.</w:t>
            </w:r>
          </w:p>
        </w:tc>
      </w:tr>
      <w:tr>
        <w:tc>
          <w:tcPr>
            <w:tcW w:type="dxa" w:w="4086"/>
          </w:tcPr>
          <w:p>
            <w:pPr>
              <w:spacing w:after="50" w:before="50" w:line="252" w:lineRule="auto"/>
            </w:pPr>
            <w:r>
              <w:rPr>
                <w:sz w:val="17"/>
              </w:rPr>
              <w:t>Do you provide materials?</w:t>
            </w:r>
          </w:p>
        </w:tc>
        <w:tc>
          <w:tcPr>
            <w:tcW w:type="dxa" w:w="5382"/>
          </w:tcPr>
          <w:p>
            <w:pPr>
              <w:spacing w:after="50" w:before="50" w:line="252" w:lineRule="auto"/>
            </w:pPr>
            <w:r>
              <w:rPr>
                <w:sz w:val="17"/>
              </w:rPr>
              <w:t>Yes — participant workbook, simulation materials, assessment instruments and a digital resource set.</w:t>
            </w:r>
          </w:p>
        </w:tc>
      </w:tr>
      <w:tr>
        <w:tc>
          <w:tcPr>
            <w:tcW w:type="dxa" w:w="4086"/>
            <w:shd w:val="clear" w:color="auto" w:fill="EAF1F4"/>
          </w:tcPr>
          <w:p>
            <w:pPr>
              <w:spacing w:after="50" w:before="50" w:line="252" w:lineRule="auto"/>
            </w:pPr>
            <w:r>
              <w:rPr>
                <w:sz w:val="17"/>
              </w:rPr>
              <w:t>Is the training online or in person?</w:t>
            </w:r>
          </w:p>
        </w:tc>
        <w:tc>
          <w:tcPr>
            <w:tcW w:type="dxa" w:w="5382"/>
            <w:shd w:val="clear" w:color="auto" w:fill="EAF1F4"/>
          </w:tcPr>
          <w:p>
            <w:pPr>
              <w:spacing w:after="50" w:before="50" w:line="252" w:lineRule="auto"/>
            </w:pPr>
            <w:r>
              <w:rPr>
                <w:sz w:val="17"/>
              </w:rPr>
              <w:t>Skills training is in person. Knowledge modules and the webinar programme are online.</w:t>
            </w:r>
          </w:p>
        </w:tc>
      </w:tr>
      <w:tr>
        <w:tc>
          <w:tcPr>
            <w:tcW w:type="dxa" w:w="4086"/>
          </w:tcPr>
          <w:p>
            <w:pPr>
              <w:spacing w:after="50" w:before="50" w:line="252" w:lineRule="auto"/>
            </w:pPr>
            <w:r>
              <w:rPr>
                <w:sz w:val="17"/>
              </w:rPr>
              <w:t>How many students can you take as interns?</w:t>
            </w:r>
          </w:p>
        </w:tc>
        <w:tc>
          <w:tcPr>
            <w:tcW w:type="dxa" w:w="5382"/>
          </w:tcPr>
          <w:p>
            <w:pPr>
              <w:spacing w:after="50" w:before="50" w:line="252" w:lineRule="auto"/>
            </w:pPr>
            <w:r>
              <w:rPr>
                <w:sz w:val="17"/>
              </w:rPr>
              <w:t>Defined in Schedule A per partnership, based on our supervision capacity, which is the binding constraint.</w:t>
            </w:r>
          </w:p>
        </w:tc>
      </w:tr>
      <w:tr>
        <w:tc>
          <w:tcPr>
            <w:tcW w:type="dxa" w:w="4086"/>
            <w:shd w:val="clear" w:color="auto" w:fill="EAF1F4"/>
          </w:tcPr>
          <w:p>
            <w:pPr>
              <w:spacing w:after="50" w:before="50" w:line="252" w:lineRule="auto"/>
            </w:pPr>
            <w:r>
              <w:rPr>
                <w:sz w:val="17"/>
              </w:rPr>
              <w:t>Are internships paid?</w:t>
            </w:r>
          </w:p>
        </w:tc>
        <w:tc>
          <w:tcPr>
            <w:tcW w:type="dxa" w:w="5382"/>
            <w:shd w:val="clear" w:color="auto" w:fill="EAF1F4"/>
          </w:tcPr>
          <w:p>
            <w:pPr>
              <w:spacing w:after="50" w:before="50" w:line="252" w:lineRule="auto"/>
            </w:pPr>
            <w:r>
              <w:rPr>
                <w:sz w:val="17"/>
              </w:rPr>
              <w:t>Stipends are payable in accordance with our published band where the intern performs case-support work.</w:t>
            </w:r>
          </w:p>
        </w:tc>
      </w:tr>
      <w:tr>
        <w:tc>
          <w:tcPr>
            <w:tcW w:type="dxa" w:w="4086"/>
          </w:tcPr>
          <w:p>
            <w:pPr>
              <w:spacing w:after="50" w:before="50" w:line="252" w:lineRule="auto"/>
            </w:pPr>
            <w:r>
              <w:rPr>
                <w:sz w:val="17"/>
              </w:rPr>
              <w:t>Can our students observe real mediations?</w:t>
            </w:r>
          </w:p>
        </w:tc>
        <w:tc>
          <w:tcPr>
            <w:tcW w:type="dxa" w:w="5382"/>
          </w:tcPr>
          <w:p>
            <w:pPr>
              <w:spacing w:after="50" w:before="50" w:line="252" w:lineRule="auto"/>
            </w:pPr>
            <w:r>
              <w:rPr>
                <w:sz w:val="17"/>
              </w:rPr>
              <w:t>Yes, subject to the consent of the parties, execution of confidentiality undertakings, and the requirements of the Mediation Act, 2023. No recording of any kind is permitted.</w:t>
            </w:r>
          </w:p>
        </w:tc>
      </w:tr>
      <w:tr>
        <w:tc>
          <w:tcPr>
            <w:tcW w:type="dxa" w:w="4086"/>
            <w:shd w:val="clear" w:color="auto" w:fill="EAF1F4"/>
          </w:tcPr>
          <w:p>
            <w:pPr>
              <w:spacing w:after="50" w:before="50" w:line="252" w:lineRule="auto"/>
            </w:pPr>
            <w:r>
              <w:rPr>
                <w:sz w:val="17"/>
              </w:rPr>
              <w:t>Who owns materials produced jointly?</w:t>
            </w:r>
          </w:p>
        </w:tc>
        <w:tc>
          <w:tcPr>
            <w:tcW w:type="dxa" w:w="5382"/>
            <w:shd w:val="clear" w:color="auto" w:fill="EAF1F4"/>
          </w:tcPr>
          <w:p>
            <w:pPr>
              <w:spacing w:after="50" w:before="50" w:line="252" w:lineRule="auto"/>
            </w:pPr>
            <w:r>
              <w:rPr>
                <w:sz w:val="17"/>
              </w:rPr>
              <w:t>Set out expressly in the MOU and in the authorship policy. Equator's curriculum remains Equator's; jointly created research is jointly owned on agreed terms.</w:t>
            </w:r>
          </w:p>
        </w:tc>
      </w:tr>
      <w:tr>
        <w:tc>
          <w:tcPr>
            <w:tcW w:type="dxa" w:w="4086"/>
          </w:tcPr>
          <w:p>
            <w:pPr>
              <w:spacing w:after="50" w:before="50" w:line="252" w:lineRule="auto"/>
            </w:pPr>
            <w:r>
              <w:rPr>
                <w:sz w:val="17"/>
              </w:rPr>
              <w:t>Can we use your logo?</w:t>
            </w:r>
          </w:p>
        </w:tc>
        <w:tc>
          <w:tcPr>
            <w:tcW w:type="dxa" w:w="5382"/>
          </w:tcPr>
          <w:p>
            <w:pPr>
              <w:spacing w:after="50" w:before="50" w:line="252" w:lineRule="auto"/>
            </w:pPr>
            <w:r>
              <w:rPr>
                <w:sz w:val="17"/>
              </w:rPr>
              <w:t>Under the brand licence in Schedule G, for agreed purposes, with approval, and it ceases on termination.</w:t>
            </w:r>
          </w:p>
        </w:tc>
      </w:tr>
      <w:tr>
        <w:tc>
          <w:tcPr>
            <w:tcW w:type="dxa" w:w="4086"/>
            <w:shd w:val="clear" w:color="auto" w:fill="EAF1F4"/>
          </w:tcPr>
          <w:p>
            <w:pPr>
              <w:spacing w:after="50" w:before="50" w:line="252" w:lineRule="auto"/>
            </w:pPr>
            <w:r>
              <w:rPr>
                <w:sz w:val="17"/>
              </w:rPr>
              <w:t>What happens if the MOU is not used?</w:t>
            </w:r>
          </w:p>
        </w:tc>
        <w:tc>
          <w:tcPr>
            <w:tcW w:type="dxa" w:w="5382"/>
            <w:shd w:val="clear" w:color="auto" w:fill="EAF1F4"/>
          </w:tcPr>
          <w:p>
            <w:pPr>
              <w:spacing w:after="50" w:before="50" w:line="252" w:lineRule="auto"/>
            </w:pPr>
            <w:r>
              <w:rPr>
                <w:sz w:val="17"/>
              </w:rPr>
              <w:t>Clause 6.4 provides a minimum activity commitment and automatic lapse. We would rather it lapsed cleanly than sat dormant.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EQ-UAP-026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Objection Handling &amp; FAQ Guide</w:t>
    </w:r>
    <w:r>
      <w:rPr>
        <w:rFonts w:ascii="Calibri" w:hAnsi="Calibri"/>
        <w:color w:val="595959"/>
        <w:sz w:val="16"/>
      </w:rPr>
      <w:tab/>
      <w:t>Confidential — Internal (Strictly)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A0DDCCD-8F41-415A-8E23-43D8C8466D56}"/>
</file>

<file path=customXml/itemProps3.xml><?xml version="1.0" encoding="utf-8"?>
<ds:datastoreItem xmlns:ds="http://schemas.openxmlformats.org/officeDocument/2006/customXml" ds:itemID="{9DCDFC77-2BAE-46CF-8C64-8BE828F023B6}"/>
</file>

<file path=customXml/itemProps4.xml><?xml version="1.0" encoding="utf-8"?>
<ds:datastoreItem xmlns:ds="http://schemas.openxmlformats.org/officeDocument/2006/customXml" ds:itemID="{96AD29CA-A3DE-4CA8-A04B-3819FDA1FFC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