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Advisory Services Go-to-Market Pack</w:t>
      </w:r>
    </w:p>
    <w:p>
      <w:pPr>
        <w:spacing w:after="280" w:line="276" w:lineRule="auto"/>
      </w:pPr>
      <w:r>
        <w:rPr>
          <w:rFonts w:ascii="Calibri" w:hAnsi="Calibri"/>
          <w:i/>
          <w:color w:val="3E6B8A"/>
          <w:sz w:val="25"/>
        </w:rPr>
        <w:t>A separate sales motion to Registrars and Vice-Chancellors for Ombudsperson, grievance redressal and POSH support — the highest-annuity line in the programme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EQ-UAP-110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 Collateral extracts approved for external release.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this is a separate motion</w:t>
      </w:r>
    </w:p>
    <w:p>
      <w:r>
        <w:t>The advisory line was originally line 6 of nine in the commercial model, sold to Deans as a cross-sell alongside academic activity. That was wrong for four reasons.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89"/>
            <w:shd w:val="clear" w:color="auto" w:fill="10375C"/>
          </w:tcPr>
          <w:p>
            <w:pPr>
              <w:spacing w:after="50" w:before="50"/>
            </w:pPr>
          </w:p>
        </w:tc>
        <w:tc>
          <w:tcPr>
            <w:tcW w:type="dxa" w:w="6579"/>
            <w:shd w:val="clear" w:color="auto" w:fill="10375C"/>
          </w:tcPr>
          <w:p>
            <w:pPr>
              <w:spacing w:after="50" w:before="50"/>
            </w:pPr>
          </w:p>
        </w:tc>
      </w:tr>
      <w:tr>
        <w:tc>
          <w:tcPr>
            <w:tcW w:type="dxa" w:w="2889"/>
          </w:tcPr>
          <w:p>
            <w:pPr>
              <w:spacing w:after="50" w:before="50" w:line="252" w:lineRule="auto"/>
            </w:pPr>
            <w:r>
              <w:rPr>
                <w:b/>
                <w:sz w:val="17"/>
              </w:rPr>
              <w:t>Different buyer</w:t>
            </w:r>
          </w:p>
        </w:tc>
        <w:tc>
          <w:tcPr>
            <w:tcW w:type="dxa" w:w="6579"/>
          </w:tcPr>
          <w:p>
            <w:pPr>
              <w:spacing w:after="50" w:before="50" w:line="252" w:lineRule="auto"/>
            </w:pPr>
            <w:r>
              <w:rPr>
                <w:sz w:val="17"/>
              </w:rPr>
              <w:t xml:space="preserve">The Dean of Law does not own the Ombudsperson process. The </w:t>
            </w:r>
            <w:r>
              <w:rPr>
                <w:b/>
                <w:sz w:val="17"/>
              </w:rPr>
              <w:t>Registrar</w:t>
            </w:r>
            <w:r>
              <w:rPr>
                <w:sz w:val="17"/>
              </w:rPr>
              <w:t xml:space="preserve"> does, and the Vice-Chancellor is accountable for it</w:t>
            </w:r>
          </w:p>
        </w:tc>
      </w:tr>
      <w:tr>
        <w:tc>
          <w:tcPr>
            <w:tcW w:type="dxa" w:w="2889"/>
            <w:shd w:val="clear" w:color="auto" w:fill="EAF1F4"/>
          </w:tcPr>
          <w:p>
            <w:pPr>
              <w:spacing w:after="50" w:before="50" w:line="252" w:lineRule="auto"/>
            </w:pPr>
            <w:r>
              <w:rPr>
                <w:b/>
                <w:sz w:val="17"/>
              </w:rPr>
              <w:t>Different trigger</w:t>
            </w:r>
          </w:p>
        </w:tc>
        <w:tc>
          <w:tcPr>
            <w:tcW w:type="dxa" w:w="6579"/>
            <w:shd w:val="clear" w:color="auto" w:fill="EAF1F4"/>
          </w:tcPr>
          <w:p>
            <w:pPr>
              <w:spacing w:after="50" w:before="50" w:line="252" w:lineRule="auto"/>
            </w:pPr>
            <w:r>
              <w:rPr>
                <w:sz w:val="17"/>
              </w:rPr>
              <w:t xml:space="preserve">Academic partnerships are discretionary. This discharges a </w:t>
            </w:r>
            <w:r>
              <w:rPr>
                <w:b/>
                <w:sz w:val="17"/>
              </w:rPr>
              <w:t>regulatory obligation</w:t>
            </w:r>
          </w:p>
        </w:tc>
      </w:tr>
      <w:tr>
        <w:tc>
          <w:tcPr>
            <w:tcW w:type="dxa" w:w="2889"/>
          </w:tcPr>
          <w:p>
            <w:pPr>
              <w:spacing w:after="50" w:before="50" w:line="252" w:lineRule="auto"/>
            </w:pPr>
            <w:r>
              <w:rPr>
                <w:b/>
                <w:sz w:val="17"/>
              </w:rPr>
              <w:t>Different economics</w:t>
            </w:r>
          </w:p>
        </w:tc>
        <w:tc>
          <w:tcPr>
            <w:tcW w:type="dxa" w:w="6579"/>
          </w:tcPr>
          <w:p>
            <w:pPr>
              <w:spacing w:after="50" w:before="50" w:line="252" w:lineRule="auto"/>
            </w:pPr>
            <w:r>
              <w:rPr>
                <w:sz w:val="17"/>
              </w:rPr>
              <w:t xml:space="preserve">An annuity with no seasonality, no cohort, no campus dependency and — critically — </w:t>
            </w:r>
            <w:r>
              <w:rPr>
                <w:b/>
                <w:sz w:val="17"/>
              </w:rPr>
              <w:t>no trainer bench</w:t>
            </w:r>
          </w:p>
        </w:tc>
      </w:tr>
      <w:tr>
        <w:tc>
          <w:tcPr>
            <w:tcW w:type="dxa" w:w="2889"/>
            <w:shd w:val="clear" w:color="auto" w:fill="EAF1F4"/>
          </w:tcPr>
          <w:p>
            <w:pPr>
              <w:spacing w:after="50" w:before="50" w:line="252" w:lineRule="auto"/>
            </w:pPr>
            <w:r>
              <w:rPr>
                <w:b/>
                <w:sz w:val="17"/>
              </w:rPr>
              <w:t>Different sales cycle</w:t>
            </w:r>
          </w:p>
        </w:tc>
        <w:tc>
          <w:tcPr>
            <w:tcW w:type="dxa" w:w="6579"/>
            <w:shd w:val="clear" w:color="auto" w:fill="EAF1F4"/>
          </w:tcPr>
          <w:p>
            <w:pPr>
              <w:spacing w:after="50" w:before="50" w:line="252" w:lineRule="auto"/>
            </w:pPr>
            <w:r>
              <w:rPr>
                <w:sz w:val="17"/>
              </w:rPr>
              <w:t>Weeks, not terms. It does not wait for an academic council</w:t>
            </w:r>
          </w:p>
        </w:tc>
      </w:tr>
    </w:tbl>
    <w:p>
      <w:pPr>
        <w:spacing w:after="80" w:before="0"/>
      </w:pPr>
    </w:p>
    <w:p>
      <w:r>
        <w:rPr>
          <w:b/>
        </w:rPr>
        <w:t>It also does not need an MOU.</w:t>
      </w:r>
      <w:r>
        <w:t xml:space="preserve"> It is a commercial services engagement between Equator Resolution and the institution, and it can be signed by an institution that has no academic relationship with Equator at all.</w:t>
      </w:r>
    </w:p>
    <w:p>
      <w:pPr>
        <w:spacing w:before="140" w:after="140"/>
        <w:ind w:left="198" w:right="113"/>
        <w:shd w:val="clear" w:color="auto" w:fill="EAF1F4"/>
        <w:pBdr>
          <w:left w:val="single" w:sz="18" w:space="6" w:color="0E7C7B"/>
        </w:pBdr>
      </w:pPr>
      <w:r>
        <w:rPr>
          <w:b/>
          <w:sz w:val="19"/>
        </w:rPr>
        <w:t>This is the single most under-exploited line in the Indian market.</w:t>
      </w:r>
      <w:r>
        <w:rPr>
          <w:sz w:val="19"/>
        </w:rPr>
        <w:t xml:space="preserve"> Every higher education institution in the country is subject to the obligation. Almost none is properly resourced for it. No competitor identified in the landscape at 01.7 is selling into it.</w:t>
      </w:r>
    </w:p>
    <w:p>
      <w:pPr>
        <w:spacing w:before="80" w:after="160"/>
        <w:pBdr>
          <w:bottom w:val="single" w:sz="6" w:space="1" w:color="C9D6DE"/>
        </w:pBdr>
      </w:pPr>
    </w:p>
    <w:p>
      <w:pPr>
        <w:pStyle w:val="Heading1"/>
        <w:pBdr>
          <w:bottom w:val="single" w:sz="8" w:space="4" w:color="C9D6DE"/>
        </w:pBdr>
      </w:pPr>
      <w:r>
        <w:t>2. The obligation we discharge</w:t>
      </w:r>
    </w:p>
    <w:p>
      <w:pPr>
        <w:pStyle w:val="Heading2"/>
      </w:pPr>
      <w:r>
        <w:t>2.1 Student grievance redressal</w:t>
      </w:r>
    </w:p>
    <w:p>
      <w:r>
        <w:t xml:space="preserve">The </w:t>
      </w:r>
      <w:r>
        <w:rPr>
          <w:b/>
        </w:rPr>
        <w:t>University Grants Commission (Redressal of Grievances of Students) Regulations, 2023</w:t>
      </w:r>
      <w:r>
        <w:t>, notified 11 April 2023 in supersession of the 2019 regulations, require every higher education institution to:</w:t>
      </w:r>
    </w:p>
    <w:p>
      <w:pPr>
        <w:pStyle w:val="ListBullet"/>
      </w:pPr>
      <w:r>
        <w:rPr>
          <w:sz w:val="21"/>
        </w:rPr>
        <w:t xml:space="preserve">constitute one or more </w:t>
      </w:r>
      <w:r>
        <w:rPr>
          <w:b/>
          <w:sz w:val="21"/>
        </w:rPr>
        <w:t>Students' Grievance Redressal Committees</w:t>
      </w:r>
      <w:r>
        <w:rPr>
          <w:sz w:val="21"/>
        </w:rPr>
        <w:t>;</w:t>
      </w:r>
    </w:p>
    <w:p>
      <w:pPr>
        <w:pStyle w:val="ListBullet"/>
      </w:pPr>
      <w:r>
        <w:rPr>
          <w:b/>
          <w:sz w:val="21"/>
        </w:rPr>
        <w:t>appoint an Ombudsperson</w:t>
      </w:r>
      <w:r>
        <w:rPr>
          <w:sz w:val="21"/>
        </w:rPr>
        <w:t xml:space="preserve"> — a retired Vice-Chancellor, or a retired professor with at least ten years' experience, or a former District Judge;</w:t>
      </w:r>
    </w:p>
    <w:p>
      <w:pPr>
        <w:pStyle w:val="ListBullet"/>
      </w:pPr>
      <w:r>
        <w:rPr>
          <w:sz w:val="21"/>
        </w:rPr>
        <w:t xml:space="preserve">do both </w:t>
      </w:r>
      <w:r>
        <w:rPr>
          <w:b/>
          <w:sz w:val="21"/>
        </w:rPr>
        <w:t>within thirty days</w:t>
      </w:r>
      <w:r>
        <w:rPr>
          <w:sz w:val="21"/>
        </w:rPr>
        <w:t xml:space="preserve"> of notification;</w:t>
      </w:r>
    </w:p>
    <w:p>
      <w:pPr>
        <w:pStyle w:val="ListBullet"/>
      </w:pPr>
      <w:r>
        <w:rPr>
          <w:sz w:val="21"/>
        </w:rPr>
        <w:t>include representation from Scheduled Castes, Scheduled Tribes, Other Backward Classes and women, either as chairperson or as members; and</w:t>
      </w:r>
    </w:p>
    <w:p>
      <w:pPr>
        <w:pStyle w:val="ListBullet"/>
      </w:pPr>
      <w:r>
        <w:rPr>
          <w:sz w:val="21"/>
        </w:rPr>
        <w:t>hear grievances relating to admissions, fees, examinations, scholarships, harassment and allied matters.</w:t>
      </w:r>
    </w:p>
    <w:p>
      <w:pPr>
        <w:pStyle w:val="Heading2"/>
      </w:pPr>
      <w:r>
        <w:t>2.2 Sexual harassment</w:t>
      </w:r>
    </w:p>
    <w:p>
      <w:r>
        <w:t xml:space="preserve">The </w:t>
      </w:r>
      <w:r>
        <w:rPr>
          <w:b/>
        </w:rPr>
        <w:t>Sexual Harassment of Women at Workplace (Prevention, Prohibition and Redressal) Act, 2013</w:t>
      </w:r>
      <w:r>
        <w:t xml:space="preserve"> requires an Internal Committee including an </w:t>
      </w:r>
      <w:r>
        <w:rPr>
          <w:b/>
        </w:rPr>
        <w:t>external member</w:t>
      </w:r>
      <w:r>
        <w:t xml:space="preserve"> from an NGO or association committed to the cause of women, or a person familiar with issues relating to sexual harassment. UGC regulations impose parallel obligations on higher education institutions.</w:t>
      </w:r>
    </w:p>
    <w:p>
      <w:pPr>
        <w:pStyle w:val="Heading2"/>
      </w:pPr>
      <w:r>
        <w:t>2.3 What institutions actually have</w:t>
      </w:r>
    </w:p>
    <w:p>
      <w:r>
        <w:t>From discovery conversations, the recurring picture: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846"/>
            <w:shd w:val="clear" w:color="auto" w:fill="10375C"/>
          </w:tcPr>
          <w:p>
            <w:pPr>
              <w:spacing w:after="50" w:before="50"/>
            </w:pPr>
            <w:r>
              <w:rPr>
                <w:b/>
                <w:color w:val="FFFFFF"/>
                <w:sz w:val="17"/>
              </w:rPr>
              <w:t>Common position</w:t>
            </w:r>
          </w:p>
        </w:tc>
        <w:tc>
          <w:tcPr>
            <w:tcW w:type="dxa" w:w="1622"/>
            <w:shd w:val="clear" w:color="auto" w:fill="10375C"/>
          </w:tcPr>
          <w:p>
            <w:pPr>
              <w:spacing w:after="50" w:before="50"/>
            </w:pPr>
            <w:r>
              <w:rPr>
                <w:b/>
                <w:color w:val="FFFFFF"/>
                <w:sz w:val="17"/>
              </w:rPr>
              <w:t>Frequency</w:t>
            </w:r>
          </w:p>
        </w:tc>
      </w:tr>
      <w:tr>
        <w:tc>
          <w:tcPr>
            <w:tcW w:type="dxa" w:w="7846"/>
          </w:tcPr>
          <w:p>
            <w:pPr>
              <w:spacing w:after="50" w:before="50" w:line="252" w:lineRule="auto"/>
            </w:pPr>
            <w:r>
              <w:rPr>
                <w:sz w:val="17"/>
              </w:rPr>
              <w:t>Committee constituted on paper, has never met</w:t>
            </w:r>
          </w:p>
        </w:tc>
        <w:tc>
          <w:tcPr>
            <w:tcW w:type="dxa" w:w="1622"/>
          </w:tcPr>
          <w:p>
            <w:pPr>
              <w:spacing w:after="50" w:before="50" w:line="252" w:lineRule="auto"/>
            </w:pPr>
            <w:r>
              <w:rPr>
                <w:sz w:val="17"/>
              </w:rPr>
              <w:t>Very common</w:t>
            </w:r>
          </w:p>
        </w:tc>
      </w:tr>
      <w:tr>
        <w:tc>
          <w:tcPr>
            <w:tcW w:type="dxa" w:w="7846"/>
            <w:shd w:val="clear" w:color="auto" w:fill="EAF1F4"/>
          </w:tcPr>
          <w:p>
            <w:pPr>
              <w:spacing w:after="50" w:before="50" w:line="252" w:lineRule="auto"/>
            </w:pPr>
            <w:r>
              <w:rPr>
                <w:sz w:val="17"/>
              </w:rPr>
              <w:t>Ombudsperson appointed but with no process, no case management and no support</w:t>
            </w:r>
          </w:p>
        </w:tc>
        <w:tc>
          <w:tcPr>
            <w:tcW w:type="dxa" w:w="1622"/>
            <w:shd w:val="clear" w:color="auto" w:fill="EAF1F4"/>
          </w:tcPr>
          <w:p>
            <w:pPr>
              <w:spacing w:after="50" w:before="50" w:line="252" w:lineRule="auto"/>
            </w:pPr>
            <w:r>
              <w:rPr>
                <w:sz w:val="17"/>
              </w:rPr>
              <w:t>Very common</w:t>
            </w:r>
          </w:p>
        </w:tc>
      </w:tr>
      <w:tr>
        <w:tc>
          <w:tcPr>
            <w:tcW w:type="dxa" w:w="7846"/>
          </w:tcPr>
          <w:p>
            <w:pPr>
              <w:spacing w:after="50" w:before="50" w:line="252" w:lineRule="auto"/>
            </w:pPr>
            <w:r>
              <w:rPr>
                <w:sz w:val="17"/>
              </w:rPr>
              <w:t>Members untrained; no written procedure</w:t>
            </w:r>
          </w:p>
        </w:tc>
        <w:tc>
          <w:tcPr>
            <w:tcW w:type="dxa" w:w="1622"/>
          </w:tcPr>
          <w:p>
            <w:pPr>
              <w:spacing w:after="50" w:before="50" w:line="252" w:lineRule="auto"/>
            </w:pPr>
            <w:r>
              <w:rPr>
                <w:sz w:val="17"/>
              </w:rPr>
              <w:t>Very common</w:t>
            </w:r>
          </w:p>
        </w:tc>
      </w:tr>
      <w:tr>
        <w:tc>
          <w:tcPr>
            <w:tcW w:type="dxa" w:w="7846"/>
            <w:shd w:val="clear" w:color="auto" w:fill="EAF1F4"/>
          </w:tcPr>
          <w:p>
            <w:pPr>
              <w:spacing w:after="50" w:before="50" w:line="252" w:lineRule="auto"/>
            </w:pPr>
            <w:r>
              <w:rPr>
                <w:sz w:val="17"/>
              </w:rPr>
              <w:t>No record of grievances received, handled or disposed</w:t>
            </w:r>
          </w:p>
        </w:tc>
        <w:tc>
          <w:tcPr>
            <w:tcW w:type="dxa" w:w="1622"/>
            <w:shd w:val="clear" w:color="auto" w:fill="EAF1F4"/>
          </w:tcPr>
          <w:p>
            <w:pPr>
              <w:spacing w:after="50" w:before="50" w:line="252" w:lineRule="auto"/>
            </w:pPr>
            <w:r>
              <w:rPr>
                <w:sz w:val="17"/>
              </w:rPr>
              <w:t>Common</w:t>
            </w:r>
          </w:p>
        </w:tc>
      </w:tr>
      <w:tr>
        <w:tc>
          <w:tcPr>
            <w:tcW w:type="dxa" w:w="7846"/>
          </w:tcPr>
          <w:p>
            <w:pPr>
              <w:spacing w:after="50" w:before="50" w:line="252" w:lineRule="auto"/>
            </w:pPr>
            <w:r>
              <w:rPr>
                <w:sz w:val="17"/>
              </w:rPr>
              <w:t>External IC member is a personal contact rather than a qualified appointee</w:t>
            </w:r>
          </w:p>
        </w:tc>
        <w:tc>
          <w:tcPr>
            <w:tcW w:type="dxa" w:w="1622"/>
          </w:tcPr>
          <w:p>
            <w:pPr>
              <w:spacing w:after="50" w:before="50" w:line="252" w:lineRule="auto"/>
            </w:pPr>
            <w:r>
              <w:rPr>
                <w:sz w:val="17"/>
              </w:rPr>
              <w:t>Common</w:t>
            </w:r>
          </w:p>
        </w:tc>
      </w:tr>
      <w:tr>
        <w:tc>
          <w:tcPr>
            <w:tcW w:type="dxa" w:w="7846"/>
            <w:shd w:val="clear" w:color="auto" w:fill="EAF1F4"/>
          </w:tcPr>
          <w:p>
            <w:pPr>
              <w:spacing w:after="50" w:before="50" w:line="252" w:lineRule="auto"/>
            </w:pPr>
            <w:r>
              <w:rPr>
                <w:sz w:val="17"/>
              </w:rPr>
              <w:t>No timelines; matters drift</w:t>
            </w:r>
          </w:p>
        </w:tc>
        <w:tc>
          <w:tcPr>
            <w:tcW w:type="dxa" w:w="1622"/>
            <w:shd w:val="clear" w:color="auto" w:fill="EAF1F4"/>
          </w:tcPr>
          <w:p>
            <w:pPr>
              <w:spacing w:after="50" w:before="50" w:line="252" w:lineRule="auto"/>
            </w:pPr>
            <w:r>
              <w:rPr>
                <w:sz w:val="17"/>
              </w:rPr>
              <w:t>Common</w:t>
            </w:r>
          </w:p>
        </w:tc>
      </w:tr>
      <w:tr>
        <w:tc>
          <w:tcPr>
            <w:tcW w:type="dxa" w:w="7846"/>
          </w:tcPr>
          <w:p>
            <w:pPr>
              <w:spacing w:after="50" w:before="50" w:line="252" w:lineRule="auto"/>
            </w:pPr>
            <w:r>
              <w:rPr>
                <w:sz w:val="17"/>
              </w:rPr>
              <w:t>No appeal or escalation route documented</w:t>
            </w:r>
          </w:p>
        </w:tc>
        <w:tc>
          <w:tcPr>
            <w:tcW w:type="dxa" w:w="1622"/>
          </w:tcPr>
          <w:p>
            <w:pPr>
              <w:spacing w:after="50" w:before="50" w:line="252" w:lineRule="auto"/>
            </w:pPr>
            <w:r>
              <w:rPr>
                <w:sz w:val="17"/>
              </w:rPr>
              <w:t>Common</w:t>
            </w:r>
          </w:p>
        </w:tc>
      </w:tr>
      <w:tr>
        <w:tc>
          <w:tcPr>
            <w:tcW w:type="dxa" w:w="7846"/>
            <w:shd w:val="clear" w:color="auto" w:fill="EAF1F4"/>
          </w:tcPr>
          <w:p>
            <w:pPr>
              <w:spacing w:after="50" w:before="50" w:line="252" w:lineRule="auto"/>
            </w:pPr>
            <w:r>
              <w:rPr>
                <w:sz w:val="17"/>
              </w:rPr>
              <w:t>Nothing to show an accreditation team</w:t>
            </w:r>
          </w:p>
        </w:tc>
        <w:tc>
          <w:tcPr>
            <w:tcW w:type="dxa" w:w="1622"/>
            <w:shd w:val="clear" w:color="auto" w:fill="EAF1F4"/>
          </w:tcPr>
          <w:p>
            <w:pPr>
              <w:spacing w:after="50" w:before="50" w:line="252" w:lineRule="auto"/>
            </w:pPr>
            <w:r>
              <w:rPr>
                <w:sz w:val="17"/>
              </w:rPr>
              <w:t>Very common</w:t>
            </w:r>
          </w:p>
        </w:tc>
      </w:tr>
    </w:tbl>
    <w:p>
      <w:pPr>
        <w:spacing w:after="80" w:before="0"/>
      </w:pPr>
    </w:p>
    <w:p>
      <w:r>
        <w:rPr>
          <w:b/>
        </w:rPr>
        <w:t>None of this reflects badly on the institution.</w:t>
      </w:r>
      <w:r>
        <w:t xml:space="preserve"> It reflects the fact that the obligation is dispute-resolution work imposed on people whose job is education. </w:t>
      </w:r>
      <w:r>
        <w:rPr>
          <w:b/>
        </w:rPr>
        <w:t>That is the whole pitch.</w:t>
      </w:r>
    </w:p>
    <w:p>
      <w:pPr>
        <w:spacing w:before="80" w:after="160"/>
        <w:pBdr>
          <w:bottom w:val="single" w:sz="6" w:space="1" w:color="C9D6DE"/>
        </w:pBdr>
      </w:pPr>
    </w:p>
    <w:p>
      <w:pPr>
        <w:pStyle w:val="Heading1"/>
        <w:pBdr>
          <w:bottom w:val="single" w:sz="8" w:space="4" w:color="C9D6DE"/>
        </w:pBdr>
      </w:pPr>
      <w:r>
        <w:t>3. The offer</w:t>
      </w:r>
    </w:p>
    <w:p>
      <w:pPr>
        <w:pStyle w:val="Heading2"/>
      </w:pPr>
      <w:r>
        <w:t>3.1 ADV-A · Comprehensive retainer — ₹3,60,000 a year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658"/>
            <w:shd w:val="clear" w:color="auto" w:fill="10375C"/>
          </w:tcPr>
          <w:p>
            <w:pPr>
              <w:spacing w:after="50" w:before="50"/>
            </w:pPr>
            <w:r>
              <w:rPr>
                <w:b/>
                <w:color w:val="FFFFFF"/>
                <w:sz w:val="17"/>
              </w:rPr>
              <w:t>Element</w:t>
            </w:r>
          </w:p>
        </w:tc>
        <w:tc>
          <w:tcPr>
            <w:tcW w:type="dxa" w:w="5809"/>
            <w:shd w:val="clear" w:color="auto" w:fill="10375C"/>
          </w:tcPr>
          <w:p>
            <w:pPr>
              <w:spacing w:after="50" w:before="50"/>
            </w:pPr>
            <w:r>
              <w:rPr>
                <w:b/>
                <w:color w:val="FFFFFF"/>
                <w:sz w:val="17"/>
              </w:rPr>
              <w:t>Detail</w:t>
            </w:r>
          </w:p>
        </w:tc>
      </w:tr>
      <w:tr>
        <w:tc>
          <w:tcPr>
            <w:tcW w:type="dxa" w:w="3658"/>
          </w:tcPr>
          <w:p>
            <w:pPr>
              <w:spacing w:after="50" w:before="50" w:line="252" w:lineRule="auto"/>
            </w:pPr>
            <w:r>
              <w:rPr>
                <w:b/>
                <w:sz w:val="17"/>
              </w:rPr>
              <w:t>Diagnostic</w:t>
            </w:r>
          </w:p>
        </w:tc>
        <w:tc>
          <w:tcPr>
            <w:tcW w:type="dxa" w:w="5809"/>
          </w:tcPr>
          <w:p>
            <w:pPr>
              <w:spacing w:after="50" w:before="50" w:line="252" w:lineRule="auto"/>
            </w:pPr>
            <w:r>
              <w:rPr>
                <w:sz w:val="17"/>
              </w:rPr>
              <w:t>A written assessment of the institution's current position against the regulations, with a gap list</w:t>
            </w:r>
          </w:p>
        </w:tc>
      </w:tr>
      <w:tr>
        <w:tc>
          <w:tcPr>
            <w:tcW w:type="dxa" w:w="3658"/>
            <w:shd w:val="clear" w:color="auto" w:fill="EAF1F4"/>
          </w:tcPr>
          <w:p>
            <w:pPr>
              <w:spacing w:after="50" w:before="50" w:line="252" w:lineRule="auto"/>
            </w:pPr>
            <w:r>
              <w:rPr>
                <w:b/>
                <w:sz w:val="17"/>
              </w:rPr>
              <w:t>Process design</w:t>
            </w:r>
          </w:p>
        </w:tc>
        <w:tc>
          <w:tcPr>
            <w:tcW w:type="dxa" w:w="5809"/>
            <w:shd w:val="clear" w:color="auto" w:fill="EAF1F4"/>
          </w:tcPr>
          <w:p>
            <w:pPr>
              <w:spacing w:after="50" w:before="50" w:line="252" w:lineRule="auto"/>
            </w:pPr>
            <w:r>
              <w:rPr>
                <w:sz w:val="17"/>
              </w:rPr>
              <w:t>Written grievance procedure, timelines, forms, registers, appeal route, and an Ombudsperson protocol</w:t>
            </w:r>
          </w:p>
        </w:tc>
      </w:tr>
      <w:tr>
        <w:tc>
          <w:tcPr>
            <w:tcW w:type="dxa" w:w="3658"/>
          </w:tcPr>
          <w:p>
            <w:pPr>
              <w:spacing w:after="50" w:before="50" w:line="252" w:lineRule="auto"/>
            </w:pPr>
            <w:r>
              <w:rPr>
                <w:b/>
                <w:sz w:val="17"/>
              </w:rPr>
              <w:t>Committee training</w:t>
            </w:r>
          </w:p>
        </w:tc>
        <w:tc>
          <w:tcPr>
            <w:tcW w:type="dxa" w:w="5809"/>
          </w:tcPr>
          <w:p>
            <w:pPr>
              <w:spacing w:after="50" w:before="50" w:line="252" w:lineRule="auto"/>
            </w:pPr>
            <w:r>
              <w:rPr>
                <w:sz w:val="17"/>
              </w:rPr>
              <w:t>One day for SGRC members and the Ombudsperson — natural justice, running a hearing, recording, reasons, confidentiality</w:t>
            </w:r>
          </w:p>
        </w:tc>
      </w:tr>
      <w:tr>
        <w:tc>
          <w:tcPr>
            <w:tcW w:type="dxa" w:w="3658"/>
            <w:shd w:val="clear" w:color="auto" w:fill="EAF1F4"/>
          </w:tcPr>
          <w:p>
            <w:pPr>
              <w:spacing w:after="50" w:before="50" w:line="252" w:lineRule="auto"/>
            </w:pPr>
            <w:r>
              <w:rPr>
                <w:b/>
                <w:sz w:val="17"/>
              </w:rPr>
              <w:t>IC training</w:t>
            </w:r>
          </w:p>
        </w:tc>
        <w:tc>
          <w:tcPr>
            <w:tcW w:type="dxa" w:w="5809"/>
            <w:shd w:val="clear" w:color="auto" w:fill="EAF1F4"/>
          </w:tcPr>
          <w:p>
            <w:pPr>
              <w:spacing w:after="50" w:before="50" w:line="252" w:lineRule="auto"/>
            </w:pPr>
            <w:r>
              <w:rPr>
                <w:sz w:val="17"/>
              </w:rPr>
              <w:t>One day for the Internal Committee — inquiry skills, evidence, recording, interim measures, report writing</w:t>
            </w:r>
          </w:p>
        </w:tc>
      </w:tr>
      <w:tr>
        <w:tc>
          <w:tcPr>
            <w:tcW w:type="dxa" w:w="3658"/>
          </w:tcPr>
          <w:p>
            <w:pPr>
              <w:spacing w:after="50" w:before="50" w:line="252" w:lineRule="auto"/>
            </w:pPr>
            <w:r>
              <w:rPr>
                <w:b/>
                <w:sz w:val="17"/>
              </w:rPr>
              <w:t>Four review visits</w:t>
            </w:r>
            <w:r>
              <w:rPr>
                <w:sz w:val="17"/>
              </w:rPr>
              <w:t xml:space="preserve"> a year</w:t>
            </w:r>
          </w:p>
        </w:tc>
        <w:tc>
          <w:tcPr>
            <w:tcW w:type="dxa" w:w="5809"/>
          </w:tcPr>
          <w:p>
            <w:pPr>
              <w:spacing w:after="50" w:before="50" w:line="252" w:lineRule="auto"/>
            </w:pPr>
            <w:r>
              <w:rPr>
                <w:sz w:val="17"/>
              </w:rPr>
              <w:t>Case-file review, procedural audit, refresher, and a written report each time</w:t>
            </w:r>
          </w:p>
        </w:tc>
      </w:tr>
      <w:tr>
        <w:tc>
          <w:tcPr>
            <w:tcW w:type="dxa" w:w="3658"/>
            <w:shd w:val="clear" w:color="auto" w:fill="EAF1F4"/>
          </w:tcPr>
          <w:p>
            <w:pPr>
              <w:spacing w:after="50" w:before="50" w:line="252" w:lineRule="auto"/>
            </w:pPr>
            <w:r>
              <w:rPr>
                <w:b/>
                <w:sz w:val="17"/>
              </w:rPr>
              <w:t>Helpline</w:t>
            </w:r>
          </w:p>
        </w:tc>
        <w:tc>
          <w:tcPr>
            <w:tcW w:type="dxa" w:w="5809"/>
            <w:shd w:val="clear" w:color="auto" w:fill="EAF1F4"/>
          </w:tcPr>
          <w:p>
            <w:pPr>
              <w:spacing w:after="50" w:before="50" w:line="252" w:lineRule="auto"/>
            </w:pPr>
            <w:r>
              <w:rPr>
                <w:sz w:val="17"/>
              </w:rPr>
              <w:t>A named contact for procedural questions, with a two-working-day response undertaking</w:t>
            </w:r>
          </w:p>
        </w:tc>
      </w:tr>
      <w:tr>
        <w:tc>
          <w:tcPr>
            <w:tcW w:type="dxa" w:w="3658"/>
          </w:tcPr>
          <w:p>
            <w:pPr>
              <w:spacing w:after="50" w:before="50" w:line="252" w:lineRule="auto"/>
            </w:pPr>
            <w:r>
              <w:rPr>
                <w:b/>
                <w:sz w:val="17"/>
              </w:rPr>
              <w:t>Annual compliance report</w:t>
            </w:r>
          </w:p>
        </w:tc>
        <w:tc>
          <w:tcPr>
            <w:tcW w:type="dxa" w:w="5809"/>
          </w:tcPr>
          <w:p>
            <w:pPr>
              <w:spacing w:after="50" w:before="50" w:line="252" w:lineRule="auto"/>
            </w:pPr>
            <w:r>
              <w:rPr>
                <w:sz w:val="17"/>
              </w:rPr>
              <w:t>In a form the institution can place before its governing body and an accreditation team</w:t>
            </w:r>
          </w:p>
        </w:tc>
      </w:tr>
      <w:tr>
        <w:tc>
          <w:tcPr>
            <w:tcW w:type="dxa" w:w="3658"/>
            <w:shd w:val="clear" w:color="auto" w:fill="EAF1F4"/>
          </w:tcPr>
          <w:p>
            <w:pPr>
              <w:spacing w:after="50" w:before="50" w:line="252" w:lineRule="auto"/>
            </w:pPr>
            <w:r>
              <w:rPr>
                <w:sz w:val="17"/>
              </w:rPr>
              <w:t>Access to trained external members and neutrals</w:t>
            </w:r>
          </w:p>
        </w:tc>
        <w:tc>
          <w:tcPr>
            <w:tcW w:type="dxa" w:w="5809"/>
            <w:shd w:val="clear" w:color="auto" w:fill="EAF1F4"/>
          </w:tcPr>
          <w:p>
            <w:pPr>
              <w:spacing w:after="50" w:before="50" w:line="252" w:lineRule="auto"/>
            </w:pPr>
            <w:r>
              <w:rPr>
                <w:sz w:val="17"/>
              </w:rPr>
              <w:t>Charged separately per sitting</w:t>
            </w:r>
          </w:p>
        </w:tc>
      </w:tr>
    </w:tbl>
    <w:p>
      <w:pPr>
        <w:spacing w:after="80" w:before="0"/>
      </w:pPr>
    </w:p>
    <w:p>
      <w:pPr>
        <w:pStyle w:val="Heading2"/>
      </w:pPr>
      <w:r>
        <w:t>3.2 ADV-B · Standard retainer — ₹1,80,000 a year</w:t>
      </w:r>
    </w:p>
    <w:p>
      <w:r>
        <w:t>Diagnostic; process design and documentation; one training day; two review visits; helpline; annual report.</w:t>
      </w:r>
    </w:p>
    <w:p>
      <w:pPr>
        <w:pStyle w:val="Heading2"/>
      </w:pPr>
      <w:r>
        <w:t>3.3 Per-engagement services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165"/>
            <w:shd w:val="clear" w:color="auto" w:fill="10375C"/>
          </w:tcPr>
          <w:p>
            <w:pPr>
              <w:spacing w:after="50" w:before="50"/>
            </w:pPr>
            <w:r>
              <w:rPr>
                <w:b/>
                <w:color w:val="FFFFFF"/>
                <w:sz w:val="17"/>
              </w:rPr>
              <w:t>Service</w:t>
            </w:r>
          </w:p>
        </w:tc>
        <w:tc>
          <w:tcPr>
            <w:tcW w:type="dxa" w:w="1303"/>
            <w:shd w:val="clear" w:color="auto" w:fill="10375C"/>
          </w:tcPr>
          <w:p>
            <w:pPr>
              <w:spacing w:after="50" w:before="50"/>
            </w:pPr>
            <w:r>
              <w:rPr>
                <w:b/>
                <w:color w:val="FFFFFF"/>
                <w:sz w:val="17"/>
              </w:rPr>
              <w:t>Fee</w:t>
            </w:r>
          </w:p>
        </w:tc>
      </w:tr>
      <w:tr>
        <w:tc>
          <w:tcPr>
            <w:tcW w:type="dxa" w:w="8165"/>
          </w:tcPr>
          <w:p>
            <w:pPr>
              <w:spacing w:after="50" w:before="50" w:line="252" w:lineRule="auto"/>
            </w:pPr>
            <w:r>
              <w:rPr>
                <w:sz w:val="17"/>
              </w:rPr>
              <w:t>External Internal Committee member, per sitting</w:t>
            </w:r>
          </w:p>
        </w:tc>
        <w:tc>
          <w:tcPr>
            <w:tcW w:type="dxa" w:w="1303"/>
          </w:tcPr>
          <w:p>
            <w:pPr>
              <w:spacing w:after="50" w:before="50" w:line="252" w:lineRule="auto"/>
            </w:pPr>
            <w:r>
              <w:rPr>
                <w:sz w:val="17"/>
              </w:rPr>
              <w:t>₹18,000</w:t>
            </w:r>
          </w:p>
        </w:tc>
      </w:tr>
      <w:tr>
        <w:tc>
          <w:tcPr>
            <w:tcW w:type="dxa" w:w="8165"/>
            <w:shd w:val="clear" w:color="auto" w:fill="EAF1F4"/>
          </w:tcPr>
          <w:p>
            <w:pPr>
              <w:spacing w:after="50" w:before="50" w:line="252" w:lineRule="auto"/>
            </w:pPr>
            <w:r>
              <w:rPr>
                <w:sz w:val="17"/>
              </w:rPr>
              <w:t>Ombudsperson process support, per matter</w:t>
            </w:r>
          </w:p>
        </w:tc>
        <w:tc>
          <w:tcPr>
            <w:tcW w:type="dxa" w:w="1303"/>
            <w:shd w:val="clear" w:color="auto" w:fill="EAF1F4"/>
          </w:tcPr>
          <w:p>
            <w:pPr>
              <w:spacing w:after="50" w:before="50" w:line="252" w:lineRule="auto"/>
            </w:pPr>
            <w:r>
              <w:rPr>
                <w:sz w:val="17"/>
              </w:rPr>
              <w:t>₹22,000</w:t>
            </w:r>
          </w:p>
        </w:tc>
      </w:tr>
      <w:tr>
        <w:tc>
          <w:tcPr>
            <w:tcW w:type="dxa" w:w="8165"/>
          </w:tcPr>
          <w:p>
            <w:pPr>
              <w:spacing w:after="50" w:before="50" w:line="252" w:lineRule="auto"/>
            </w:pPr>
            <w:r>
              <w:rPr>
                <w:sz w:val="17"/>
              </w:rPr>
              <w:t>One-off IC training, no retainer</w:t>
            </w:r>
          </w:p>
        </w:tc>
        <w:tc>
          <w:tcPr>
            <w:tcW w:type="dxa" w:w="1303"/>
          </w:tcPr>
          <w:p>
            <w:pPr>
              <w:spacing w:after="50" w:before="50" w:line="252" w:lineRule="auto"/>
            </w:pPr>
            <w:r>
              <w:rPr>
                <w:sz w:val="17"/>
              </w:rPr>
              <w:t>₹85,000</w:t>
            </w:r>
          </w:p>
        </w:tc>
      </w:tr>
      <w:tr>
        <w:tc>
          <w:tcPr>
            <w:tcW w:type="dxa" w:w="8165"/>
            <w:shd w:val="clear" w:color="auto" w:fill="EAF1F4"/>
          </w:tcPr>
          <w:p>
            <w:pPr>
              <w:spacing w:after="50" w:before="50" w:line="252" w:lineRule="auto"/>
            </w:pPr>
            <w:r>
              <w:rPr>
                <w:sz w:val="17"/>
              </w:rPr>
              <w:t>One-off grievance and Ombudsperson workshop</w:t>
            </w:r>
          </w:p>
        </w:tc>
        <w:tc>
          <w:tcPr>
            <w:tcW w:type="dxa" w:w="1303"/>
            <w:shd w:val="clear" w:color="auto" w:fill="EAF1F4"/>
          </w:tcPr>
          <w:p>
            <w:pPr>
              <w:spacing w:after="50" w:before="50" w:line="252" w:lineRule="auto"/>
            </w:pPr>
            <w:r>
              <w:rPr>
                <w:sz w:val="17"/>
              </w:rPr>
              <w:t>₹95,000</w:t>
            </w:r>
          </w:p>
        </w:tc>
      </w:tr>
      <w:tr>
        <w:tc>
          <w:tcPr>
            <w:tcW w:type="dxa" w:w="8165"/>
          </w:tcPr>
          <w:p>
            <w:pPr>
              <w:spacing w:after="50" w:before="50" w:line="252" w:lineRule="auto"/>
            </w:pPr>
            <w:r>
              <w:rPr>
                <w:sz w:val="17"/>
              </w:rPr>
              <w:t>Independent inquiry conducted by an external panel</w:t>
            </w:r>
          </w:p>
        </w:tc>
        <w:tc>
          <w:tcPr>
            <w:tcW w:type="dxa" w:w="1303"/>
          </w:tcPr>
          <w:p>
            <w:pPr>
              <w:spacing w:after="50" w:before="50" w:line="252" w:lineRule="auto"/>
            </w:pPr>
            <w:r>
              <w:rPr>
                <w:sz w:val="17"/>
              </w:rPr>
              <w:t>Quoted</w:t>
            </w:r>
          </w:p>
        </w:tc>
      </w:tr>
    </w:tbl>
    <w:p>
      <w:pPr>
        <w:spacing w:after="80" w:before="0"/>
      </w:pPr>
    </w:p>
    <w:p>
      <w:pPr>
        <w:pStyle w:val="Heading2"/>
      </w:pPr>
      <w:r>
        <w:t>3.4 What we explicitly do not do</w:t>
      </w:r>
    </w:p>
    <w:p>
      <w:r>
        <w:t xml:space="preserve">We do not act as the Ombudsperson. We do not decide grievances. We do not investigate on the institution's behalf unless separately engaged in writing to do so. We do not give the institution legal advice. </w:t>
      </w:r>
      <w:r>
        <w:rPr>
          <w:b/>
        </w:rPr>
        <w:t>Saying this early establishes credibility faster than anything else in the conversation.</w:t>
      </w:r>
    </w:p>
    <w:p>
      <w:pPr>
        <w:spacing w:before="80" w:after="160"/>
        <w:pBdr>
          <w:bottom w:val="single" w:sz="6" w:space="1" w:color="C9D6DE"/>
        </w:pBdr>
      </w:pPr>
    </w:p>
    <w:p>
      <w:pPr>
        <w:pStyle w:val="Heading1"/>
        <w:pBdr>
          <w:bottom w:val="single" w:sz="8" w:space="4" w:color="C9D6DE"/>
        </w:pBdr>
      </w:pPr>
      <w:r>
        <w:t>4. The economics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608"/>
            <w:shd w:val="clear" w:color="auto" w:fill="10375C"/>
          </w:tcPr>
          <w:p>
            <w:pPr>
              <w:spacing w:after="50" w:before="50"/>
            </w:pPr>
          </w:p>
        </w:tc>
        <w:tc>
          <w:tcPr>
            <w:tcW w:type="dxa" w:w="2550"/>
            <w:shd w:val="clear" w:color="auto" w:fill="10375C"/>
          </w:tcPr>
          <w:p>
            <w:pPr>
              <w:spacing w:after="50" w:before="50"/>
            </w:pPr>
            <w:r>
              <w:rPr>
                <w:b/>
                <w:color w:val="FFFFFF"/>
                <w:sz w:val="17"/>
              </w:rPr>
              <w:t>ADV-A</w:t>
            </w:r>
          </w:p>
        </w:tc>
        <w:tc>
          <w:tcPr>
            <w:tcW w:type="dxa" w:w="2309"/>
            <w:shd w:val="clear" w:color="auto" w:fill="10375C"/>
          </w:tcPr>
          <w:p>
            <w:pPr>
              <w:spacing w:after="50" w:before="50"/>
            </w:pPr>
            <w:r>
              <w:rPr>
                <w:b/>
                <w:color w:val="FFFFFF"/>
                <w:sz w:val="17"/>
              </w:rPr>
              <w:t>ADV-B</w:t>
            </w:r>
          </w:p>
        </w:tc>
      </w:tr>
      <w:tr>
        <w:tc>
          <w:tcPr>
            <w:tcW w:type="dxa" w:w="4608"/>
          </w:tcPr>
          <w:p>
            <w:pPr>
              <w:spacing w:after="50" w:before="50" w:line="252" w:lineRule="auto"/>
            </w:pPr>
            <w:r>
              <w:rPr>
                <w:sz w:val="17"/>
              </w:rPr>
              <w:t>Revenue</w:t>
            </w:r>
          </w:p>
        </w:tc>
        <w:tc>
          <w:tcPr>
            <w:tcW w:type="dxa" w:w="2550"/>
          </w:tcPr>
          <w:p>
            <w:pPr>
              <w:spacing w:after="50" w:before="50" w:line="252" w:lineRule="auto"/>
            </w:pPr>
            <w:r>
              <w:rPr>
                <w:sz w:val="17"/>
              </w:rPr>
              <w:t>3,60,000</w:t>
            </w:r>
          </w:p>
        </w:tc>
        <w:tc>
          <w:tcPr>
            <w:tcW w:type="dxa" w:w="2309"/>
          </w:tcPr>
          <w:p>
            <w:pPr>
              <w:spacing w:after="50" w:before="50" w:line="252" w:lineRule="auto"/>
            </w:pPr>
            <w:r>
              <w:rPr>
                <w:sz w:val="17"/>
              </w:rPr>
              <w:t>1,80,000</w:t>
            </w:r>
          </w:p>
        </w:tc>
      </w:tr>
      <w:tr>
        <w:tc>
          <w:tcPr>
            <w:tcW w:type="dxa" w:w="4608"/>
            <w:shd w:val="clear" w:color="auto" w:fill="EAF1F4"/>
          </w:tcPr>
          <w:p>
            <w:pPr>
              <w:spacing w:after="50" w:before="50" w:line="252" w:lineRule="auto"/>
            </w:pPr>
            <w:r>
              <w:rPr>
                <w:sz w:val="17"/>
              </w:rPr>
              <w:t>Senior consultant time</w:t>
            </w:r>
          </w:p>
        </w:tc>
        <w:tc>
          <w:tcPr>
            <w:tcW w:type="dxa" w:w="2550"/>
            <w:shd w:val="clear" w:color="auto" w:fill="EAF1F4"/>
          </w:tcPr>
          <w:p>
            <w:pPr>
              <w:spacing w:after="50" w:before="50" w:line="252" w:lineRule="auto"/>
            </w:pPr>
            <w:r>
              <w:rPr>
                <w:sz w:val="17"/>
              </w:rPr>
              <w:t>(1,80,000)</w:t>
            </w:r>
          </w:p>
        </w:tc>
        <w:tc>
          <w:tcPr>
            <w:tcW w:type="dxa" w:w="2309"/>
            <w:shd w:val="clear" w:color="auto" w:fill="EAF1F4"/>
          </w:tcPr>
          <w:p>
            <w:pPr>
              <w:spacing w:after="50" w:before="50" w:line="252" w:lineRule="auto"/>
            </w:pPr>
            <w:r>
              <w:rPr>
                <w:sz w:val="17"/>
              </w:rPr>
              <w:t>(90,000)</w:t>
            </w:r>
          </w:p>
        </w:tc>
      </w:tr>
      <w:tr>
        <w:tc>
          <w:tcPr>
            <w:tcW w:type="dxa" w:w="4608"/>
          </w:tcPr>
          <w:p>
            <w:pPr>
              <w:spacing w:after="50" w:before="50" w:line="252" w:lineRule="auto"/>
            </w:pPr>
            <w:r>
              <w:rPr>
                <w:sz w:val="17"/>
              </w:rPr>
              <w:t>Travel</w:t>
            </w:r>
          </w:p>
        </w:tc>
        <w:tc>
          <w:tcPr>
            <w:tcW w:type="dxa" w:w="2550"/>
          </w:tcPr>
          <w:p>
            <w:pPr>
              <w:spacing w:after="50" w:before="50" w:line="252" w:lineRule="auto"/>
            </w:pPr>
            <w:r>
              <w:rPr>
                <w:sz w:val="17"/>
              </w:rPr>
              <w:t>(36,000)</w:t>
            </w:r>
          </w:p>
        </w:tc>
        <w:tc>
          <w:tcPr>
            <w:tcW w:type="dxa" w:w="2309"/>
          </w:tcPr>
          <w:p>
            <w:pPr>
              <w:spacing w:after="50" w:before="50" w:line="252" w:lineRule="auto"/>
            </w:pPr>
            <w:r>
              <w:rPr>
                <w:sz w:val="17"/>
              </w:rPr>
              <w:t>(18,000)</w:t>
            </w:r>
          </w:p>
        </w:tc>
      </w:tr>
      <w:tr>
        <w:tc>
          <w:tcPr>
            <w:tcW w:type="dxa" w:w="4608"/>
            <w:shd w:val="clear" w:color="auto" w:fill="EAF1F4"/>
          </w:tcPr>
          <w:p>
            <w:pPr>
              <w:spacing w:after="50" w:before="50" w:line="252" w:lineRule="auto"/>
            </w:pPr>
            <w:r>
              <w:rPr>
                <w:sz w:val="17"/>
              </w:rPr>
              <w:t>Documentation and materials</w:t>
            </w:r>
          </w:p>
        </w:tc>
        <w:tc>
          <w:tcPr>
            <w:tcW w:type="dxa" w:w="2550"/>
            <w:shd w:val="clear" w:color="auto" w:fill="EAF1F4"/>
          </w:tcPr>
          <w:p>
            <w:pPr>
              <w:spacing w:after="50" w:before="50" w:line="252" w:lineRule="auto"/>
            </w:pPr>
            <w:r>
              <w:rPr>
                <w:sz w:val="17"/>
              </w:rPr>
              <w:t>(14,000)</w:t>
            </w:r>
          </w:p>
        </w:tc>
        <w:tc>
          <w:tcPr>
            <w:tcW w:type="dxa" w:w="2309"/>
            <w:shd w:val="clear" w:color="auto" w:fill="EAF1F4"/>
          </w:tcPr>
          <w:p>
            <w:pPr>
              <w:spacing w:after="50" w:before="50" w:line="252" w:lineRule="auto"/>
            </w:pPr>
            <w:r>
              <w:rPr>
                <w:sz w:val="17"/>
              </w:rPr>
              <w:t>(10,000)</w:t>
            </w:r>
          </w:p>
        </w:tc>
      </w:tr>
      <w:tr>
        <w:tc>
          <w:tcPr>
            <w:tcW w:type="dxa" w:w="4608"/>
          </w:tcPr>
          <w:p>
            <w:pPr>
              <w:spacing w:after="50" w:before="50" w:line="252" w:lineRule="auto"/>
            </w:pPr>
            <w:r>
              <w:rPr>
                <w:sz w:val="17"/>
              </w:rPr>
              <w:t>Programme management</w:t>
            </w:r>
          </w:p>
        </w:tc>
        <w:tc>
          <w:tcPr>
            <w:tcW w:type="dxa" w:w="2550"/>
          </w:tcPr>
          <w:p>
            <w:pPr>
              <w:spacing w:after="50" w:before="50" w:line="252" w:lineRule="auto"/>
            </w:pPr>
            <w:r>
              <w:rPr>
                <w:sz w:val="17"/>
              </w:rPr>
              <w:t>(16,000)</w:t>
            </w:r>
          </w:p>
        </w:tc>
        <w:tc>
          <w:tcPr>
            <w:tcW w:type="dxa" w:w="2309"/>
          </w:tcPr>
          <w:p>
            <w:pPr>
              <w:spacing w:after="50" w:before="50" w:line="252" w:lineRule="auto"/>
            </w:pPr>
            <w:r>
              <w:rPr>
                <w:sz w:val="17"/>
              </w:rPr>
              <w:t>(10,000)</w:t>
            </w:r>
          </w:p>
        </w:tc>
      </w:tr>
      <w:tr>
        <w:tc>
          <w:tcPr>
            <w:tcW w:type="dxa" w:w="4608"/>
            <w:shd w:val="clear" w:color="auto" w:fill="EAF1F4"/>
          </w:tcPr>
          <w:p>
            <w:pPr>
              <w:spacing w:after="50" w:before="50" w:line="252" w:lineRule="auto"/>
            </w:pPr>
            <w:r>
              <w:rPr>
                <w:b/>
                <w:sz w:val="17"/>
              </w:rPr>
              <w:t>Contribution</w:t>
            </w:r>
          </w:p>
        </w:tc>
        <w:tc>
          <w:tcPr>
            <w:tcW w:type="dxa" w:w="2550"/>
            <w:shd w:val="clear" w:color="auto" w:fill="EAF1F4"/>
          </w:tcPr>
          <w:p>
            <w:pPr>
              <w:spacing w:after="50" w:before="50" w:line="252" w:lineRule="auto"/>
            </w:pPr>
            <w:r>
              <w:rPr>
                <w:b/>
                <w:sz w:val="17"/>
              </w:rPr>
              <w:t>1,14,000</w:t>
            </w:r>
          </w:p>
        </w:tc>
        <w:tc>
          <w:tcPr>
            <w:tcW w:type="dxa" w:w="2309"/>
            <w:shd w:val="clear" w:color="auto" w:fill="EAF1F4"/>
          </w:tcPr>
          <w:p>
            <w:pPr>
              <w:spacing w:after="50" w:before="50" w:line="252" w:lineRule="auto"/>
            </w:pPr>
            <w:r>
              <w:rPr>
                <w:b/>
                <w:sz w:val="17"/>
              </w:rPr>
              <w:t>52,000</w:t>
            </w:r>
          </w:p>
        </w:tc>
      </w:tr>
      <w:tr>
        <w:tc>
          <w:tcPr>
            <w:tcW w:type="dxa" w:w="4608"/>
          </w:tcPr>
          <w:p>
            <w:pPr>
              <w:spacing w:after="50" w:before="50" w:line="252" w:lineRule="auto"/>
            </w:pPr>
            <w:r>
              <w:rPr>
                <w:b/>
                <w:sz w:val="17"/>
              </w:rPr>
              <w:t>Margin</w:t>
            </w:r>
          </w:p>
        </w:tc>
        <w:tc>
          <w:tcPr>
            <w:tcW w:type="dxa" w:w="2550"/>
          </w:tcPr>
          <w:p>
            <w:pPr>
              <w:spacing w:after="50" w:before="50" w:line="252" w:lineRule="auto"/>
            </w:pPr>
            <w:r>
              <w:rPr>
                <w:b/>
                <w:sz w:val="17"/>
              </w:rPr>
              <w:t>31.7%</w:t>
            </w:r>
          </w:p>
        </w:tc>
        <w:tc>
          <w:tcPr>
            <w:tcW w:type="dxa" w:w="2309"/>
          </w:tcPr>
          <w:p>
            <w:pPr>
              <w:spacing w:after="50" w:before="50" w:line="252" w:lineRule="auto"/>
            </w:pPr>
            <w:r>
              <w:rPr>
                <w:b/>
                <w:sz w:val="17"/>
              </w:rPr>
              <w:t>28.9%</w:t>
            </w:r>
          </w:p>
        </w:tc>
      </w:tr>
    </w:tbl>
    <w:p>
      <w:pPr>
        <w:spacing w:after="80" w:before="0"/>
      </w:pPr>
    </w:p>
    <w:p>
      <w:r>
        <w:rPr>
          <w:b/>
        </w:rPr>
        <w:t>Why it matters more than the margin suggests:</w:t>
      </w:r>
      <w:r>
        <w:t xml:space="preserve"> it is recurring, it renews with almost no effort, it is not seasonal, it needs no bench, and it produces the relationship through which everything else is later sold. </w:t>
      </w:r>
      <w:r>
        <w:rPr>
          <w:b/>
        </w:rPr>
        <w:t>Ten ADV-A retainers is ₹11.4 lakh of contribution and roughly one senior person's time.</w:t>
      </w:r>
    </w:p>
    <w:p>
      <w:pPr>
        <w:spacing w:before="80" w:after="160"/>
        <w:pBdr>
          <w:bottom w:val="single" w:sz="6" w:space="1" w:color="C9D6DE"/>
        </w:pBdr>
      </w:pPr>
    </w:p>
    <w:p>
      <w:pPr>
        <w:pStyle w:val="Heading1"/>
        <w:pBdr>
          <w:bottom w:val="single" w:sz="8" w:space="4" w:color="C9D6DE"/>
        </w:pBdr>
      </w:pPr>
      <w:r>
        <w:t>5. The approach</w:t>
      </w:r>
    </w:p>
    <w:p>
      <w:pPr>
        <w:pStyle w:val="Heading2"/>
      </w:pPr>
      <w:r>
        <w:t>5.1 Who to write to</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783"/>
            <w:shd w:val="clear" w:color="auto" w:fill="10375C"/>
          </w:tcPr>
          <w:p>
            <w:pPr>
              <w:spacing w:after="50" w:before="50"/>
            </w:pPr>
            <w:r>
              <w:rPr>
                <w:b/>
                <w:color w:val="FFFFFF"/>
                <w:sz w:val="17"/>
              </w:rPr>
              <w:t>Institution type</w:t>
            </w:r>
          </w:p>
        </w:tc>
        <w:tc>
          <w:tcPr>
            <w:tcW w:type="dxa" w:w="3305"/>
            <w:shd w:val="clear" w:color="auto" w:fill="10375C"/>
          </w:tcPr>
          <w:p>
            <w:pPr>
              <w:spacing w:after="50" w:before="50"/>
            </w:pPr>
            <w:r>
              <w:rPr>
                <w:b/>
                <w:color w:val="FFFFFF"/>
                <w:sz w:val="17"/>
              </w:rPr>
              <w:t>Address to</w:t>
            </w:r>
          </w:p>
        </w:tc>
        <w:tc>
          <w:tcPr>
            <w:tcW w:type="dxa" w:w="3379"/>
            <w:shd w:val="clear" w:color="auto" w:fill="10375C"/>
          </w:tcPr>
          <w:p>
            <w:pPr>
              <w:spacing w:after="50" w:before="50"/>
            </w:pPr>
            <w:r>
              <w:rPr>
                <w:b/>
                <w:color w:val="FFFFFF"/>
                <w:sz w:val="17"/>
              </w:rPr>
              <w:t>Copy</w:t>
            </w:r>
          </w:p>
        </w:tc>
      </w:tr>
      <w:tr>
        <w:tc>
          <w:tcPr>
            <w:tcW w:type="dxa" w:w="2783"/>
          </w:tcPr>
          <w:p>
            <w:pPr>
              <w:spacing w:after="50" w:before="50" w:line="252" w:lineRule="auto"/>
            </w:pPr>
            <w:r>
              <w:rPr>
                <w:sz w:val="17"/>
              </w:rPr>
              <w:t>University</w:t>
            </w:r>
          </w:p>
        </w:tc>
        <w:tc>
          <w:tcPr>
            <w:tcW w:type="dxa" w:w="3305"/>
          </w:tcPr>
          <w:p>
            <w:pPr>
              <w:spacing w:after="50" w:before="50" w:line="252" w:lineRule="auto"/>
            </w:pPr>
            <w:r>
              <w:rPr>
                <w:b/>
                <w:sz w:val="17"/>
              </w:rPr>
              <w:t>Registrar</w:t>
            </w:r>
          </w:p>
        </w:tc>
        <w:tc>
          <w:tcPr>
            <w:tcW w:type="dxa" w:w="3379"/>
          </w:tcPr>
          <w:p>
            <w:pPr>
              <w:spacing w:after="50" w:before="50" w:line="252" w:lineRule="auto"/>
            </w:pPr>
            <w:r>
              <w:rPr>
                <w:sz w:val="17"/>
              </w:rPr>
              <w:t>Vice-Chancellor</w:t>
            </w:r>
          </w:p>
        </w:tc>
      </w:tr>
      <w:tr>
        <w:tc>
          <w:tcPr>
            <w:tcW w:type="dxa" w:w="2783"/>
            <w:shd w:val="clear" w:color="auto" w:fill="EAF1F4"/>
          </w:tcPr>
          <w:p>
            <w:pPr>
              <w:spacing w:after="50" w:before="50" w:line="252" w:lineRule="auto"/>
            </w:pPr>
            <w:r>
              <w:rPr>
                <w:sz w:val="17"/>
              </w:rPr>
              <w:t>Deemed university</w:t>
            </w:r>
          </w:p>
        </w:tc>
        <w:tc>
          <w:tcPr>
            <w:tcW w:type="dxa" w:w="3305"/>
            <w:shd w:val="clear" w:color="auto" w:fill="EAF1F4"/>
          </w:tcPr>
          <w:p>
            <w:pPr>
              <w:spacing w:after="50" w:before="50" w:line="252" w:lineRule="auto"/>
            </w:pPr>
            <w:r>
              <w:rPr>
                <w:sz w:val="17"/>
              </w:rPr>
              <w:t>Registrar</w:t>
            </w:r>
          </w:p>
        </w:tc>
        <w:tc>
          <w:tcPr>
            <w:tcW w:type="dxa" w:w="3379"/>
            <w:shd w:val="clear" w:color="auto" w:fill="EAF1F4"/>
          </w:tcPr>
          <w:p>
            <w:pPr>
              <w:spacing w:after="50" w:before="50" w:line="252" w:lineRule="auto"/>
            </w:pPr>
            <w:r>
              <w:rPr>
                <w:sz w:val="17"/>
              </w:rPr>
              <w:t>Vice-Chancellor</w:t>
            </w:r>
          </w:p>
        </w:tc>
      </w:tr>
      <w:tr>
        <w:tc>
          <w:tcPr>
            <w:tcW w:type="dxa" w:w="2783"/>
          </w:tcPr>
          <w:p>
            <w:pPr>
              <w:spacing w:after="50" w:before="50" w:line="252" w:lineRule="auto"/>
            </w:pPr>
            <w:r>
              <w:rPr>
                <w:sz w:val="17"/>
              </w:rPr>
              <w:t>Autonomous college</w:t>
            </w:r>
          </w:p>
        </w:tc>
        <w:tc>
          <w:tcPr>
            <w:tcW w:type="dxa" w:w="3305"/>
          </w:tcPr>
          <w:p>
            <w:pPr>
              <w:spacing w:after="50" w:before="50" w:line="252" w:lineRule="auto"/>
            </w:pPr>
            <w:r>
              <w:rPr>
                <w:sz w:val="17"/>
              </w:rPr>
              <w:t>Principal</w:t>
            </w:r>
          </w:p>
        </w:tc>
        <w:tc>
          <w:tcPr>
            <w:tcW w:type="dxa" w:w="3379"/>
          </w:tcPr>
          <w:p>
            <w:pPr>
              <w:spacing w:after="50" w:before="50" w:line="252" w:lineRule="auto"/>
            </w:pPr>
            <w:r>
              <w:rPr>
                <w:sz w:val="17"/>
              </w:rPr>
              <w:t>Governing body chair, if known</w:t>
            </w:r>
          </w:p>
        </w:tc>
      </w:tr>
      <w:tr>
        <w:tc>
          <w:tcPr>
            <w:tcW w:type="dxa" w:w="2783"/>
            <w:shd w:val="clear" w:color="auto" w:fill="EAF1F4"/>
          </w:tcPr>
          <w:p>
            <w:pPr>
              <w:spacing w:after="50" w:before="50" w:line="252" w:lineRule="auto"/>
            </w:pPr>
            <w:r>
              <w:rPr>
                <w:sz w:val="17"/>
              </w:rPr>
              <w:t>Large private group</w:t>
            </w:r>
          </w:p>
        </w:tc>
        <w:tc>
          <w:tcPr>
            <w:tcW w:type="dxa" w:w="3305"/>
            <w:shd w:val="clear" w:color="auto" w:fill="EAF1F4"/>
          </w:tcPr>
          <w:p>
            <w:pPr>
              <w:spacing w:after="50" w:before="50" w:line="252" w:lineRule="auto"/>
            </w:pPr>
            <w:r>
              <w:rPr>
                <w:sz w:val="17"/>
              </w:rPr>
              <w:t>Registrar of the named institution</w:t>
            </w:r>
          </w:p>
        </w:tc>
        <w:tc>
          <w:tcPr>
            <w:tcW w:type="dxa" w:w="3379"/>
            <w:shd w:val="clear" w:color="auto" w:fill="EAF1F4"/>
          </w:tcPr>
          <w:p>
            <w:pPr>
              <w:spacing w:after="50" w:before="50" w:line="252" w:lineRule="auto"/>
            </w:pPr>
            <w:r>
              <w:rPr>
                <w:sz w:val="17"/>
              </w:rPr>
              <w:t>Group compliance head</w:t>
            </w:r>
          </w:p>
        </w:tc>
      </w:tr>
    </w:tbl>
    <w:p>
      <w:pPr>
        <w:spacing w:after="80" w:before="0"/>
      </w:pPr>
    </w:p>
    <w:p>
      <w:r>
        <w:rPr>
          <w:b/>
        </w:rPr>
        <w:t>Do not route this through the Dean of Law.</w:t>
      </w:r>
      <w:r>
        <w:t xml:space="preserve"> They do not own it, and it delays the conversation by a term.</w:t>
      </w:r>
    </w:p>
    <w:p>
      <w:pPr>
        <w:pStyle w:val="Heading2"/>
      </w:pPr>
      <w:r>
        <w:t>5.2 The approach letter</w:t>
      </w:r>
    </w:p>
    <w:p>
      <w:r>
        <w:rPr>
          <w:i/>
        </w:rPr>
        <w:t>Issue on Equator Resolution letterhead, not Institute letterhead — this is a services engagement.</w:t>
      </w:r>
    </w:p>
    <w:p>
      <w:r>
        <w:t>Ref: [●] · Date: [●]</w:t>
      </w:r>
    </w:p>
    <w:p>
      <w:r>
        <w:t>To the Registrar, [●] University</w:t>
      </w:r>
    </w:p>
    <w:p>
      <w:r>
        <w:rPr>
          <w:b/>
        </w:rPr>
        <w:t>Subject: Support for the Students' Grievance Redressal Committee and Ombudsperson framework</w:t>
      </w:r>
    </w:p>
    <w:p>
      <w:r>
        <w:t>Respected Sir / Madam,</w:t>
      </w:r>
    </w:p>
    <w:p>
      <w:r>
        <w:t>The University Grants Commission (Redressal of Grievances of Students) Regulations, 2023 require every institution to constitute Students' Grievance Redressal Committees and to appoint an Ombudsperson, with prescribed composition and process, to hear grievances concerning admissions, fees, examinations, scholarships, harassment and allied matters. The Sexual Harassment of Women at Workplace (Prevention, Prohibition and Redressal) Act, 2013 separately requires an Internal Committee including an external member.</w:t>
      </w:r>
    </w:p>
    <w:p>
      <w:r>
        <w:t>In our experience institutions constitute these bodies promptly and then find that the harder part follows — a written procedure that will withstand scrutiny, members trained to conduct a hearing and record reasons, a register that can be produced to an accreditation team, and someone to ask when a difficult matter arises at short notice.</w:t>
      </w:r>
    </w:p>
    <w:p>
      <w:r>
        <w:rPr>
          <w:b/>
        </w:rPr>
        <w:t>Equator Resolution is an institutional dispute-resolution provider.</w:t>
      </w:r>
      <w:r>
        <w:t xml:space="preserve"> We administer mediation, conciliation and arbitration across commercial, financial, workplace, insurance and family matters. Grievance procedure design, committee training and the supply of trained external members is work we do because it is what we do everywhere else.</w:t>
      </w:r>
    </w:p>
    <w:p>
      <w:r>
        <w:t xml:space="preserve">We would be glad to offer, </w:t>
      </w:r>
      <w:r>
        <w:rPr>
          <w:b/>
        </w:rPr>
        <w:t>without cost or obligation</w:t>
      </w:r>
      <w:r>
        <w:t>, a short written assessment of the University's current position against the 2023 Regulations, based on a thirty-minute conversation with whoever administers the process. If it is useful, we can discuss support. If not, the University keeps the assessment.</w:t>
      </w:r>
    </w:p>
    <w:p>
      <w:r>
        <w:t>May I ask to whom I should address that request?</w:t>
      </w:r>
    </w:p>
    <w:p>
      <w:r>
        <w:t>With respect,</w:t>
      </w:r>
    </w:p>
    <w:p>
      <w:r>
        <w:rPr>
          <w:b/>
        </w:rPr>
        <w:t>[●]</w:t>
      </w:r>
    </w:p>
    <w:p>
      <w:r>
        <w:t>[●], Equator Resolution</w:t>
      </w:r>
    </w:p>
    <w:p>
      <w:r>
        <w:t>[●] · [●]</w:t>
      </w:r>
    </w:p>
    <w:p>
      <w:r>
        <w:rPr>
          <w:i/>
        </w:rPr>
        <w:t>Encl.: Note on the 2023 Regulations and what institutions are commonly asked for</w:t>
      </w:r>
    </w:p>
    <w:p>
      <w:pPr>
        <w:pStyle w:val="Heading2"/>
      </w:pPr>
      <w:r>
        <w:t>5.3 Why the free diagnostic works</w:t>
      </w:r>
    </w:p>
    <w:p>
      <w:r>
        <w:t xml:space="preserve">It is the offer that converts. It is short, it costs Equator about two hours, it is genuinely useful whether or not anything follows, and it does the one thing a sales letter cannot: </w:t>
      </w:r>
      <w:r>
        <w:rPr>
          <w:b/>
        </w:rPr>
        <w:t>it tells the Registrar something about their own institution that they did not know.</w:t>
      </w:r>
    </w:p>
    <w:p>
      <w:r>
        <w:t>Almost every diagnostic surfaces at least one gap the institution was not aware of. That is the meeting.</w:t>
      </w:r>
    </w:p>
    <w:p>
      <w:pPr>
        <w:spacing w:before="80" w:after="160"/>
        <w:pBdr>
          <w:bottom w:val="single" w:sz="6" w:space="1" w:color="C9D6DE"/>
        </w:pBdr>
      </w:pPr>
    </w:p>
    <w:p>
      <w:pPr>
        <w:pStyle w:val="Heading1"/>
        <w:pBdr>
          <w:bottom w:val="single" w:sz="8" w:space="4" w:color="C9D6DE"/>
        </w:pBdr>
      </w:pPr>
      <w:r>
        <w:t>6. The diagnostic</w:t>
      </w:r>
    </w:p>
    <w:p>
      <w:pPr>
        <w:pStyle w:val="Heading2"/>
      </w:pPr>
      <w:r>
        <w:t>6.1 The thirty-minute conversation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Question</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Is the SGRC constituted? When did it last meet, and is there a record?</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Is an Ombudsperson appointed? Who, and when?</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Does the composition meet the representation requirements?</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Is there a written grievance procedure? May I see it?</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How does a student actually lodge a grievance — form, portal, email, in person?</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Is there a register of grievances received and disposed?</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What timelines apply, and are they met?</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Have members been trained? By whom, when?</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Is the appeal route to the Ombudsperson documented and communicated to students?</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Is the Internal Committee constituted, and is there a qualified external member?</w:t>
            </w:r>
          </w:p>
        </w:tc>
      </w:tr>
      <w:tr>
        <w:tc>
          <w:tcPr>
            <w:tcW w:type="dxa" w:w="861"/>
          </w:tcPr>
          <w:p>
            <w:pPr>
              <w:spacing w:after="50" w:before="50" w:line="252" w:lineRule="auto"/>
            </w:pPr>
            <w:r>
              <w:rPr>
                <w:sz w:val="17"/>
              </w:rPr>
              <w:t>11</w:t>
            </w:r>
          </w:p>
        </w:tc>
        <w:tc>
          <w:tcPr>
            <w:tcW w:type="dxa" w:w="8607"/>
          </w:tcPr>
          <w:p>
            <w:pPr>
              <w:spacing w:after="50" w:before="50" w:line="252" w:lineRule="auto"/>
            </w:pPr>
            <w:r>
              <w:rPr>
                <w:sz w:val="17"/>
              </w:rPr>
              <w:t>What would you produce if an accreditation team asked to see all of this tomorrow?</w:t>
            </w:r>
          </w:p>
        </w:tc>
      </w:tr>
      <w:tr>
        <w:tc>
          <w:tcPr>
            <w:tcW w:type="dxa" w:w="861"/>
            <w:shd w:val="clear" w:color="auto" w:fill="EAF1F4"/>
          </w:tcPr>
          <w:p>
            <w:pPr>
              <w:spacing w:after="50" w:before="50" w:line="252" w:lineRule="auto"/>
            </w:pPr>
            <w:r>
              <w:rPr>
                <w:sz w:val="17"/>
              </w:rPr>
              <w:t>12</w:t>
            </w:r>
          </w:p>
        </w:tc>
        <w:tc>
          <w:tcPr>
            <w:tcW w:type="dxa" w:w="8607"/>
            <w:shd w:val="clear" w:color="auto" w:fill="EAF1F4"/>
          </w:tcPr>
          <w:p>
            <w:pPr>
              <w:spacing w:after="50" w:before="50" w:line="252" w:lineRule="auto"/>
            </w:pPr>
            <w:r>
              <w:rPr>
                <w:sz w:val="17"/>
              </w:rPr>
              <w:t>What is the hardest matter you have had to handle, and what made it hard?</w:t>
            </w:r>
          </w:p>
        </w:tc>
      </w:tr>
    </w:tbl>
    <w:p>
      <w:pPr>
        <w:spacing w:after="80" w:before="0"/>
      </w:pPr>
    </w:p>
    <w:p>
      <w:r>
        <w:rPr>
          <w:b/>
        </w:rPr>
        <w:t>Question 11 is the one that sells.</w:t>
      </w:r>
      <w:r>
        <w:t xml:space="preserve"> Question 12 is the one that builds the relationship.</w:t>
      </w:r>
    </w:p>
    <w:p>
      <w:pPr>
        <w:pStyle w:val="Heading2"/>
      </w:pPr>
      <w:r>
        <w:t>6.2 The written assessment — two pages, delivered within five working days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Section</w:t>
            </w:r>
          </w:p>
        </w:tc>
        <w:tc>
          <w:tcPr>
            <w:tcW w:type="dxa" w:w="8607"/>
            <w:shd w:val="clear" w:color="auto" w:fill="10375C"/>
          </w:tcPr>
          <w:p>
            <w:pPr>
              <w:spacing w:after="50" w:before="50"/>
            </w:pPr>
            <w:r>
              <w:rPr>
                <w:b/>
                <w:color w:val="FFFFFF"/>
                <w:sz w:val="17"/>
              </w:rPr>
              <w:t>Content</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What the Regulations require, in a table</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The University's current position against each requirement — </w:t>
            </w:r>
            <w:r>
              <w:rPr>
                <w:b/>
                <w:sz w:val="17"/>
              </w:rPr>
              <w:t>Met / Partly met / Not evidenced</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Three observations, stated neutrally and without alarm</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What we would suggest, in order of priority, whether or not Equator is engaged</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How we could help, if useful — one short paragraph, not a proposal</w:t>
            </w:r>
          </w:p>
        </w:tc>
      </w:tr>
    </w:tbl>
    <w:p>
      <w:pPr>
        <w:spacing w:after="80" w:before="0"/>
      </w:pPr>
    </w:p>
    <w:p>
      <w:r>
        <w:rPr>
          <w:b/>
        </w:rPr>
        <w:t>Tone discipline.</w:t>
      </w:r>
      <w:r>
        <w:t xml:space="preserve"> Never alarmist, never implying the institution is exposed, never mentioning penalties. An assessment that reads as a threat gets filed. One that reads as a colleague's note gets a meeting.</w:t>
      </w:r>
    </w:p>
    <w:p>
      <w:pPr>
        <w:spacing w:before="80" w:after="160"/>
        <w:pBdr>
          <w:bottom w:val="single" w:sz="6" w:space="1" w:color="C9D6DE"/>
        </w:pBdr>
      </w:pPr>
    </w:p>
    <w:p>
      <w:pPr>
        <w:pStyle w:val="Heading1"/>
        <w:pBdr>
          <w:bottom w:val="single" w:sz="8" w:space="4" w:color="C9D6DE"/>
        </w:pBdr>
      </w:pPr>
      <w:r>
        <w:t>7. Objection handling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264"/>
            <w:shd w:val="clear" w:color="auto" w:fill="10375C"/>
          </w:tcPr>
          <w:p>
            <w:pPr>
              <w:spacing w:after="50" w:before="50"/>
            </w:pPr>
            <w:r>
              <w:rPr>
                <w:b/>
                <w:color w:val="FFFFFF"/>
                <w:sz w:val="17"/>
              </w:rPr>
              <w:t>Objection</w:t>
            </w:r>
          </w:p>
        </w:tc>
        <w:tc>
          <w:tcPr>
            <w:tcW w:type="dxa" w:w="5203"/>
            <w:shd w:val="clear" w:color="auto" w:fill="10375C"/>
          </w:tcPr>
          <w:p>
            <w:pPr>
              <w:spacing w:after="50" w:before="50"/>
            </w:pPr>
            <w:r>
              <w:rPr>
                <w:b/>
                <w:color w:val="FFFFFF"/>
                <w:sz w:val="17"/>
              </w:rPr>
              <w:t>Response</w:t>
            </w:r>
          </w:p>
        </w:tc>
      </w:tr>
      <w:tr>
        <w:tc>
          <w:tcPr>
            <w:tcW w:type="dxa" w:w="4264"/>
          </w:tcPr>
          <w:p>
            <w:pPr>
              <w:spacing w:after="50" w:before="50" w:line="252" w:lineRule="auto"/>
            </w:pPr>
            <w:r>
              <w:rPr>
                <w:i/>
                <w:sz w:val="17"/>
              </w:rPr>
              <w:t>We already have a committee</w:t>
            </w:r>
          </w:p>
        </w:tc>
        <w:tc>
          <w:tcPr>
            <w:tcW w:type="dxa" w:w="5203"/>
          </w:tcPr>
          <w:p>
            <w:pPr>
              <w:spacing w:after="50" w:before="50" w:line="252" w:lineRule="auto"/>
            </w:pPr>
            <w:r>
              <w:rPr>
                <w:i/>
                <w:sz w:val="17"/>
              </w:rPr>
              <w:t>Most institutions do. The question we are usually asked is a different one — what would you produce if an accreditation team asked to see the procedure, the register and the training records tomorrow?</w:t>
            </w:r>
          </w:p>
        </w:tc>
      </w:tr>
      <w:tr>
        <w:tc>
          <w:tcPr>
            <w:tcW w:type="dxa" w:w="4264"/>
            <w:shd w:val="clear" w:color="auto" w:fill="EAF1F4"/>
          </w:tcPr>
          <w:p>
            <w:pPr>
              <w:spacing w:after="50" w:before="50" w:line="252" w:lineRule="auto"/>
            </w:pPr>
            <w:r>
              <w:rPr>
                <w:i/>
                <w:sz w:val="17"/>
              </w:rPr>
              <w:t>Our legal department handles this</w:t>
            </w:r>
          </w:p>
        </w:tc>
        <w:tc>
          <w:tcPr>
            <w:tcW w:type="dxa" w:w="5203"/>
            <w:shd w:val="clear" w:color="auto" w:fill="EAF1F4"/>
          </w:tcPr>
          <w:p>
            <w:pPr>
              <w:spacing w:after="50" w:before="50" w:line="252" w:lineRule="auto"/>
            </w:pPr>
            <w:r>
              <w:rPr>
                <w:i/>
                <w:sz w:val="17"/>
              </w:rPr>
              <w:t>They will handle the legal position well. What we add is process design and the training to run a hearing — which is dispute-resolution practice rather than legal advice, and it is a different skill.</w:t>
            </w:r>
          </w:p>
        </w:tc>
      </w:tr>
      <w:tr>
        <w:tc>
          <w:tcPr>
            <w:tcW w:type="dxa" w:w="4264"/>
          </w:tcPr>
          <w:p>
            <w:pPr>
              <w:spacing w:after="50" w:before="50" w:line="252" w:lineRule="auto"/>
            </w:pPr>
            <w:r>
              <w:rPr>
                <w:i/>
                <w:sz w:val="17"/>
              </w:rPr>
              <w:t>We have no budget for this</w:t>
            </w:r>
          </w:p>
        </w:tc>
        <w:tc>
          <w:tcPr>
            <w:tcW w:type="dxa" w:w="5203"/>
          </w:tcPr>
          <w:p>
            <w:pPr>
              <w:spacing w:after="50" w:before="50" w:line="252" w:lineRule="auto"/>
            </w:pPr>
            <w:r>
              <w:rPr>
                <w:i/>
                <w:sz w:val="17"/>
              </w:rPr>
              <w:t>Understood. The assessment is free and there is no obligation. If it is useful, we can talk about what a smaller engagement would look like — the standard retainer is a third of the comprehensive one.</w:t>
            </w:r>
          </w:p>
        </w:tc>
      </w:tr>
      <w:tr>
        <w:tc>
          <w:tcPr>
            <w:tcW w:type="dxa" w:w="4264"/>
            <w:shd w:val="clear" w:color="auto" w:fill="EAF1F4"/>
          </w:tcPr>
          <w:p>
            <w:pPr>
              <w:spacing w:after="50" w:before="50" w:line="252" w:lineRule="auto"/>
            </w:pPr>
            <w:r>
              <w:rPr>
                <w:i/>
                <w:sz w:val="17"/>
              </w:rPr>
              <w:t>Can you just supply an external IC member?</w:t>
            </w:r>
          </w:p>
        </w:tc>
        <w:tc>
          <w:tcPr>
            <w:tcW w:type="dxa" w:w="5203"/>
            <w:shd w:val="clear" w:color="auto" w:fill="EAF1F4"/>
          </w:tcPr>
          <w:p>
            <w:pPr>
              <w:spacing w:after="50" w:before="50" w:line="252" w:lineRule="auto"/>
            </w:pPr>
            <w:r>
              <w:rPr>
                <w:i/>
                <w:sz w:val="17"/>
              </w:rPr>
              <w:t>Yes, and we are glad to. It is ₹18,000 a sitting. Most institutions that start there ask us about the process within a year.</w:t>
            </w:r>
          </w:p>
        </w:tc>
      </w:tr>
      <w:tr>
        <w:tc>
          <w:tcPr>
            <w:tcW w:type="dxa" w:w="4264"/>
          </w:tcPr>
          <w:p>
            <w:pPr>
              <w:spacing w:after="50" w:before="50" w:line="252" w:lineRule="auto"/>
            </w:pPr>
            <w:r>
              <w:rPr>
                <w:i/>
                <w:sz w:val="17"/>
              </w:rPr>
              <w:t>Is this confidential?</w:t>
            </w:r>
          </w:p>
        </w:tc>
        <w:tc>
          <w:tcPr>
            <w:tcW w:type="dxa" w:w="5203"/>
          </w:tcPr>
          <w:p>
            <w:pPr>
              <w:spacing w:after="50" w:before="50" w:line="252" w:lineRule="auto"/>
            </w:pPr>
            <w:r>
              <w:rPr>
                <w:i/>
                <w:sz w:val="17"/>
              </w:rPr>
              <w:t>Entirely. We see no grievance file unless you ask us to. Our engagement letter deals with confidentiality expressly, and we would expect your legal team to review it.</w:t>
            </w:r>
          </w:p>
        </w:tc>
      </w:tr>
      <w:tr>
        <w:tc>
          <w:tcPr>
            <w:tcW w:type="dxa" w:w="4264"/>
            <w:shd w:val="clear" w:color="auto" w:fill="EAF1F4"/>
          </w:tcPr>
          <w:p>
            <w:pPr>
              <w:spacing w:after="50" w:before="50" w:line="252" w:lineRule="auto"/>
            </w:pPr>
            <w:r>
              <w:rPr>
                <w:i/>
                <w:sz w:val="17"/>
              </w:rPr>
              <w:t>Are you going to tell us we are non-compliant?</w:t>
            </w:r>
          </w:p>
        </w:tc>
        <w:tc>
          <w:tcPr>
            <w:tcW w:type="dxa" w:w="5203"/>
            <w:shd w:val="clear" w:color="auto" w:fill="EAF1F4"/>
          </w:tcPr>
          <w:p>
            <w:pPr>
              <w:spacing w:after="50" w:before="50" w:line="252" w:lineRule="auto"/>
            </w:pPr>
            <w:r>
              <w:rPr>
                <w:i/>
                <w:sz w:val="17"/>
              </w:rPr>
              <w:t>No. The assessment records what is in place and what is not evidenced, in your words, for your use. We do not report to anyone and we do not publish anything.</w:t>
            </w:r>
          </w:p>
        </w:tc>
      </w:tr>
      <w:tr>
        <w:tc>
          <w:tcPr>
            <w:tcW w:type="dxa" w:w="4264"/>
          </w:tcPr>
          <w:p>
            <w:pPr>
              <w:spacing w:after="50" w:before="50" w:line="252" w:lineRule="auto"/>
            </w:pPr>
            <w:r>
              <w:rPr>
                <w:i/>
                <w:sz w:val="17"/>
              </w:rPr>
              <w:t>We would want you to investigate a matter</w:t>
            </w:r>
          </w:p>
        </w:tc>
        <w:tc>
          <w:tcPr>
            <w:tcW w:type="dxa" w:w="5203"/>
          </w:tcPr>
          <w:p>
            <w:pPr>
              <w:spacing w:after="50" w:before="50" w:line="252" w:lineRule="auto"/>
            </w:pPr>
            <w:r>
              <w:rPr>
                <w:i/>
                <w:sz w:val="17"/>
              </w:rPr>
              <w:t>That is a separate engagement and we would document it separately, because an adviser who also investigates has a conflict. We can do either — not both on the same matter.</w:t>
            </w:r>
          </w:p>
        </w:tc>
      </w:tr>
    </w:tbl>
    <w:p>
      <w:pPr>
        <w:spacing w:after="80" w:before="0"/>
      </w:pPr>
    </w:p>
    <w:p>
      <w:pPr>
        <w:spacing w:before="80" w:after="160"/>
        <w:pBdr>
          <w:bottom w:val="single" w:sz="6" w:space="1" w:color="C9D6DE"/>
        </w:pBdr>
      </w:pPr>
    </w:p>
    <w:p>
      <w:pPr>
        <w:pStyle w:val="Heading1"/>
        <w:pBdr>
          <w:bottom w:val="single" w:sz="8" w:space="4" w:color="C9D6DE"/>
        </w:pBdr>
      </w:pPr>
      <w:r>
        <w:t>8. Delivery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74"/>
            <w:shd w:val="clear" w:color="auto" w:fill="10375C"/>
          </w:tcPr>
          <w:p>
            <w:pPr>
              <w:spacing w:after="50" w:before="50"/>
            </w:pPr>
            <w:r>
              <w:rPr>
                <w:b/>
                <w:color w:val="FFFFFF"/>
                <w:sz w:val="17"/>
              </w:rPr>
              <w:t>Element</w:t>
            </w:r>
          </w:p>
        </w:tc>
        <w:tc>
          <w:tcPr>
            <w:tcW w:type="dxa" w:w="7494"/>
            <w:shd w:val="clear" w:color="auto" w:fill="10375C"/>
          </w:tcPr>
          <w:p>
            <w:pPr>
              <w:spacing w:after="50" w:before="50"/>
            </w:pPr>
            <w:r>
              <w:rPr>
                <w:b/>
                <w:color w:val="FFFFFF"/>
                <w:sz w:val="17"/>
              </w:rPr>
              <w:t>Standard</w:t>
            </w:r>
          </w:p>
        </w:tc>
      </w:tr>
      <w:tr>
        <w:tc>
          <w:tcPr>
            <w:tcW w:type="dxa" w:w="1974"/>
          </w:tcPr>
          <w:p>
            <w:pPr>
              <w:spacing w:after="50" w:before="50" w:line="252" w:lineRule="auto"/>
            </w:pPr>
            <w:r>
              <w:rPr>
                <w:sz w:val="17"/>
              </w:rPr>
              <w:t>Lead consultant</w:t>
            </w:r>
          </w:p>
        </w:tc>
        <w:tc>
          <w:tcPr>
            <w:tcW w:type="dxa" w:w="7494"/>
          </w:tcPr>
          <w:p>
            <w:pPr>
              <w:spacing w:after="50" w:before="50" w:line="252" w:lineRule="auto"/>
            </w:pPr>
            <w:r>
              <w:rPr>
                <w:sz w:val="17"/>
              </w:rPr>
              <w:t>A senior neutral with workplace or institutional experience, not a junior</w:t>
            </w:r>
          </w:p>
        </w:tc>
      </w:tr>
      <w:tr>
        <w:tc>
          <w:tcPr>
            <w:tcW w:type="dxa" w:w="1974"/>
            <w:shd w:val="clear" w:color="auto" w:fill="EAF1F4"/>
          </w:tcPr>
          <w:p>
            <w:pPr>
              <w:spacing w:after="50" w:before="50" w:line="252" w:lineRule="auto"/>
            </w:pPr>
            <w:r>
              <w:rPr>
                <w:sz w:val="17"/>
              </w:rPr>
              <w:t>Diagnostic</w:t>
            </w:r>
          </w:p>
        </w:tc>
        <w:tc>
          <w:tcPr>
            <w:tcW w:type="dxa" w:w="7494"/>
            <w:shd w:val="clear" w:color="auto" w:fill="EAF1F4"/>
          </w:tcPr>
          <w:p>
            <w:pPr>
              <w:spacing w:after="50" w:before="50" w:line="252" w:lineRule="auto"/>
            </w:pPr>
            <w:r>
              <w:rPr>
                <w:sz w:val="17"/>
              </w:rPr>
              <w:t>Within 5 working days of the conversation</w:t>
            </w:r>
          </w:p>
        </w:tc>
      </w:tr>
      <w:tr>
        <w:tc>
          <w:tcPr>
            <w:tcW w:type="dxa" w:w="1974"/>
          </w:tcPr>
          <w:p>
            <w:pPr>
              <w:spacing w:after="50" w:before="50" w:line="252" w:lineRule="auto"/>
            </w:pPr>
            <w:r>
              <w:rPr>
                <w:sz w:val="17"/>
              </w:rPr>
              <w:t>Process design</w:t>
            </w:r>
          </w:p>
        </w:tc>
        <w:tc>
          <w:tcPr>
            <w:tcW w:type="dxa" w:w="7494"/>
          </w:tcPr>
          <w:p>
            <w:pPr>
              <w:spacing w:after="50" w:before="50" w:line="252" w:lineRule="auto"/>
            </w:pPr>
            <w:r>
              <w:rPr>
                <w:sz w:val="17"/>
              </w:rPr>
              <w:t>Within 30 days of engagement</w:t>
            </w:r>
          </w:p>
        </w:tc>
      </w:tr>
      <w:tr>
        <w:tc>
          <w:tcPr>
            <w:tcW w:type="dxa" w:w="1974"/>
            <w:shd w:val="clear" w:color="auto" w:fill="EAF1F4"/>
          </w:tcPr>
          <w:p>
            <w:pPr>
              <w:spacing w:after="50" w:before="50" w:line="252" w:lineRule="auto"/>
            </w:pPr>
            <w:r>
              <w:rPr>
                <w:sz w:val="17"/>
              </w:rPr>
              <w:t>Training</w:t>
            </w:r>
          </w:p>
        </w:tc>
        <w:tc>
          <w:tcPr>
            <w:tcW w:type="dxa" w:w="7494"/>
            <w:shd w:val="clear" w:color="auto" w:fill="EAF1F4"/>
          </w:tcPr>
          <w:p>
            <w:pPr>
              <w:spacing w:after="50" w:before="50" w:line="252" w:lineRule="auto"/>
            </w:pPr>
            <w:r>
              <w:rPr>
                <w:sz w:val="17"/>
              </w:rPr>
              <w:t>Within 60 days</w:t>
            </w:r>
          </w:p>
        </w:tc>
      </w:tr>
      <w:tr>
        <w:tc>
          <w:tcPr>
            <w:tcW w:type="dxa" w:w="1974"/>
          </w:tcPr>
          <w:p>
            <w:pPr>
              <w:spacing w:after="50" w:before="50" w:line="252" w:lineRule="auto"/>
            </w:pPr>
            <w:r>
              <w:rPr>
                <w:sz w:val="17"/>
              </w:rPr>
              <w:t>Review visits</w:t>
            </w:r>
          </w:p>
        </w:tc>
        <w:tc>
          <w:tcPr>
            <w:tcW w:type="dxa" w:w="7494"/>
          </w:tcPr>
          <w:p>
            <w:pPr>
              <w:spacing w:after="50" w:before="50" w:line="252" w:lineRule="auto"/>
            </w:pPr>
            <w:r>
              <w:rPr>
                <w:sz w:val="17"/>
              </w:rPr>
              <w:t>Quarterly (ADV-A) or half-yearly (ADV-B), diarised at engagement</w:t>
            </w:r>
          </w:p>
        </w:tc>
      </w:tr>
      <w:tr>
        <w:tc>
          <w:tcPr>
            <w:tcW w:type="dxa" w:w="1974"/>
            <w:shd w:val="clear" w:color="auto" w:fill="EAF1F4"/>
          </w:tcPr>
          <w:p>
            <w:pPr>
              <w:spacing w:after="50" w:before="50" w:line="252" w:lineRule="auto"/>
            </w:pPr>
            <w:r>
              <w:rPr>
                <w:sz w:val="17"/>
              </w:rPr>
              <w:t>Helpline</w:t>
            </w:r>
          </w:p>
        </w:tc>
        <w:tc>
          <w:tcPr>
            <w:tcW w:type="dxa" w:w="7494"/>
            <w:shd w:val="clear" w:color="auto" w:fill="EAF1F4"/>
          </w:tcPr>
          <w:p>
            <w:pPr>
              <w:spacing w:after="50" w:before="50" w:line="252" w:lineRule="auto"/>
            </w:pPr>
            <w:r>
              <w:rPr>
                <w:sz w:val="17"/>
              </w:rPr>
              <w:t>Named contact, 2-working-day response</w:t>
            </w:r>
          </w:p>
        </w:tc>
      </w:tr>
      <w:tr>
        <w:tc>
          <w:tcPr>
            <w:tcW w:type="dxa" w:w="1974"/>
          </w:tcPr>
          <w:p>
            <w:pPr>
              <w:spacing w:after="50" w:before="50" w:line="252" w:lineRule="auto"/>
            </w:pPr>
            <w:r>
              <w:rPr>
                <w:sz w:val="17"/>
              </w:rPr>
              <w:t>Annual report</w:t>
            </w:r>
          </w:p>
        </w:tc>
        <w:tc>
          <w:tcPr>
            <w:tcW w:type="dxa" w:w="7494"/>
          </w:tcPr>
          <w:p>
            <w:pPr>
              <w:spacing w:after="50" w:before="50" w:line="252" w:lineRule="auto"/>
            </w:pPr>
            <w:r>
              <w:rPr>
                <w:sz w:val="17"/>
              </w:rPr>
              <w:t>Within 30 days of the anniversary</w:t>
            </w:r>
          </w:p>
        </w:tc>
      </w:tr>
      <w:tr>
        <w:tc>
          <w:tcPr>
            <w:tcW w:type="dxa" w:w="1974"/>
            <w:shd w:val="clear" w:color="auto" w:fill="EAF1F4"/>
          </w:tcPr>
          <w:p>
            <w:pPr>
              <w:spacing w:after="50" w:before="50" w:line="252" w:lineRule="auto"/>
            </w:pPr>
            <w:r>
              <w:rPr>
                <w:sz w:val="17"/>
              </w:rPr>
              <w:t>Records</w:t>
            </w:r>
          </w:p>
        </w:tc>
        <w:tc>
          <w:tcPr>
            <w:tcW w:type="dxa" w:w="7494"/>
            <w:shd w:val="clear" w:color="auto" w:fill="EAF1F4"/>
          </w:tcPr>
          <w:p>
            <w:pPr>
              <w:spacing w:after="50" w:before="50" w:line="252" w:lineRule="auto"/>
            </w:pPr>
            <w:r>
              <w:rPr>
                <w:sz w:val="17"/>
              </w:rPr>
              <w:t xml:space="preserve">Held by the institution. </w:t>
            </w:r>
            <w:r>
              <w:rPr>
                <w:b/>
                <w:sz w:val="17"/>
              </w:rPr>
              <w:t>Equator retains no grievance file</w:t>
            </w:r>
            <w:r>
              <w:rPr>
                <w:sz w:val="17"/>
              </w:rPr>
              <w:t xml:space="preserve"> unless separately engaged</w:t>
            </w:r>
          </w:p>
        </w:tc>
      </w:tr>
    </w:tbl>
    <w:p>
      <w:pPr>
        <w:spacing w:after="80" w:before="0"/>
      </w:pPr>
    </w:p>
    <w:p>
      <w:pPr>
        <w:pStyle w:val="Heading2"/>
      </w:pPr>
      <w:r>
        <w:t>8.1 Confidentiality and conflict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Equator does not see a grievance file unless expressly asked to</w:t>
            </w:r>
          </w:p>
        </w:tc>
      </w:tr>
      <w:tr>
        <w:tc>
          <w:tcPr>
            <w:tcW w:type="dxa" w:w="9468"/>
            <w:shd w:val="clear" w:color="auto" w:fill="EAF1F4"/>
          </w:tcPr>
          <w:p>
            <w:pPr>
              <w:spacing w:after="50" w:before="50" w:line="252" w:lineRule="auto"/>
            </w:pPr>
            <w:r>
              <w:rPr>
                <w:sz w:val="17"/>
              </w:rPr>
              <w:t xml:space="preserve">Where Equator supplies an external IC member, that person acts in their own right and </w:t>
            </w:r>
            <w:r>
              <w:rPr>
                <w:b/>
                <w:sz w:val="17"/>
              </w:rPr>
              <w:t>does not report to Equator</w:t>
            </w:r>
            <w:r>
              <w:rPr>
                <w:sz w:val="17"/>
              </w:rPr>
              <w:t xml:space="preserve"> on the substance</w:t>
            </w:r>
          </w:p>
        </w:tc>
      </w:tr>
      <w:tr>
        <w:tc>
          <w:tcPr>
            <w:tcW w:type="dxa" w:w="9468"/>
          </w:tcPr>
          <w:p>
            <w:pPr>
              <w:spacing w:after="50" w:before="50" w:line="252" w:lineRule="auto"/>
            </w:pPr>
            <w:r>
              <w:rPr>
                <w:sz w:val="17"/>
              </w:rPr>
              <w:t>Equator will not act as adviser to the institution and as neutral in the same matter</w:t>
            </w:r>
          </w:p>
        </w:tc>
      </w:tr>
      <w:tr>
        <w:tc>
          <w:tcPr>
            <w:tcW w:type="dxa" w:w="9468"/>
            <w:shd w:val="clear" w:color="auto" w:fill="EAF1F4"/>
          </w:tcPr>
          <w:p>
            <w:pPr>
              <w:spacing w:after="50" w:before="50" w:line="252" w:lineRule="auto"/>
            </w:pPr>
            <w:r>
              <w:rPr>
                <w:sz w:val="17"/>
              </w:rPr>
              <w:t>Where a grievance involves Equator or any of its people, Equator withdraws immediately</w:t>
            </w:r>
          </w:p>
        </w:tc>
      </w:tr>
      <w:tr>
        <w:tc>
          <w:tcPr>
            <w:tcW w:type="dxa" w:w="9468"/>
          </w:tcPr>
          <w:p>
            <w:pPr>
              <w:spacing w:after="50" w:before="50" w:line="252" w:lineRule="auto"/>
            </w:pPr>
            <w:r>
              <w:rPr>
                <w:sz w:val="17"/>
              </w:rPr>
              <w:t>Nothing from an advisory engagement is used in teaching, research or marketing, in any form</w:t>
            </w:r>
          </w:p>
        </w:tc>
      </w:tr>
    </w:tbl>
    <w:p>
      <w:pPr>
        <w:spacing w:after="80" w:before="0"/>
      </w:pPr>
    </w:p>
    <w:p>
      <w:pPr>
        <w:spacing w:before="80" w:after="160"/>
        <w:pBdr>
          <w:bottom w:val="single" w:sz="6" w:space="1" w:color="C9D6DE"/>
        </w:pBdr>
      </w:pPr>
    </w:p>
    <w:p>
      <w:pPr>
        <w:pStyle w:val="Heading1"/>
        <w:pBdr>
          <w:bottom w:val="single" w:sz="8" w:space="4" w:color="C9D6DE"/>
        </w:pBdr>
      </w:pPr>
      <w:r>
        <w:t>9. Ninety-day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Week</w:t>
            </w:r>
          </w:p>
        </w:tc>
        <w:tc>
          <w:tcPr>
            <w:tcW w:type="dxa" w:w="6713"/>
            <w:shd w:val="clear" w:color="auto" w:fill="10375C"/>
          </w:tcPr>
          <w:p>
            <w:pPr>
              <w:spacing w:after="50" w:before="50"/>
            </w:pPr>
            <w:r>
              <w:rPr>
                <w:b/>
                <w:color w:val="FFFFFF"/>
                <w:sz w:val="17"/>
              </w:rPr>
              <w:t>Action</w:t>
            </w:r>
          </w:p>
        </w:tc>
        <w:tc>
          <w:tcPr>
            <w:tcW w:type="dxa" w:w="2084"/>
            <w:shd w:val="clear" w:color="auto" w:fill="10375C"/>
          </w:tcPr>
          <w:p>
            <w:pPr>
              <w:spacing w:after="50" w:before="50"/>
            </w:pPr>
            <w:r>
              <w:rPr>
                <w:b/>
                <w:color w:val="FFFFFF"/>
                <w:sz w:val="17"/>
              </w:rPr>
              <w:t>Target</w:t>
            </w:r>
          </w:p>
        </w:tc>
      </w:tr>
      <w:tr>
        <w:tc>
          <w:tcPr>
            <w:tcW w:type="dxa" w:w="850"/>
          </w:tcPr>
          <w:p>
            <w:pPr>
              <w:spacing w:after="50" w:before="50" w:line="252" w:lineRule="auto"/>
            </w:pPr>
            <w:r>
              <w:rPr>
                <w:sz w:val="17"/>
              </w:rPr>
              <w:t>1</w:t>
            </w:r>
          </w:p>
        </w:tc>
        <w:tc>
          <w:tcPr>
            <w:tcW w:type="dxa" w:w="6713"/>
          </w:tcPr>
          <w:p>
            <w:pPr>
              <w:spacing w:after="50" w:before="50" w:line="252" w:lineRule="auto"/>
            </w:pPr>
            <w:r>
              <w:rPr>
                <w:sz w:val="17"/>
              </w:rPr>
              <w:t>Collateral finalised — approach letter, the note on the Regulations, assessment template</w:t>
            </w:r>
          </w:p>
        </w:tc>
        <w:tc>
          <w:tcPr>
            <w:tcW w:type="dxa" w:w="2084"/>
          </w:tcPr>
          <w:p>
            <w:pPr>
              <w:spacing w:after="50" w:before="50" w:line="252" w:lineRule="auto"/>
            </w:pPr>
            <w:r>
              <w:rPr>
                <w:sz w:val="17"/>
              </w:rPr>
              <w:t>Complete</w:t>
            </w:r>
          </w:p>
        </w:tc>
      </w:tr>
      <w:tr>
        <w:tc>
          <w:tcPr>
            <w:tcW w:type="dxa" w:w="850"/>
            <w:shd w:val="clear" w:color="auto" w:fill="EAF1F4"/>
          </w:tcPr>
          <w:p>
            <w:pPr>
              <w:spacing w:after="50" w:before="50" w:line="252" w:lineRule="auto"/>
            </w:pPr>
            <w:r>
              <w:rPr>
                <w:sz w:val="17"/>
              </w:rPr>
              <w:t>2</w:t>
            </w:r>
          </w:p>
        </w:tc>
        <w:tc>
          <w:tcPr>
            <w:tcW w:type="dxa" w:w="6713"/>
            <w:shd w:val="clear" w:color="auto" w:fill="EAF1F4"/>
          </w:tcPr>
          <w:p>
            <w:pPr>
              <w:spacing w:after="50" w:before="50" w:line="252" w:lineRule="auto"/>
            </w:pPr>
            <w:r>
              <w:rPr>
                <w:sz w:val="17"/>
              </w:rPr>
              <w:t>First 10 Registrar approaches, per wave 1 in 01.8</w:t>
            </w:r>
          </w:p>
        </w:tc>
        <w:tc>
          <w:tcPr>
            <w:tcW w:type="dxa" w:w="2084"/>
            <w:shd w:val="clear" w:color="auto" w:fill="EAF1F4"/>
          </w:tcPr>
          <w:p>
            <w:pPr>
              <w:spacing w:after="50" w:before="50" w:line="252" w:lineRule="auto"/>
            </w:pPr>
            <w:r>
              <w:rPr>
                <w:sz w:val="17"/>
              </w:rPr>
              <w:t>10 letters</w:t>
            </w:r>
          </w:p>
        </w:tc>
      </w:tr>
      <w:tr>
        <w:tc>
          <w:tcPr>
            <w:tcW w:type="dxa" w:w="850"/>
          </w:tcPr>
          <w:p>
            <w:pPr>
              <w:spacing w:after="50" w:before="50" w:line="252" w:lineRule="auto"/>
            </w:pPr>
            <w:r>
              <w:rPr>
                <w:sz w:val="17"/>
              </w:rPr>
              <w:t>3–4</w:t>
            </w:r>
          </w:p>
        </w:tc>
        <w:tc>
          <w:tcPr>
            <w:tcW w:type="dxa" w:w="6713"/>
          </w:tcPr>
          <w:p>
            <w:pPr>
              <w:spacing w:after="50" w:before="50" w:line="252" w:lineRule="auto"/>
            </w:pPr>
            <w:r>
              <w:rPr>
                <w:sz w:val="17"/>
              </w:rPr>
              <w:t>Follow-up calls; diagnostic conversations scheduled</w:t>
            </w:r>
          </w:p>
        </w:tc>
        <w:tc>
          <w:tcPr>
            <w:tcW w:type="dxa" w:w="2084"/>
          </w:tcPr>
          <w:p>
            <w:pPr>
              <w:spacing w:after="50" w:before="50" w:line="252" w:lineRule="auto"/>
            </w:pPr>
            <w:r>
              <w:rPr>
                <w:sz w:val="17"/>
              </w:rPr>
              <w:t>6 conversations</w:t>
            </w:r>
          </w:p>
        </w:tc>
      </w:tr>
      <w:tr>
        <w:tc>
          <w:tcPr>
            <w:tcW w:type="dxa" w:w="850"/>
            <w:shd w:val="clear" w:color="auto" w:fill="EAF1F4"/>
          </w:tcPr>
          <w:p>
            <w:pPr>
              <w:spacing w:after="50" w:before="50" w:line="252" w:lineRule="auto"/>
            </w:pPr>
            <w:r>
              <w:rPr>
                <w:sz w:val="17"/>
              </w:rPr>
              <w:t>5–6</w:t>
            </w:r>
          </w:p>
        </w:tc>
        <w:tc>
          <w:tcPr>
            <w:tcW w:type="dxa" w:w="6713"/>
            <w:shd w:val="clear" w:color="auto" w:fill="EAF1F4"/>
          </w:tcPr>
          <w:p>
            <w:pPr>
              <w:spacing w:after="50" w:before="50" w:line="252" w:lineRule="auto"/>
            </w:pPr>
            <w:r>
              <w:rPr>
                <w:sz w:val="17"/>
              </w:rPr>
              <w:t>Diagnostics delivered</w:t>
            </w:r>
          </w:p>
        </w:tc>
        <w:tc>
          <w:tcPr>
            <w:tcW w:type="dxa" w:w="2084"/>
            <w:shd w:val="clear" w:color="auto" w:fill="EAF1F4"/>
          </w:tcPr>
          <w:p>
            <w:pPr>
              <w:spacing w:after="50" w:before="50" w:line="252" w:lineRule="auto"/>
            </w:pPr>
            <w:r>
              <w:rPr>
                <w:sz w:val="17"/>
              </w:rPr>
              <w:t>6 assessments</w:t>
            </w:r>
          </w:p>
        </w:tc>
      </w:tr>
      <w:tr>
        <w:tc>
          <w:tcPr>
            <w:tcW w:type="dxa" w:w="850"/>
          </w:tcPr>
          <w:p>
            <w:pPr>
              <w:spacing w:after="50" w:before="50" w:line="252" w:lineRule="auto"/>
            </w:pPr>
            <w:r>
              <w:rPr>
                <w:sz w:val="17"/>
              </w:rPr>
              <w:t>7–8</w:t>
            </w:r>
          </w:p>
        </w:tc>
        <w:tc>
          <w:tcPr>
            <w:tcW w:type="dxa" w:w="6713"/>
          </w:tcPr>
          <w:p>
            <w:pPr>
              <w:spacing w:after="50" w:before="50" w:line="252" w:lineRule="auto"/>
            </w:pPr>
            <w:r>
              <w:rPr>
                <w:sz w:val="17"/>
              </w:rPr>
              <w:t>Follow-up meetings</w:t>
            </w:r>
          </w:p>
        </w:tc>
        <w:tc>
          <w:tcPr>
            <w:tcW w:type="dxa" w:w="2084"/>
          </w:tcPr>
          <w:p>
            <w:pPr>
              <w:spacing w:after="50" w:before="50" w:line="252" w:lineRule="auto"/>
            </w:pPr>
            <w:r>
              <w:rPr>
                <w:sz w:val="17"/>
              </w:rPr>
              <w:t>4 meetings</w:t>
            </w:r>
          </w:p>
        </w:tc>
      </w:tr>
      <w:tr>
        <w:tc>
          <w:tcPr>
            <w:tcW w:type="dxa" w:w="850"/>
            <w:shd w:val="clear" w:color="auto" w:fill="EAF1F4"/>
          </w:tcPr>
          <w:p>
            <w:pPr>
              <w:spacing w:after="50" w:before="50" w:line="252" w:lineRule="auto"/>
            </w:pPr>
            <w:r>
              <w:rPr>
                <w:sz w:val="17"/>
              </w:rPr>
              <w:t>9–10</w:t>
            </w:r>
          </w:p>
        </w:tc>
        <w:tc>
          <w:tcPr>
            <w:tcW w:type="dxa" w:w="6713"/>
            <w:shd w:val="clear" w:color="auto" w:fill="EAF1F4"/>
          </w:tcPr>
          <w:p>
            <w:pPr>
              <w:spacing w:after="50" w:before="50" w:line="252" w:lineRule="auto"/>
            </w:pPr>
            <w:r>
              <w:rPr>
                <w:sz w:val="17"/>
              </w:rPr>
              <w:t>Proposals issued</w:t>
            </w:r>
          </w:p>
        </w:tc>
        <w:tc>
          <w:tcPr>
            <w:tcW w:type="dxa" w:w="2084"/>
            <w:shd w:val="clear" w:color="auto" w:fill="EAF1F4"/>
          </w:tcPr>
          <w:p>
            <w:pPr>
              <w:spacing w:after="50" w:before="50" w:line="252" w:lineRule="auto"/>
            </w:pPr>
            <w:r>
              <w:rPr>
                <w:sz w:val="17"/>
              </w:rPr>
              <w:t>4 proposals</w:t>
            </w:r>
          </w:p>
        </w:tc>
      </w:tr>
      <w:tr>
        <w:tc>
          <w:tcPr>
            <w:tcW w:type="dxa" w:w="850"/>
          </w:tcPr>
          <w:p>
            <w:pPr>
              <w:spacing w:after="50" w:before="50" w:line="252" w:lineRule="auto"/>
            </w:pPr>
            <w:r>
              <w:rPr>
                <w:sz w:val="17"/>
              </w:rPr>
              <w:t>11–12</w:t>
            </w:r>
          </w:p>
        </w:tc>
        <w:tc>
          <w:tcPr>
            <w:tcW w:type="dxa" w:w="6713"/>
          </w:tcPr>
          <w:p>
            <w:pPr>
              <w:spacing w:after="50" w:before="50" w:line="252" w:lineRule="auto"/>
            </w:pPr>
            <w:r>
              <w:rPr>
                <w:sz w:val="17"/>
              </w:rPr>
              <w:t>Engagements signed</w:t>
            </w:r>
          </w:p>
        </w:tc>
        <w:tc>
          <w:tcPr>
            <w:tcW w:type="dxa" w:w="2084"/>
          </w:tcPr>
          <w:p>
            <w:pPr>
              <w:spacing w:after="50" w:before="50" w:line="252" w:lineRule="auto"/>
            </w:pPr>
            <w:r>
              <w:rPr>
                <w:b/>
                <w:sz w:val="17"/>
              </w:rPr>
              <w:t>2 to 3 retainers</w:t>
            </w:r>
          </w:p>
        </w:tc>
      </w:tr>
    </w:tbl>
    <w:p>
      <w:pPr>
        <w:spacing w:after="80" w:before="0"/>
      </w:pPr>
    </w:p>
    <w:p>
      <w:r>
        <w:rPr>
          <w:b/>
        </w:rPr>
        <w:t>Expected conversion: 10 approaches → 6 diagnostics → 4 meetings → 2–3 retainers.</w:t>
      </w:r>
      <w:r>
        <w:t xml:space="preserve"> Plan at 4:1.</w:t>
      </w:r>
    </w:p>
    <w:p>
      <w:pPr>
        <w:spacing w:before="80" w:after="160"/>
        <w:pBdr>
          <w:bottom w:val="single" w:sz="6" w:space="1" w:color="C9D6DE"/>
        </w:pBdr>
      </w:pPr>
    </w:p>
    <w:p>
      <w:pPr>
        <w:pStyle w:val="Heading1"/>
        <w:pBdr>
          <w:bottom w:val="single" w:sz="8" w:space="4" w:color="C9D6DE"/>
        </w:pBdr>
      </w:pPr>
      <w:r>
        <w:t>10. Twelve-month targets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67"/>
            <w:shd w:val="clear" w:color="auto" w:fill="10375C"/>
          </w:tcPr>
          <w:p>
            <w:pPr>
              <w:spacing w:after="50" w:before="50"/>
            </w:pPr>
            <w:r>
              <w:rPr>
                <w:b/>
                <w:color w:val="FFFFFF"/>
                <w:sz w:val="17"/>
              </w:rPr>
              <w:t>Measure</w:t>
            </w:r>
          </w:p>
        </w:tc>
        <w:tc>
          <w:tcPr>
            <w:tcW w:type="dxa" w:w="3901"/>
            <w:shd w:val="clear" w:color="auto" w:fill="10375C"/>
          </w:tcPr>
          <w:p>
            <w:pPr>
              <w:spacing w:after="50" w:before="50"/>
            </w:pPr>
            <w:r>
              <w:rPr>
                <w:b/>
                <w:color w:val="FFFFFF"/>
                <w:sz w:val="17"/>
              </w:rPr>
              <w:t>Target</w:t>
            </w:r>
          </w:p>
        </w:tc>
      </w:tr>
      <w:tr>
        <w:tc>
          <w:tcPr>
            <w:tcW w:type="dxa" w:w="5567"/>
          </w:tcPr>
          <w:p>
            <w:pPr>
              <w:spacing w:after="50" w:before="50" w:line="252" w:lineRule="auto"/>
            </w:pPr>
            <w:r>
              <w:rPr>
                <w:sz w:val="17"/>
              </w:rPr>
              <w:t>Approaches</w:t>
            </w:r>
          </w:p>
        </w:tc>
        <w:tc>
          <w:tcPr>
            <w:tcW w:type="dxa" w:w="3901"/>
          </w:tcPr>
          <w:p>
            <w:pPr>
              <w:spacing w:after="50" w:before="50" w:line="252" w:lineRule="auto"/>
            </w:pPr>
            <w:r>
              <w:rPr>
                <w:sz w:val="17"/>
              </w:rPr>
              <w:t>40</w:t>
            </w:r>
          </w:p>
        </w:tc>
      </w:tr>
      <w:tr>
        <w:tc>
          <w:tcPr>
            <w:tcW w:type="dxa" w:w="5567"/>
            <w:shd w:val="clear" w:color="auto" w:fill="EAF1F4"/>
          </w:tcPr>
          <w:p>
            <w:pPr>
              <w:spacing w:after="50" w:before="50" w:line="252" w:lineRule="auto"/>
            </w:pPr>
            <w:r>
              <w:rPr>
                <w:sz w:val="17"/>
              </w:rPr>
              <w:t>Diagnostics delivered</w:t>
            </w:r>
          </w:p>
        </w:tc>
        <w:tc>
          <w:tcPr>
            <w:tcW w:type="dxa" w:w="3901"/>
            <w:shd w:val="clear" w:color="auto" w:fill="EAF1F4"/>
          </w:tcPr>
          <w:p>
            <w:pPr>
              <w:spacing w:after="50" w:before="50" w:line="252" w:lineRule="auto"/>
            </w:pPr>
            <w:r>
              <w:rPr>
                <w:sz w:val="17"/>
              </w:rPr>
              <w:t>24</w:t>
            </w:r>
          </w:p>
        </w:tc>
      </w:tr>
      <w:tr>
        <w:tc>
          <w:tcPr>
            <w:tcW w:type="dxa" w:w="5567"/>
          </w:tcPr>
          <w:p>
            <w:pPr>
              <w:spacing w:after="50" w:before="50" w:line="252" w:lineRule="auto"/>
            </w:pPr>
            <w:r>
              <w:rPr>
                <w:b/>
                <w:sz w:val="17"/>
              </w:rPr>
              <w:t>Retainers signed</w:t>
            </w:r>
          </w:p>
        </w:tc>
        <w:tc>
          <w:tcPr>
            <w:tcW w:type="dxa" w:w="3901"/>
          </w:tcPr>
          <w:p>
            <w:pPr>
              <w:spacing w:after="50" w:before="50" w:line="252" w:lineRule="auto"/>
            </w:pPr>
            <w:r>
              <w:rPr>
                <w:b/>
                <w:sz w:val="17"/>
              </w:rPr>
              <w:t>6</w:t>
            </w:r>
            <w:r>
              <w:rPr>
                <w:sz w:val="17"/>
              </w:rPr>
              <w:t xml:space="preserve"> — 3 comprehensive, 3 standard</w:t>
            </w:r>
          </w:p>
        </w:tc>
      </w:tr>
      <w:tr>
        <w:tc>
          <w:tcPr>
            <w:tcW w:type="dxa" w:w="5567"/>
            <w:shd w:val="clear" w:color="auto" w:fill="EAF1F4"/>
          </w:tcPr>
          <w:p>
            <w:pPr>
              <w:spacing w:after="50" w:before="50" w:line="252" w:lineRule="auto"/>
            </w:pPr>
            <w:r>
              <w:rPr>
                <w:sz w:val="17"/>
              </w:rPr>
              <w:t>One-off training engagements</w:t>
            </w:r>
          </w:p>
        </w:tc>
        <w:tc>
          <w:tcPr>
            <w:tcW w:type="dxa" w:w="3901"/>
            <w:shd w:val="clear" w:color="auto" w:fill="EAF1F4"/>
          </w:tcPr>
          <w:p>
            <w:pPr>
              <w:spacing w:after="50" w:before="50" w:line="252" w:lineRule="auto"/>
            </w:pPr>
            <w:r>
              <w:rPr>
                <w:sz w:val="17"/>
              </w:rPr>
              <w:t>3</w:t>
            </w:r>
          </w:p>
        </w:tc>
      </w:tr>
      <w:tr>
        <w:tc>
          <w:tcPr>
            <w:tcW w:type="dxa" w:w="5567"/>
          </w:tcPr>
          <w:p>
            <w:pPr>
              <w:spacing w:after="50" w:before="50" w:line="252" w:lineRule="auto"/>
            </w:pPr>
            <w:r>
              <w:rPr>
                <w:sz w:val="17"/>
              </w:rPr>
              <w:t>External IC member appointments</w:t>
            </w:r>
          </w:p>
        </w:tc>
        <w:tc>
          <w:tcPr>
            <w:tcW w:type="dxa" w:w="3901"/>
          </w:tcPr>
          <w:p>
            <w:pPr>
              <w:spacing w:after="50" w:before="50" w:line="252" w:lineRule="auto"/>
            </w:pPr>
            <w:r>
              <w:rPr>
                <w:sz w:val="17"/>
              </w:rPr>
              <w:t>12 sittings</w:t>
            </w:r>
          </w:p>
        </w:tc>
      </w:tr>
      <w:tr>
        <w:tc>
          <w:tcPr>
            <w:tcW w:type="dxa" w:w="5567"/>
            <w:shd w:val="clear" w:color="auto" w:fill="EAF1F4"/>
          </w:tcPr>
          <w:p>
            <w:pPr>
              <w:spacing w:after="50" w:before="50" w:line="252" w:lineRule="auto"/>
            </w:pPr>
            <w:r>
              <w:rPr>
                <w:sz w:val="17"/>
              </w:rPr>
              <w:t>Revenue</w:t>
            </w:r>
          </w:p>
        </w:tc>
        <w:tc>
          <w:tcPr>
            <w:tcW w:type="dxa" w:w="3901"/>
            <w:shd w:val="clear" w:color="auto" w:fill="EAF1F4"/>
          </w:tcPr>
          <w:p>
            <w:pPr>
              <w:spacing w:after="50" w:before="50" w:line="252" w:lineRule="auto"/>
            </w:pPr>
            <w:r>
              <w:rPr>
                <w:sz w:val="17"/>
              </w:rPr>
              <w:t>₹18,90,000</w:t>
            </w:r>
          </w:p>
        </w:tc>
      </w:tr>
      <w:tr>
        <w:tc>
          <w:tcPr>
            <w:tcW w:type="dxa" w:w="5567"/>
          </w:tcPr>
          <w:p>
            <w:pPr>
              <w:spacing w:after="50" w:before="50" w:line="252" w:lineRule="auto"/>
            </w:pPr>
            <w:r>
              <w:rPr>
                <w:sz w:val="17"/>
              </w:rPr>
              <w:t>Contribution</w:t>
            </w:r>
          </w:p>
        </w:tc>
        <w:tc>
          <w:tcPr>
            <w:tcW w:type="dxa" w:w="3901"/>
          </w:tcPr>
          <w:p>
            <w:pPr>
              <w:spacing w:after="50" w:before="50" w:line="252" w:lineRule="auto"/>
            </w:pPr>
            <w:r>
              <w:rPr>
                <w:sz w:val="17"/>
              </w:rPr>
              <w:t>₹6,30,000</w:t>
            </w:r>
          </w:p>
        </w:tc>
      </w:tr>
      <w:tr>
        <w:tc>
          <w:tcPr>
            <w:tcW w:type="dxa" w:w="5567"/>
            <w:shd w:val="clear" w:color="auto" w:fill="EAF1F4"/>
          </w:tcPr>
          <w:p>
            <w:pPr>
              <w:spacing w:after="50" w:before="50" w:line="252" w:lineRule="auto"/>
            </w:pPr>
            <w:r>
              <w:rPr>
                <w:sz w:val="17"/>
              </w:rPr>
              <w:t>Renewal rate at first anniversary</w:t>
            </w:r>
          </w:p>
        </w:tc>
        <w:tc>
          <w:tcPr>
            <w:tcW w:type="dxa" w:w="3901"/>
            <w:shd w:val="clear" w:color="auto" w:fill="EAF1F4"/>
          </w:tcPr>
          <w:p>
            <w:pPr>
              <w:spacing w:after="50" w:before="50" w:line="252" w:lineRule="auto"/>
            </w:pPr>
            <w:r>
              <w:rPr>
                <w:sz w:val="17"/>
              </w:rPr>
              <w:t>≥ 85%</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EQ-UAP-110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Advisory Services Go-to-Market Pack</w:t>
    </w:r>
    <w:r>
      <w:rPr>
        <w:rFonts w:ascii="Calibri" w:hAnsi="Calibri"/>
        <w:color w:val="595959"/>
        <w:sz w:val="16"/>
      </w:rPr>
      <w:tab/>
      <w:t>Confidential — Internal (Strictly). Collateral extracts approved for external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FD914D-F469-4699-83B1-B96A88C90234}"/>
</file>

<file path=customXml/itemProps3.xml><?xml version="1.0" encoding="utf-8"?>
<ds:datastoreItem xmlns:ds="http://schemas.openxmlformats.org/officeDocument/2006/customXml" ds:itemID="{5E7B55F1-136D-4781-B2E0-15C834679186}"/>
</file>

<file path=customXml/itemProps4.xml><?xml version="1.0" encoding="utf-8"?>
<ds:datastoreItem xmlns:ds="http://schemas.openxmlformats.org/officeDocument/2006/customXml" ds:itemID="{E2A7F618-A93A-4C6B-B597-D8AD5F227FC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