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Leave-Behind, Website &amp; Brochure Copy</w:t>
      </w:r>
    </w:p>
    <w:p>
      <w:pPr>
        <w:spacing w:after="280" w:line="276" w:lineRule="auto"/>
      </w:pPr>
      <w:r>
        <w:rPr>
          <w:rFonts w:ascii="Calibri" w:hAnsi="Calibri"/>
          <w:i/>
          <w:color w:val="3E6B8A"/>
          <w:sz w:val="25"/>
        </w:rPr>
        <w:t>Approved external copy — the one-page leave-behind, partnerships web pages, programme pages, and short-form text for print and email</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EQ-UAP-114</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Outreach</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Approved for external release once [●] fields are completed</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Rules for all copy in this document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 xml:space="preserve">Never use </w:t>
            </w:r>
            <w:r>
              <w:rPr>
                <w:i/>
                <w:sz w:val="17"/>
              </w:rPr>
              <w:t>recognised</w:t>
            </w:r>
            <w:r>
              <w:rPr>
                <w:sz w:val="17"/>
              </w:rPr>
              <w:t xml:space="preserve">, </w:t>
            </w:r>
            <w:r>
              <w:rPr>
                <w:i/>
                <w:sz w:val="17"/>
              </w:rPr>
              <w:t>accredited</w:t>
            </w:r>
            <w:r>
              <w:rPr>
                <w:sz w:val="17"/>
              </w:rPr>
              <w:t xml:space="preserve"> or </w:t>
            </w:r>
            <w:r>
              <w:rPr>
                <w:i/>
                <w:sz w:val="17"/>
              </w:rPr>
              <w:t>approved</w:t>
            </w:r>
            <w:r>
              <w:rPr>
                <w:sz w:val="17"/>
              </w:rPr>
              <w:t xml:space="preserve"> in relation to any Equator certification</w:t>
            </w:r>
          </w:p>
        </w:tc>
      </w:tr>
      <w:tr>
        <w:tc>
          <w:tcPr>
            <w:tcW w:type="dxa" w:w="9468"/>
            <w:shd w:val="clear" w:color="auto" w:fill="EAF1F4"/>
          </w:tcPr>
          <w:p>
            <w:pPr>
              <w:spacing w:after="50" w:before="50" w:line="252" w:lineRule="auto"/>
            </w:pPr>
            <w:r>
              <w:rPr>
                <w:sz w:val="17"/>
              </w:rPr>
              <w:t>Never promise or imply employment or placement</w:t>
            </w:r>
          </w:p>
        </w:tc>
      </w:tr>
      <w:tr>
        <w:tc>
          <w:tcPr>
            <w:tcW w:type="dxa" w:w="9468"/>
          </w:tcPr>
          <w:p>
            <w:pPr>
              <w:spacing w:after="50" w:before="50" w:line="252" w:lineRule="auto"/>
            </w:pPr>
            <w:r>
              <w:rPr>
                <w:sz w:val="17"/>
              </w:rPr>
              <w:t>Never state a statistic that has not been verified and approved</w:t>
            </w:r>
          </w:p>
        </w:tc>
      </w:tr>
      <w:tr>
        <w:tc>
          <w:tcPr>
            <w:tcW w:type="dxa" w:w="9468"/>
            <w:shd w:val="clear" w:color="auto" w:fill="EAF1F4"/>
          </w:tcPr>
          <w:p>
            <w:pPr>
              <w:spacing w:after="50" w:before="50" w:line="252" w:lineRule="auto"/>
            </w:pPr>
            <w:r>
              <w:rPr>
                <w:sz w:val="17"/>
              </w:rPr>
              <w:t>Never refer to a live matter, a party or a dispute</w:t>
            </w:r>
          </w:p>
        </w:tc>
      </w:tr>
      <w:tr>
        <w:tc>
          <w:tcPr>
            <w:tcW w:type="dxa" w:w="9468"/>
          </w:tcPr>
          <w:p>
            <w:pPr>
              <w:spacing w:after="50" w:before="50" w:line="252" w:lineRule="auto"/>
            </w:pPr>
            <w:r>
              <w:rPr>
                <w:sz w:val="17"/>
              </w:rPr>
              <w:t>Include the mandatory qualifier wherever training or certification is mentioned</w:t>
            </w:r>
          </w:p>
        </w:tc>
      </w:tr>
      <w:tr>
        <w:tc>
          <w:tcPr>
            <w:tcW w:type="dxa" w:w="9468"/>
            <w:shd w:val="clear" w:color="auto" w:fill="EAF1F4"/>
          </w:tcPr>
          <w:p>
            <w:pPr>
              <w:spacing w:after="50" w:before="50" w:line="252" w:lineRule="auto"/>
            </w:pPr>
            <w:r>
              <w:rPr>
                <w:sz w:val="17"/>
              </w:rPr>
              <w:t xml:space="preserve">Complete every </w:t>
            </w:r>
            <w:r>
              <w:rPr>
                <w:b/>
                <w:sz w:val="17"/>
              </w:rPr>
              <w:t>[●]</w:t>
            </w:r>
            <w:r>
              <w:rPr>
                <w:sz w:val="17"/>
              </w:rPr>
              <w:t xml:space="preserve"> before publication</w:t>
            </w:r>
          </w:p>
        </w:tc>
      </w:tr>
      <w:tr>
        <w:tc>
          <w:tcPr>
            <w:tcW w:type="dxa" w:w="9468"/>
          </w:tcPr>
          <w:p>
            <w:pPr>
              <w:spacing w:after="50" w:before="50" w:line="252" w:lineRule="auto"/>
            </w:pPr>
            <w:r>
              <w:rPr>
                <w:sz w:val="17"/>
              </w:rPr>
              <w:t>All copy is approved by Marketing; anything containing a legal or regulatory statement additionally by General Counsel</w:t>
            </w:r>
          </w:p>
        </w:tc>
      </w:tr>
    </w:tbl>
    <w:p>
      <w:pPr>
        <w:spacing w:after="80" w:before="0"/>
      </w:pPr>
    </w:p>
    <w:p>
      <w:r>
        <w:rPr>
          <w:b/>
        </w:rPr>
        <w:t>The mandatory qualifier</w:t>
      </w:r>
    </w:p>
    <w:p>
      <w:pPr>
        <w:spacing w:before="140" w:after="140"/>
        <w:ind w:left="198" w:right="113"/>
        <w:shd w:val="clear" w:color="auto" w:fill="EAF1F4"/>
        <w:pBdr>
          <w:left w:val="single" w:sz="18" w:space="6" w:color="0E7C7B"/>
        </w:pBdr>
      </w:pPr>
      <w:r>
        <w:rPr>
          <w:i/>
          <w:sz w:val="19"/>
        </w:rPr>
        <w:t>Equator's mediation training is designed in line with prevailing court-annexed mediation training norms. Certificates evidence completion of training and assessment. They are not degrees or diplomas and are not accredited or approved by the Mediation Council of India or by any Government authority.</w:t>
      </w:r>
    </w:p>
    <w:p>
      <w:pPr>
        <w:spacing w:before="80" w:after="160"/>
        <w:pBdr>
          <w:bottom w:val="single" w:sz="6" w:space="1" w:color="C9D6DE"/>
        </w:pBdr>
      </w:pPr>
    </w:p>
    <w:p>
      <w:r>
        <w:br w:type="page"/>
      </w:r>
    </w:p>
    <w:p>
      <w:pPr>
        <w:pStyle w:val="Heading1"/>
        <w:pBdr>
          <w:bottom w:val="single" w:sz="8" w:space="4" w:color="C9D6DE"/>
        </w:pBdr>
      </w:pPr>
      <w:r>
        <w:t>PART 1 · The one-page leave-behind</w:t>
      </w:r>
    </w:p>
    <w:p>
      <w:r>
        <w:rPr>
          <w:i/>
        </w:rPr>
        <w:t>A4, one side. Printed for meetings. Left behind after every first conversation.</w:t>
      </w:r>
    </w:p>
    <w:p>
      <w:pPr>
        <w:spacing w:before="80" w:after="160"/>
        <w:pBdr>
          <w:bottom w:val="single" w:sz="6" w:space="1" w:color="C9D6DE"/>
        </w:pBdr>
      </w:pPr>
    </w:p>
    <w:p>
      <w:pPr>
        <w:pStyle w:val="Heading3"/>
      </w:pPr>
      <w:r>
        <w:t>EQUATOR ADR INSTITUTE</w:t>
      </w:r>
    </w:p>
    <w:p>
      <w:r>
        <w:rPr>
          <w:b/>
        </w:rPr>
        <w:t>Alternative dispute resolution, taught by people who do it</w:t>
      </w:r>
    </w:p>
    <w:p>
      <w:r>
        <w:t xml:space="preserve">Equator ADR Institute is the academic arm of </w:t>
      </w:r>
      <w:r>
        <w:rPr>
          <w:b/>
        </w:rPr>
        <w:t>Equator Resolution</w:t>
      </w:r>
      <w:r>
        <w:t>, an institutional dispute-resolution platform administering mediation, conciliation and arbitration across five practice verticals — commercial and business, financial and loan, workplace and human resources, insurance, and family and marital.</w:t>
      </w:r>
    </w:p>
    <w:p>
      <w:r>
        <w:t>We work with universities and law schools across India. Our teaching comes from files we are working on this month.</w:t>
      </w:r>
    </w:p>
    <w:p>
      <w:pPr>
        <w:spacing w:before="80" w:after="160"/>
        <w:pBdr>
          <w:bottom w:val="single" w:sz="6" w:space="1" w:color="C9D6DE"/>
        </w:pBdr>
      </w:pPr>
    </w:p>
    <w:p>
      <w:r>
        <w:rPr>
          <w:b/>
        </w:rPr>
        <w:t>WHAT WE DO WITH INSTITUTIONS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549"/>
            <w:shd w:val="clear" w:color="auto" w:fill="10375C"/>
          </w:tcPr>
          <w:p>
            <w:pPr>
              <w:spacing w:after="50" w:before="50"/>
            </w:pPr>
          </w:p>
        </w:tc>
        <w:tc>
          <w:tcPr>
            <w:tcW w:type="dxa" w:w="5919"/>
            <w:shd w:val="clear" w:color="auto" w:fill="10375C"/>
          </w:tcPr>
          <w:p>
            <w:pPr>
              <w:spacing w:after="50" w:before="50"/>
            </w:pPr>
          </w:p>
        </w:tc>
      </w:tr>
      <w:tr>
        <w:tc>
          <w:tcPr>
            <w:tcW w:type="dxa" w:w="3549"/>
          </w:tcPr>
          <w:p>
            <w:pPr>
              <w:spacing w:after="50" w:before="50" w:line="252" w:lineRule="auto"/>
            </w:pPr>
            <w:r>
              <w:rPr>
                <w:b/>
                <w:sz w:val="17"/>
              </w:rPr>
              <w:t>Train students</w:t>
            </w:r>
          </w:p>
        </w:tc>
        <w:tc>
          <w:tcPr>
            <w:tcW w:type="dxa" w:w="5919"/>
          </w:tcPr>
          <w:p>
            <w:pPr>
              <w:spacing w:after="50" w:before="50" w:line="252" w:lineRule="auto"/>
            </w:pPr>
            <w:r>
              <w:rPr>
                <w:sz w:val="17"/>
              </w:rPr>
              <w:t>Certificate courses in mediation, structured on the 40-hour basic and 20-hour advanced model used by court-annexed centres. Simulation-led, assessed, delivered on your campus</w:t>
            </w:r>
          </w:p>
        </w:tc>
      </w:tr>
      <w:tr>
        <w:tc>
          <w:tcPr>
            <w:tcW w:type="dxa" w:w="3549"/>
            <w:shd w:val="clear" w:color="auto" w:fill="EAF1F4"/>
          </w:tcPr>
          <w:p>
            <w:pPr>
              <w:spacing w:after="50" w:before="50" w:line="252" w:lineRule="auto"/>
            </w:pPr>
            <w:r>
              <w:rPr>
                <w:b/>
                <w:sz w:val="17"/>
              </w:rPr>
              <w:t>Teach the skill nobody teaches</w:t>
            </w:r>
          </w:p>
        </w:tc>
        <w:tc>
          <w:tcPr>
            <w:tcW w:type="dxa" w:w="5919"/>
            <w:shd w:val="clear" w:color="auto" w:fill="EAF1F4"/>
          </w:tcPr>
          <w:p>
            <w:pPr>
              <w:spacing w:after="50" w:before="50" w:line="252" w:lineRule="auto"/>
            </w:pPr>
            <w:r>
              <w:rPr>
                <w:sz w:val="17"/>
              </w:rPr>
              <w:t xml:space="preserve">Mediation advocacy — representing a party </w:t>
            </w:r>
            <w:r>
              <w:rPr>
                <w:i/>
                <w:sz w:val="17"/>
              </w:rPr>
              <w:t>in</w:t>
            </w:r>
            <w:r>
              <w:rPr>
                <w:sz w:val="17"/>
              </w:rPr>
              <w:t xml:space="preserve"> a mediation. Almost every Indian programme teaches students to be the mediator. Most of them will be advocates</w:t>
            </w:r>
          </w:p>
        </w:tc>
      </w:tr>
      <w:tr>
        <w:tc>
          <w:tcPr>
            <w:tcW w:type="dxa" w:w="3549"/>
          </w:tcPr>
          <w:p>
            <w:pPr>
              <w:spacing w:after="50" w:before="50" w:line="252" w:lineRule="auto"/>
            </w:pPr>
            <w:r>
              <w:rPr>
                <w:b/>
                <w:sz w:val="17"/>
              </w:rPr>
              <w:t>Develop faculty</w:t>
            </w:r>
          </w:p>
        </w:tc>
        <w:tc>
          <w:tcPr>
            <w:tcW w:type="dxa" w:w="5919"/>
          </w:tcPr>
          <w:p>
            <w:pPr>
              <w:spacing w:after="50" w:before="50" w:line="252" w:lineRule="auto"/>
            </w:pPr>
            <w:r>
              <w:rPr>
                <w:sz w:val="17"/>
              </w:rPr>
              <w:t>A five-day programme, half of which is about how to teach this experientially — designing simulations, running debriefs, assessing skill rather than knowledge</w:t>
            </w:r>
          </w:p>
        </w:tc>
      </w:tr>
      <w:tr>
        <w:tc>
          <w:tcPr>
            <w:tcW w:type="dxa" w:w="3549"/>
            <w:shd w:val="clear" w:color="auto" w:fill="EAF1F4"/>
          </w:tcPr>
          <w:p>
            <w:pPr>
              <w:spacing w:after="50" w:before="50" w:line="252" w:lineRule="auto"/>
            </w:pPr>
            <w:r>
              <w:rPr>
                <w:b/>
                <w:sz w:val="17"/>
              </w:rPr>
              <w:t>Host internships</w:t>
            </w:r>
          </w:p>
        </w:tc>
        <w:tc>
          <w:tcPr>
            <w:tcW w:type="dxa" w:w="5919"/>
            <w:shd w:val="clear" w:color="auto" w:fill="EAF1F4"/>
          </w:tcPr>
          <w:p>
            <w:pPr>
              <w:spacing w:after="50" w:before="50" w:line="252" w:lineRule="auto"/>
            </w:pPr>
            <w:r>
              <w:rPr>
                <w:sz w:val="17"/>
              </w:rPr>
              <w:t>A structured ladder with defined learning outcomes, named supervision and a written evaluation designed to support your credit award</w:t>
            </w:r>
          </w:p>
        </w:tc>
      </w:tr>
      <w:tr>
        <w:tc>
          <w:tcPr>
            <w:tcW w:type="dxa" w:w="3549"/>
          </w:tcPr>
          <w:p>
            <w:pPr>
              <w:spacing w:after="50" w:before="50" w:line="252" w:lineRule="auto"/>
            </w:pPr>
            <w:r>
              <w:rPr>
                <w:b/>
                <w:sz w:val="17"/>
              </w:rPr>
              <w:t>Coach competition teams</w:t>
            </w:r>
          </w:p>
        </w:tc>
        <w:tc>
          <w:tcPr>
            <w:tcW w:type="dxa" w:w="5919"/>
          </w:tcPr>
          <w:p>
            <w:pPr>
              <w:spacing w:after="50" w:before="50" w:line="252" w:lineRule="auto"/>
            </w:pPr>
            <w:r>
              <w:rPr>
                <w:sz w:val="17"/>
              </w:rPr>
              <w:t>For the international mediation circuit. Institutions want to enter and have nobody to coach them</w:t>
            </w:r>
          </w:p>
        </w:tc>
      </w:tr>
      <w:tr>
        <w:tc>
          <w:tcPr>
            <w:tcW w:type="dxa" w:w="3549"/>
            <w:shd w:val="clear" w:color="auto" w:fill="EAF1F4"/>
          </w:tcPr>
          <w:p>
            <w:pPr>
              <w:spacing w:after="50" w:before="50" w:line="252" w:lineRule="auto"/>
            </w:pPr>
            <w:r>
              <w:rPr>
                <w:b/>
                <w:sz w:val="17"/>
              </w:rPr>
              <w:t>Support your grievance machinery</w:t>
            </w:r>
          </w:p>
        </w:tc>
        <w:tc>
          <w:tcPr>
            <w:tcW w:type="dxa" w:w="5919"/>
            <w:shd w:val="clear" w:color="auto" w:fill="EAF1F4"/>
          </w:tcPr>
          <w:p>
            <w:pPr>
              <w:spacing w:after="50" w:before="50" w:line="252" w:lineRule="auto"/>
            </w:pPr>
            <w:r>
              <w:rPr>
                <w:sz w:val="17"/>
              </w:rPr>
              <w:t>Ombudsperson and SGRC process design and committee training under the UGC Regulations 2023, and Internal Committee support under the POSH Act</w:t>
            </w:r>
          </w:p>
        </w:tc>
      </w:tr>
      <w:tr>
        <w:tc>
          <w:tcPr>
            <w:tcW w:type="dxa" w:w="3549"/>
          </w:tcPr>
          <w:p>
            <w:pPr>
              <w:spacing w:after="50" w:before="50" w:line="252" w:lineRule="auto"/>
            </w:pPr>
            <w:r>
              <w:rPr>
                <w:b/>
                <w:sz w:val="17"/>
              </w:rPr>
              <w:t>Run competitions and research</w:t>
            </w:r>
          </w:p>
        </w:tc>
        <w:tc>
          <w:tcPr>
            <w:tcW w:type="dxa" w:w="5919"/>
          </w:tcPr>
          <w:p>
            <w:pPr>
              <w:spacing w:after="50" w:before="50" w:line="252" w:lineRule="auto"/>
            </w:pPr>
            <w:r>
              <w:rPr>
                <w:sz w:val="17"/>
              </w:rPr>
              <w:t>A national competition circuit, and empirical research drawn from our own anonymised caseload</w:t>
            </w:r>
          </w:p>
        </w:tc>
      </w:tr>
    </w:tbl>
    <w:p>
      <w:pPr>
        <w:spacing w:after="80" w:before="0"/>
      </w:pPr>
    </w:p>
    <w:p>
      <w:pPr>
        <w:spacing w:before="80" w:after="160"/>
        <w:pBdr>
          <w:bottom w:val="single" w:sz="6" w:space="1" w:color="C9D6DE"/>
        </w:pBdr>
      </w:pPr>
    </w:p>
    <w:p>
      <w:r>
        <w:rPr>
          <w:b/>
        </w:rPr>
        <w:t>WHY IT MATTERS NOW</w:t>
      </w:r>
    </w:p>
    <w:p>
      <w:r>
        <w:t xml:space="preserve">The </w:t>
      </w:r>
      <w:r>
        <w:rPr>
          <w:b/>
        </w:rPr>
        <w:t>Mediation Act, 2023</w:t>
      </w:r>
      <w:r>
        <w:t xml:space="preserve"> gives mediation a statutory framework and makes mediated settlements enforceable. </w:t>
      </w:r>
      <w:r>
        <w:rPr>
          <w:b/>
        </w:rPr>
        <w:t>Section 12A of the Commercial Courts Act, 2015</w:t>
      </w:r>
      <w:r>
        <w:t xml:space="preserve"> requires pre-institution mediation before most commercial suits may be filed. Most law graduates have never seen a mediation conducted.</w:t>
      </w:r>
    </w:p>
    <w:p>
      <w:pPr>
        <w:spacing w:before="80" w:after="160"/>
        <w:pBdr>
          <w:bottom w:val="single" w:sz="6" w:space="1" w:color="C9D6DE"/>
        </w:pBdr>
      </w:pPr>
    </w:p>
    <w:p>
      <w:r>
        <w:rPr>
          <w:b/>
        </w:rPr>
        <w:t>WHAT WE DON'T CLAIM</w:t>
      </w:r>
    </w:p>
    <w:p>
      <w:r>
        <w:t>We do not award degrees or diplomas. We do not describe our certification as recognised or accredited — the Mediation Council of India is not yet constituted and no body in India issues a statutorily recognised mediator certification. We do not promise placements.</w:t>
      </w:r>
    </w:p>
    <w:p>
      <w:pPr>
        <w:spacing w:before="80" w:after="160"/>
        <w:pBdr>
          <w:bottom w:val="single" w:sz="6" w:space="1" w:color="C9D6DE"/>
        </w:pBdr>
      </w:pPr>
    </w:p>
    <w:p>
      <w:r>
        <w:rPr>
          <w:b/>
        </w:rPr>
        <w:t>START SOMEWHERE SMALL</w:t>
      </w:r>
    </w:p>
    <w:p>
      <w:r>
        <w:t xml:space="preserve">One guest lecture, 90 minutes, on your campus, at no cost — </w:t>
      </w:r>
      <w:r>
        <w:rPr>
          <w:i/>
        </w:rPr>
        <w:t>Mediation after the Mediation Act, 2023: what practice now requires.</w:t>
      </w:r>
      <w:r>
        <w:t xml:space="preserve"> It needs a room and a date.</w:t>
      </w:r>
    </w:p>
    <w:p>
      <w:r>
        <w:rPr>
          <w:b/>
        </w:rPr>
        <w:t>[●]</w:t>
      </w:r>
      <w:r>
        <w:t xml:space="preserve"> · </w:t>
      </w:r>
      <w:r>
        <w:rPr>
          <w:b/>
        </w:rPr>
        <w:t>[●]</w:t>
      </w:r>
      <w:r>
        <w:t xml:space="preserve"> · www.equatorresolution.com</w:t>
      </w:r>
    </w:p>
    <w:p>
      <w:r>
        <w:rPr>
          <w:i/>
        </w:rPr>
        <w:t>An Infrabyx Group venture</w:t>
      </w:r>
    </w:p>
    <w:p>
      <w:pPr>
        <w:spacing w:before="80" w:after="160"/>
        <w:pBdr>
          <w:bottom w:val="single" w:sz="6" w:space="1" w:color="C9D6DE"/>
        </w:pBdr>
      </w:pPr>
    </w:p>
    <w:p>
      <w:r>
        <w:br w:type="page"/>
      </w:r>
    </w:p>
    <w:p>
      <w:pPr>
        <w:pStyle w:val="Heading1"/>
        <w:pBdr>
          <w:bottom w:val="single" w:sz="8" w:space="4" w:color="C9D6DE"/>
        </w:pBdr>
      </w:pPr>
      <w:r>
        <w:t>PART 2 · Website copy</w:t>
      </w:r>
    </w:p>
    <w:p>
      <w:pPr>
        <w:pStyle w:val="Heading2"/>
      </w:pPr>
      <w:r>
        <w:t>2.1 Partnerships landing page</w:t>
      </w:r>
    </w:p>
    <w:p>
      <w:pPr>
        <w:pStyle w:val="Heading3"/>
      </w:pPr>
      <w:r>
        <w:t>Headline</w:t>
      </w:r>
    </w:p>
    <w:p>
      <w:r>
        <w:rPr>
          <w:b/>
        </w:rPr>
        <w:t>We work with universities on the practical side of dispute resolution</w:t>
      </w:r>
    </w:p>
    <w:p>
      <w:pPr>
        <w:pStyle w:val="Heading3"/>
      </w:pPr>
      <w:r>
        <w:t>Sub-headline</w:t>
      </w:r>
    </w:p>
    <w:p>
      <w:r>
        <w:t>Certificate courses, faculty development, internships, competitions, coaching and institutional advisory — delivered on your campus by practitioners from a working five-vertical practice.</w:t>
      </w:r>
    </w:p>
    <w:p>
      <w:pPr>
        <w:pStyle w:val="Heading3"/>
      </w:pPr>
      <w:r>
        <w:t>Opening</w:t>
      </w:r>
    </w:p>
    <w:p>
      <w:r>
        <w:t>Most students complete the alternative dispute resolution component of an Indian law degree having never seen a mediation, never drafted a settlement agreement, and never advocated for a client in a mediation room.</w:t>
      </w:r>
    </w:p>
    <w:p>
      <w:r>
        <w:t>That is not a criticism of anyone. Practitioners are busy, and simulation-led teaching is difficult to build from inside a faculty. It is, however, a problem — because the Mediation Act, 2023 and the pre-institution mediation requirement under section 12A of the Commercial Courts Act, 2015 have made mediation a gateway to commercial litigation rather than an optional courtesy.</w:t>
      </w:r>
    </w:p>
    <w:p>
      <w:r>
        <w:t>We exist to close that gap.</w:t>
      </w:r>
    </w:p>
    <w:p>
      <w:pPr>
        <w:pStyle w:val="Heading3"/>
      </w:pPr>
      <w:r>
        <w:t>Section — What a partnership looks like</w:t>
      </w:r>
    </w:p>
    <w:p>
      <w:r>
        <w:rPr>
          <w:b/>
        </w:rPr>
        <w:t>For your students.</w:t>
      </w:r>
      <w:r>
        <w:t xml:space="preserve"> Certificate courses in mediation, structured on the 40-hour basic and 20-hour advanced model used by court-annexed centres. Workshops in mediation advocacy, negotiation, drafting, arbitration and online dispute resolution. A campus mediation cell in which trained students handle peer disputes under our supervision. Structured internships. Competitions.</w:t>
      </w:r>
    </w:p>
    <w:p>
      <w:r>
        <w:rPr>
          <w:b/>
        </w:rPr>
        <w:t>For your faculty.</w:t>
      </w:r>
      <w:r>
        <w:t xml:space="preserve"> A five-day faculty development programme, half of which is pedagogy — how to design a simulation, run a debrief, and assess a skill rather than a body of knowledge. Empanelment as neutrals in real matters. Joint research and co-authorship.</w:t>
      </w:r>
    </w:p>
    <w:p>
      <w:r>
        <w:rPr>
          <w:b/>
        </w:rPr>
        <w:t>For your institution.</w:t>
      </w:r>
      <w:r>
        <w:t xml:space="preserve"> Support for your Students' Grievance Redressal Committee and Ombudsperson framework under the UGC Regulations 2023. Internal Committee training and external member supply under the POSH Act. Documentation designed for your own accreditation file.</w:t>
      </w:r>
    </w:p>
    <w:p>
      <w:pPr>
        <w:pStyle w:val="Heading3"/>
      </w:pPr>
      <w:r>
        <w:t>Section — How we work</w:t>
      </w:r>
    </w:p>
    <w:p>
      <w:r>
        <w:t>Named contacts on both sides. A written activity calendar agreed at the start of each year. A minimum activity commitment, so this does not become a document in a file. A steering committee. A written annual review. If it is not working, either of us can end it.</w:t>
      </w:r>
    </w:p>
    <w:p>
      <w:pPr>
        <w:pStyle w:val="Heading3"/>
      </w:pPr>
      <w:r>
        <w:t>Section — What we don't claim</w:t>
      </w:r>
    </w:p>
    <w:p>
      <w:r>
        <w:rPr>
          <w:i/>
        </w:rPr>
        <w:t>(mandatory qualifier, in full)</w:t>
      </w:r>
    </w:p>
    <w:p>
      <w:pPr>
        <w:pStyle w:val="Heading3"/>
      </w:pPr>
      <w:r>
        <w:t>Call to action</w:t>
      </w:r>
    </w:p>
    <w:p>
      <w:r>
        <w:rPr>
          <w:b/>
        </w:rPr>
        <w:t>Start with a conversation, or with one free guest lecture.</w:t>
      </w:r>
      <w:r>
        <w:t xml:space="preserve"> [●]</w:t>
      </w:r>
    </w:p>
    <w:p>
      <w:pPr>
        <w:spacing w:before="80" w:after="160"/>
        <w:pBdr>
          <w:bottom w:val="single" w:sz="6" w:space="1" w:color="C9D6DE"/>
        </w:pBdr>
      </w:pPr>
    </w:p>
    <w:p>
      <w:pPr>
        <w:pStyle w:val="Heading2"/>
      </w:pPr>
      <w:r>
        <w:t>2.2 Programme page — Certificate Course in Mediation</w:t>
      </w:r>
    </w:p>
    <w:p>
      <w:r>
        <w:rPr>
          <w:b/>
        </w:rPr>
        <w:t>40 hours · five days · maximum 30 participants · assessed</w:t>
      </w:r>
    </w:p>
    <w:p>
      <w:r>
        <w:t>You will mediate at least five times. You will be observed, and you will be told what you got wrong. Around 70% of the time is spent doing rather than listening.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074"/>
            <w:shd w:val="clear" w:color="auto" w:fill="10375C"/>
          </w:tcPr>
          <w:p>
            <w:pPr>
              <w:spacing w:after="50" w:before="50"/>
            </w:pPr>
          </w:p>
        </w:tc>
        <w:tc>
          <w:tcPr>
            <w:tcW w:type="dxa" w:w="6394"/>
            <w:shd w:val="clear" w:color="auto" w:fill="10375C"/>
          </w:tcPr>
          <w:p>
            <w:pPr>
              <w:spacing w:after="50" w:before="50"/>
            </w:pPr>
          </w:p>
        </w:tc>
      </w:tr>
      <w:tr>
        <w:tc>
          <w:tcPr>
            <w:tcW w:type="dxa" w:w="3074"/>
          </w:tcPr>
          <w:p>
            <w:pPr>
              <w:spacing w:after="50" w:before="50" w:line="252" w:lineRule="auto"/>
            </w:pPr>
            <w:r>
              <w:rPr>
                <w:b/>
                <w:sz w:val="17"/>
              </w:rPr>
              <w:t>What you will be able to do</w:t>
            </w:r>
          </w:p>
        </w:tc>
        <w:tc>
          <w:tcPr>
            <w:tcW w:type="dxa" w:w="6394"/>
          </w:tcPr>
          <w:p>
            <w:pPr>
              <w:spacing w:after="50" w:before="50" w:line="252" w:lineRule="auto"/>
            </w:pPr>
            <w:r>
              <w:rPr>
                <w:sz w:val="17"/>
              </w:rPr>
              <w:t>Conduct a mediation through all its stages; distinguish interests from positions; use listening, questioning and reframing under pressure; run a caucus properly; generate and test options; draft an enforceable settlement agreement; apply the confidentiality and ethical obligations of practice</w:t>
            </w:r>
          </w:p>
        </w:tc>
      </w:tr>
      <w:tr>
        <w:tc>
          <w:tcPr>
            <w:tcW w:type="dxa" w:w="3074"/>
            <w:shd w:val="clear" w:color="auto" w:fill="EAF1F4"/>
          </w:tcPr>
          <w:p>
            <w:pPr>
              <w:spacing w:after="50" w:before="50" w:line="252" w:lineRule="auto"/>
            </w:pPr>
            <w:r>
              <w:rPr>
                <w:b/>
                <w:sz w:val="17"/>
              </w:rPr>
              <w:t>How it is assessed</w:t>
            </w:r>
          </w:p>
        </w:tc>
        <w:tc>
          <w:tcPr>
            <w:tcW w:type="dxa" w:w="6394"/>
            <w:shd w:val="clear" w:color="auto" w:fill="EAF1F4"/>
          </w:tcPr>
          <w:p>
            <w:pPr>
              <w:spacing w:after="50" w:before="50" w:line="252" w:lineRule="auto"/>
            </w:pPr>
            <w:r>
              <w:rPr>
                <w:sz w:val="17"/>
              </w:rPr>
              <w:t>Written assessment 30%, assessed simulation 50%, viva 20%. Attendance of 90% is required and is not waived</w:t>
            </w:r>
          </w:p>
        </w:tc>
      </w:tr>
      <w:tr>
        <w:tc>
          <w:tcPr>
            <w:tcW w:type="dxa" w:w="3074"/>
          </w:tcPr>
          <w:p>
            <w:pPr>
              <w:spacing w:after="50" w:before="50" w:line="252" w:lineRule="auto"/>
            </w:pPr>
            <w:r>
              <w:rPr>
                <w:b/>
                <w:sz w:val="17"/>
              </w:rPr>
              <w:t>What comes next</w:t>
            </w:r>
          </w:p>
        </w:tc>
        <w:tc>
          <w:tcPr>
            <w:tcW w:type="dxa" w:w="6394"/>
          </w:tcPr>
          <w:p>
            <w:pPr>
              <w:spacing w:after="50" w:before="50" w:line="252" w:lineRule="auto"/>
            </w:pPr>
            <w:r>
              <w:rPr>
                <w:sz w:val="17"/>
              </w:rPr>
              <w:t>Supervised practice, the 20-hour advanced programme, an internship, and consideration for our panel of neutrals</w:t>
            </w:r>
          </w:p>
        </w:tc>
      </w:tr>
      <w:tr>
        <w:tc>
          <w:tcPr>
            <w:tcW w:type="dxa" w:w="3074"/>
            <w:shd w:val="clear" w:color="auto" w:fill="EAF1F4"/>
          </w:tcPr>
          <w:p>
            <w:pPr>
              <w:spacing w:after="50" w:before="50" w:line="252" w:lineRule="auto"/>
            </w:pPr>
            <w:r>
              <w:rPr>
                <w:b/>
                <w:sz w:val="17"/>
              </w:rPr>
              <w:t>Who teaches it</w:t>
            </w:r>
          </w:p>
        </w:tc>
        <w:tc>
          <w:tcPr>
            <w:tcW w:type="dxa" w:w="6394"/>
            <w:shd w:val="clear" w:color="auto" w:fill="EAF1F4"/>
          </w:tcPr>
          <w:p>
            <w:pPr>
              <w:spacing w:after="50" w:before="50" w:line="252" w:lineRule="auto"/>
            </w:pPr>
            <w:r>
              <w:rPr>
                <w:sz w:val="17"/>
              </w:rPr>
              <w:t>Certified trainers drawn from active practice, observed annually and calibrated before every assessed cohort</w:t>
            </w:r>
          </w:p>
        </w:tc>
      </w:tr>
    </w:tbl>
    <w:p>
      <w:pPr>
        <w:spacing w:after="80" w:before="0"/>
      </w:pPr>
    </w:p>
    <w:p>
      <w:r>
        <w:rPr>
          <w:i/>
        </w:rPr>
        <w:t>(mandatory qualifier)</w:t>
      </w:r>
    </w:p>
    <w:p>
      <w:pPr>
        <w:spacing w:before="80" w:after="160"/>
        <w:pBdr>
          <w:bottom w:val="single" w:sz="6" w:space="1" w:color="C9D6DE"/>
        </w:pBdr>
      </w:pPr>
    </w:p>
    <w:p>
      <w:pPr>
        <w:pStyle w:val="Heading2"/>
      </w:pPr>
      <w:r>
        <w:t>2.3 Programme page — Mediation Advocacy Workshop</w:t>
      </w:r>
    </w:p>
    <w:p>
      <w:r>
        <w:rPr>
          <w:b/>
        </w:rPr>
        <w:t>One or two days · up to 40 participants</w:t>
      </w:r>
    </w:p>
    <w:p>
      <w:r>
        <w:t>Every ADR course in India teaches you to be the mediator. Almost none teaches you to represent a client in front of one — which is what most of you will actually do.</w:t>
      </w:r>
    </w:p>
    <w:p>
      <w:r>
        <w:t>Preparing the client. Writing the mediation brief. An opening that advances interests rather than allegations. Managing a client in the room. Caucus strategy. Reading the mediator. Concession patterns and what your movement signals. Drafting the settlement under time pressure.</w:t>
      </w:r>
    </w:p>
    <w:p>
      <w:r>
        <w:t>Simulation-led throughout.</w:t>
      </w:r>
    </w:p>
    <w:p>
      <w:pPr>
        <w:spacing w:before="80" w:after="160"/>
        <w:pBdr>
          <w:bottom w:val="single" w:sz="6" w:space="1" w:color="C9D6DE"/>
        </w:pBdr>
      </w:pPr>
    </w:p>
    <w:p>
      <w:pPr>
        <w:pStyle w:val="Heading2"/>
      </w:pPr>
      <w:r>
        <w:t>2.4 Page — Competition coaching</w:t>
      </w:r>
    </w:p>
    <w:p>
      <w:r>
        <w:rPr>
          <w:b/>
        </w:rPr>
        <w:t>Per team, per season · ten sessions · predominantly online</w:t>
      </w:r>
    </w:p>
    <w:p>
      <w:r>
        <w:t>Institutions want to enter the major international mediation competitions and frequently have nobody qualified to coach them.</w:t>
      </w:r>
    </w:p>
    <w:p>
      <w:r>
        <w:t>We coach backwards from the published scoring criteria. Most teams prepare to perform. The teams that place prepare to score.</w:t>
      </w:r>
    </w:p>
    <w:p>
      <w:r>
        <w:t>Rules and criteria analysis. The mediation plan. Openings. Interest identification. Working with a mediator. Caucus discipline. Cross-cultural communication. Time management. Mock sessions with practitioner judges and structured debriefs.</w:t>
      </w:r>
    </w:p>
    <w:p>
      <w:pPr>
        <w:spacing w:before="80" w:after="160"/>
        <w:pBdr>
          <w:bottom w:val="single" w:sz="6" w:space="1" w:color="C9D6DE"/>
        </w:pBdr>
      </w:pPr>
    </w:p>
    <w:p>
      <w:pPr>
        <w:pStyle w:val="Heading2"/>
      </w:pPr>
      <w:r>
        <w:t>2.5 Page — Institutional advisory</w:t>
      </w:r>
    </w:p>
    <w:p>
      <w:r>
        <w:rPr>
          <w:b/>
        </w:rPr>
        <w:t>For Registrars and Vice-Chancellors</w:t>
      </w:r>
    </w:p>
    <w:p>
      <w:r>
        <w:t>The UGC (Redressal of Grievances of Students) Regulations, 2023 require every institution to constitute Students' Grievance Redressal Committees and appoint an Ombudsperson. The POSH Act, 2013 requires an Internal Committee with an external member.</w:t>
      </w:r>
    </w:p>
    <w:p>
      <w:r>
        <w:t>Institutions constitute these bodies promptly. The harder part follows: a written procedure that will withstand scrutiny, members trained to conduct a hearing and record reasons, a register you can produce to an accreditation team, and someone to ask when a difficult matter arises at short notice.</w:t>
      </w:r>
    </w:p>
    <w:p>
      <w:r>
        <w:t>That is dispute-resolution work, and it is what we do everywhere else.</w:t>
      </w:r>
    </w:p>
    <w:p>
      <w:r>
        <w:rPr>
          <w:b/>
        </w:rPr>
        <w:t>We will provide a written assessment of your current position against the Regulations at no cost and with no obligation</w:t>
      </w:r>
      <w:r>
        <w:t>, based on a thirty-minute conversation. If it is useful, we can discuss support. If not, you keep the assessment.</w:t>
      </w:r>
    </w:p>
    <w:p>
      <w:r>
        <w:t>[●]</w:t>
      </w:r>
    </w:p>
    <w:p>
      <w:pPr>
        <w:spacing w:before="80" w:after="160"/>
        <w:pBdr>
          <w:bottom w:val="single" w:sz="6" w:space="1" w:color="C9D6DE"/>
        </w:pBdr>
      </w:pPr>
    </w:p>
    <w:p>
      <w:pPr>
        <w:pStyle w:val="Heading2"/>
      </w:pPr>
      <w:r>
        <w:t>2.6 Page — Verify a certificate</w:t>
      </w:r>
    </w:p>
    <w:p>
      <w:r>
        <w:t>Enter a certificate number to confirm whether it was issued, to whom, for which programme and on what dates.</w:t>
      </w:r>
    </w:p>
    <w:p>
      <w:r>
        <w:t>We confirm only that. We do not disclose marks or any other information without the holder's written consent.</w:t>
      </w:r>
    </w:p>
    <w:p>
      <w:r>
        <w:rPr>
          <w:b/>
        </w:rPr>
        <w:t>[ Certificate number ] [ Verify ]</w:t>
      </w:r>
    </w:p>
    <w:p>
      <w:pPr>
        <w:spacing w:before="80" w:after="160"/>
        <w:pBdr>
          <w:bottom w:val="single" w:sz="6" w:space="1" w:color="C9D6DE"/>
        </w:pBdr>
      </w:pPr>
    </w:p>
    <w:p>
      <w:r>
        <w:br w:type="page"/>
      </w:r>
    </w:p>
    <w:p>
      <w:pPr>
        <w:pStyle w:val="Heading1"/>
        <w:pBdr>
          <w:bottom w:val="single" w:sz="8" w:space="4" w:color="C9D6DE"/>
        </w:pBdr>
      </w:pPr>
      <w:r>
        <w:t>PART 3 · Short-form copy</w:t>
      </w:r>
    </w:p>
    <w:p>
      <w:pPr>
        <w:pStyle w:val="Heading2"/>
      </w:pPr>
      <w:r>
        <w:t>3.1 Email signature block</w:t>
      </w:r>
    </w:p>
    <w:p>
      <w:pPr>
        <w:spacing w:before="140" w:after="20"/>
        <w:ind w:left="198" w:right="113"/>
        <w:shd w:val="clear" w:color="auto" w:fill="EAF1F4"/>
        <w:pBdr>
          <w:left w:val="single" w:sz="18" w:space="6" w:color="0E7C7B"/>
        </w:pBdr>
      </w:pPr>
      <w:r>
        <w:rPr>
          <w:b/>
          <w:sz w:val="19"/>
        </w:rPr>
        <w:t>[●]</w:t>
      </w:r>
      <w:r>
        <w:rPr>
          <w:sz w:val="19"/>
        </w:rPr>
        <w:t xml:space="preserve"> | Equator ADR Institute</w:t>
      </w:r>
    </w:p>
    <w:p>
      <w:pPr>
        <w:spacing w:before="20" w:after="20"/>
        <w:ind w:left="198" w:right="113"/>
        <w:shd w:val="clear" w:color="auto" w:fill="EAF1F4"/>
        <w:pBdr>
          <w:left w:val="single" w:sz="18" w:space="6" w:color="0E7C7B"/>
        </w:pBdr>
      </w:pPr>
      <w:r>
        <w:rPr>
          <w:sz w:val="19"/>
        </w:rPr>
        <w:t>The academic arm of Equator Resolution — an institutional dispute-resolution platform</w:t>
      </w:r>
    </w:p>
    <w:p>
      <w:pPr>
        <w:spacing w:before="20" w:after="140"/>
        <w:ind w:left="198" w:right="113"/>
        <w:shd w:val="clear" w:color="auto" w:fill="EAF1F4"/>
        <w:pBdr>
          <w:left w:val="single" w:sz="18" w:space="6" w:color="0E7C7B"/>
        </w:pBdr>
      </w:pPr>
      <w:r>
        <w:rPr>
          <w:sz w:val="19"/>
        </w:rPr>
        <w:t>[●] | www.equatorresolution.com | An Infrabyx Group venture</w:t>
      </w:r>
    </w:p>
    <w:p>
      <w:pPr>
        <w:pStyle w:val="Heading2"/>
      </w:pPr>
      <w:r>
        <w:t>3.2 Brochure back cover</w:t>
      </w:r>
    </w:p>
    <w:p>
      <w:pPr>
        <w:spacing w:before="140" w:after="20"/>
        <w:ind w:left="198" w:right="113"/>
        <w:shd w:val="clear" w:color="auto" w:fill="EAF1F4"/>
        <w:pBdr>
          <w:left w:val="single" w:sz="18" w:space="6" w:color="0E7C7B"/>
        </w:pBdr>
      </w:pPr>
      <w:r>
        <w:rPr>
          <w:b/>
          <w:sz w:val="19"/>
        </w:rPr>
        <w:t>Equator ADR Institute</w:t>
      </w:r>
    </w:p>
    <w:p>
      <w:pPr>
        <w:spacing w:before="20" w:after="20"/>
        <w:ind w:left="198" w:right="113"/>
        <w:shd w:val="clear" w:color="auto" w:fill="EAF1F4"/>
        <w:pBdr>
          <w:left w:val="single" w:sz="18" w:space="6" w:color="0E7C7B"/>
        </w:pBdr>
      </w:pPr>
      <w:r>
        <w:rPr>
          <w:sz w:val="19"/>
        </w:rPr>
        <w:t>Training, internships, competitions and research in alternative dispute resolution, with universities across India.</w:t>
      </w:r>
    </w:p>
    <w:p>
      <w:pPr>
        <w:spacing w:before="20" w:after="20"/>
        <w:ind w:left="198" w:right="113"/>
        <w:shd w:val="clear" w:color="auto" w:fill="EAF1F4"/>
        <w:pBdr>
          <w:left w:val="single" w:sz="18" w:space="6" w:color="0E7C7B"/>
        </w:pBdr>
      </w:pPr>
      <w:r>
        <w:rPr>
          <w:sz w:val="19"/>
        </w:rPr>
        <w:t xml:space="preserve">The academic arm of </w:t>
      </w:r>
      <w:r>
        <w:rPr>
          <w:b/>
          <w:sz w:val="19"/>
        </w:rPr>
        <w:t>Equator Resolution</w:t>
      </w:r>
      <w:r>
        <w:rPr>
          <w:sz w:val="19"/>
        </w:rPr>
        <w:t>, administering mediation, conciliation and arbitration across commercial, financial, workplace, insurance and family matters.</w:t>
      </w:r>
    </w:p>
    <w:p>
      <w:pPr>
        <w:spacing w:before="20" w:after="20"/>
        <w:ind w:left="198" w:right="113"/>
        <w:shd w:val="clear" w:color="auto" w:fill="EAF1F4"/>
        <w:pBdr>
          <w:left w:val="single" w:sz="18" w:space="6" w:color="0E7C7B"/>
        </w:pBdr>
      </w:pPr>
      <w:r>
        <w:rPr>
          <w:sz w:val="19"/>
        </w:rPr>
        <w:t>[●] · www.equatorresolution.com · An Infrabyx Group venture</w:t>
      </w:r>
    </w:p>
    <w:p>
      <w:pPr>
        <w:spacing w:before="20" w:after="140"/>
        <w:ind w:left="198" w:right="113"/>
        <w:shd w:val="clear" w:color="auto" w:fill="EAF1F4"/>
        <w:pBdr>
          <w:left w:val="single" w:sz="18" w:space="6" w:color="0E7C7B"/>
        </w:pBdr>
      </w:pPr>
      <w:r>
        <w:rPr>
          <w:i/>
          <w:sz w:val="19"/>
        </w:rPr>
        <w:t>(mandatory qualifier)</w:t>
      </w:r>
    </w:p>
    <w:p>
      <w:pPr>
        <w:pStyle w:val="Heading2"/>
      </w:pPr>
      <w:r>
        <w:t>3.3 Conference programme entry, 60 words</w:t>
      </w:r>
    </w:p>
    <w:p>
      <w:pPr>
        <w:spacing w:before="140" w:after="140"/>
        <w:ind w:left="198" w:right="113"/>
        <w:shd w:val="clear" w:color="auto" w:fill="EAF1F4"/>
        <w:pBdr>
          <w:left w:val="single" w:sz="18" w:space="6" w:color="0E7C7B"/>
        </w:pBdr>
      </w:pPr>
      <w:r>
        <w:rPr>
          <w:sz w:val="19"/>
        </w:rPr>
        <w:t>Equator ADR Institute is the academic and training arm of Equator Resolution, an institutional dispute-resolution platform working across five practice verticals. It partners with universities on certificate training, faculty development, internships, competitions, coaching and institutional advisory, and publishes empirical research on mediation practice in India. An Infrabyx Group venture.</w:t>
      </w:r>
    </w:p>
    <w:p>
      <w:pPr>
        <w:pStyle w:val="Heading2"/>
      </w:pPr>
      <w:r>
        <w:t>3.4 Student poster, for a certificate course</w:t>
      </w:r>
    </w:p>
    <w:p>
      <w:pPr>
        <w:spacing w:before="140" w:after="20"/>
        <w:ind w:left="198" w:right="113"/>
        <w:shd w:val="clear" w:color="auto" w:fill="EAF1F4"/>
        <w:pBdr>
          <w:left w:val="single" w:sz="18" w:space="6" w:color="0E7C7B"/>
        </w:pBdr>
      </w:pPr>
      <w:r>
        <w:rPr>
          <w:b/>
          <w:sz w:val="19"/>
        </w:rPr>
        <w:t>CERTIFICATE COURSE IN MEDIATION</w:t>
      </w:r>
    </w:p>
    <w:p>
      <w:pPr>
        <w:spacing w:before="20" w:after="20"/>
        <w:ind w:left="198" w:right="113"/>
        <w:shd w:val="clear" w:color="auto" w:fill="EAF1F4"/>
        <w:pBdr>
          <w:left w:val="single" w:sz="18" w:space="6" w:color="0E7C7B"/>
        </w:pBdr>
      </w:pPr>
      <w:r>
        <w:rPr>
          <w:sz w:val="19"/>
        </w:rPr>
        <w:t>40 hours · 5 days · assessed · 30 places</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You will mediate five times. You will be observed. You will be told what you got wrong.</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Structured on the model used by court-annexed centres. Delivered on campus by practitioners.</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w:t>
      </w:r>
      <w:r>
        <w:rPr>
          <w:sz w:val="19"/>
        </w:rPr>
        <w:t xml:space="preserve"> · Applications close [●] · [●]</w:t>
      </w:r>
    </w:p>
    <w:p>
      <w:pPr>
        <w:spacing w:before="20" w:after="20"/>
        <w:ind w:left="198" w:right="113"/>
        <w:shd w:val="clear" w:color="auto" w:fill="EAF1F4"/>
        <w:pBdr>
          <w:left w:val="single" w:sz="18" w:space="6" w:color="0E7C7B"/>
        </w:pBdr>
      </w:pPr>
    </w:p>
    <w:p>
      <w:pPr>
        <w:spacing w:before="20" w:after="140"/>
        <w:ind w:left="198" w:right="113"/>
        <w:shd w:val="clear" w:color="auto" w:fill="EAF1F4"/>
        <w:pBdr>
          <w:left w:val="single" w:sz="18" w:space="6" w:color="0E7C7B"/>
        </w:pBdr>
      </w:pPr>
      <w:r>
        <w:rPr>
          <w:i/>
          <w:sz w:val="19"/>
        </w:rPr>
        <w:t>This certificate evidences completion of training and assessment. It is not a degree or diploma and is not a statutory qualification.</w:t>
      </w:r>
    </w:p>
    <w:p>
      <w:pPr>
        <w:pStyle w:val="Heading2"/>
      </w:pPr>
      <w:r>
        <w:t>3.5 Competition announcement, social</w:t>
      </w:r>
    </w:p>
    <w:p>
      <w:pPr>
        <w:spacing w:before="140" w:after="20"/>
        <w:ind w:left="198" w:right="113"/>
        <w:shd w:val="clear" w:color="auto" w:fill="EAF1F4"/>
        <w:pBdr>
          <w:left w:val="single" w:sz="18" w:space="6" w:color="0E7C7B"/>
        </w:pBdr>
      </w:pPr>
      <w:r>
        <w:rPr>
          <w:b/>
          <w:sz w:val="19"/>
        </w:rPr>
        <w:t>Equator National Mediation Championship [●]</w:t>
      </w:r>
    </w:p>
    <w:p>
      <w:pPr>
        <w:spacing w:before="20" w:after="20"/>
        <w:ind w:left="198" w:right="113"/>
        <w:shd w:val="clear" w:color="auto" w:fill="EAF1F4"/>
        <w:pBdr>
          <w:left w:val="single" w:sz="18" w:space="6" w:color="0E7C7B"/>
        </w:pBdr>
      </w:pPr>
      <w:r>
        <w:rPr>
          <w:sz w:val="19"/>
        </w:rPr>
        <w:t>[●] · [●] teams · [●] institutions</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Teams compete as Client and Counsel in a commercial mediation before professional mediators, judged by practitioners from the bench, the bar and in-house practice.</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No marks are awarded for reaching a settlement.</w:t>
      </w:r>
      <w:r>
        <w:rPr>
          <w:sz w:val="19"/>
        </w:rPr>
        <w:t xml:space="preserve"> That is what makes it worth watching.</w:t>
      </w:r>
    </w:p>
    <w:p>
      <w:pPr>
        <w:spacing w:before="20" w:after="20"/>
        <w:ind w:left="198" w:right="113"/>
        <w:shd w:val="clear" w:color="auto" w:fill="EAF1F4"/>
        <w:pBdr>
          <w:left w:val="single" w:sz="18" w:space="6" w:color="0E7C7B"/>
        </w:pBdr>
      </w:pPr>
    </w:p>
    <w:p>
      <w:pPr>
        <w:spacing w:before="20" w:after="140"/>
        <w:ind w:left="198" w:right="113"/>
        <w:shd w:val="clear" w:color="auto" w:fill="EAF1F4"/>
        <w:pBdr>
          <w:left w:val="single" w:sz="18" w:space="6" w:color="0E7C7B"/>
        </w:pBdr>
      </w:pPr>
      <w:r>
        <w:rPr>
          <w:sz w:val="19"/>
        </w:rPr>
        <w:t>Registration: [●]</w:t>
      </w:r>
    </w:p>
    <w:p>
      <w:pPr>
        <w:pStyle w:val="Heading2"/>
      </w:pPr>
      <w:r>
        <w:t>3.6 Free guest lecture offer, email</w:t>
      </w:r>
    </w:p>
    <w:p>
      <w:pPr>
        <w:spacing w:before="140" w:after="20"/>
        <w:ind w:left="198" w:right="113"/>
        <w:shd w:val="clear" w:color="auto" w:fill="EAF1F4"/>
        <w:pBdr>
          <w:left w:val="single" w:sz="18" w:space="6" w:color="0E7C7B"/>
        </w:pBdr>
      </w:pPr>
      <w:r>
        <w:rPr>
          <w:b/>
          <w:sz w:val="19"/>
        </w:rPr>
        <w:t>Subject:</w:t>
      </w:r>
      <w:r>
        <w:rPr>
          <w:sz w:val="19"/>
        </w:rPr>
        <w:t xml:space="preserve"> A session for your students, at no cost</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Dear Professor [●],</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 xml:space="preserve">Rather than propose a collaboration in the abstract, may I offer something concrete: one session of ninety minutes for your students, at no cost, on </w:t>
      </w:r>
      <w:r>
        <w:rPr>
          <w:i/>
          <w:sz w:val="19"/>
        </w:rPr>
        <w:t>Mediation after the Mediation Act, 2023 — what practice now requires</w:t>
      </w:r>
      <w:r>
        <w:rPr>
          <w:sz w:val="19"/>
        </w:rPr>
        <w:t>.</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It needs a room and a date. If it is useful, we can discuss more. If not, you will have had a session.</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With regards,</w:t>
      </w:r>
    </w:p>
    <w:p>
      <w:pPr>
        <w:spacing w:before="20" w:after="140"/>
        <w:ind w:left="198" w:right="113"/>
        <w:shd w:val="clear" w:color="auto" w:fill="EAF1F4"/>
        <w:pBdr>
          <w:left w:val="single" w:sz="18" w:space="6" w:color="0E7C7B"/>
        </w:pBdr>
      </w:pPr>
      <w:r>
        <w:rPr>
          <w:b/>
          <w:sz w:val="19"/>
        </w:rPr>
        <w:t>[●]</w:t>
      </w:r>
    </w:p>
    <w:p>
      <w:pPr>
        <w:spacing w:before="80" w:after="160"/>
        <w:pBdr>
          <w:bottom w:val="single" w:sz="6" w:space="1" w:color="C9D6DE"/>
        </w:pBdr>
      </w:pPr>
    </w:p>
    <w:p>
      <w:pPr>
        <w:pStyle w:val="Heading1"/>
        <w:pBdr>
          <w:bottom w:val="single" w:sz="8" w:space="4" w:color="C9D6DE"/>
        </w:pBdr>
      </w:pPr>
      <w:r>
        <w:t>PART 4 · Words we use and words we do not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40"/>
            <w:shd w:val="clear" w:color="auto" w:fill="10375C"/>
          </w:tcPr>
          <w:p>
            <w:pPr>
              <w:spacing w:after="50" w:before="50"/>
            </w:pPr>
            <w:r>
              <w:rPr>
                <w:b/>
                <w:color w:val="FFFFFF"/>
                <w:sz w:val="17"/>
              </w:rPr>
              <w:t>Use</w:t>
            </w:r>
          </w:p>
        </w:tc>
        <w:tc>
          <w:tcPr>
            <w:tcW w:type="dxa" w:w="4727"/>
            <w:shd w:val="clear" w:color="auto" w:fill="10375C"/>
          </w:tcPr>
          <w:p>
            <w:pPr>
              <w:spacing w:after="50" w:before="50"/>
            </w:pPr>
            <w:r>
              <w:rPr>
                <w:b/>
                <w:color w:val="FFFFFF"/>
                <w:sz w:val="17"/>
              </w:rPr>
              <w:t>Do not use</w:t>
            </w:r>
          </w:p>
        </w:tc>
      </w:tr>
      <w:tr>
        <w:tc>
          <w:tcPr>
            <w:tcW w:type="dxa" w:w="4740"/>
          </w:tcPr>
          <w:p>
            <w:pPr>
              <w:spacing w:after="50" w:before="50" w:line="252" w:lineRule="auto"/>
            </w:pPr>
            <w:r>
              <w:rPr>
                <w:sz w:val="17"/>
              </w:rPr>
              <w:t>Designed in line with prevailing court-annexed training norms</w:t>
            </w:r>
          </w:p>
        </w:tc>
        <w:tc>
          <w:tcPr>
            <w:tcW w:type="dxa" w:w="4727"/>
          </w:tcPr>
          <w:p>
            <w:pPr>
              <w:spacing w:after="50" w:before="50" w:line="252" w:lineRule="auto"/>
            </w:pPr>
            <w:r>
              <w:rPr>
                <w:sz w:val="17"/>
              </w:rPr>
              <w:t>Accredited · recognised · approved · government-approved</w:t>
            </w:r>
          </w:p>
        </w:tc>
      </w:tr>
      <w:tr>
        <w:tc>
          <w:tcPr>
            <w:tcW w:type="dxa" w:w="4740"/>
            <w:shd w:val="clear" w:color="auto" w:fill="EAF1F4"/>
          </w:tcPr>
          <w:p>
            <w:pPr>
              <w:spacing w:after="50" w:before="50" w:line="252" w:lineRule="auto"/>
            </w:pPr>
            <w:r>
              <w:rPr>
                <w:sz w:val="17"/>
              </w:rPr>
              <w:t>Certificate of training and assessment</w:t>
            </w:r>
          </w:p>
        </w:tc>
        <w:tc>
          <w:tcPr>
            <w:tcW w:type="dxa" w:w="4727"/>
            <w:shd w:val="clear" w:color="auto" w:fill="EAF1F4"/>
          </w:tcPr>
          <w:p>
            <w:pPr>
              <w:spacing w:after="50" w:before="50" w:line="252" w:lineRule="auto"/>
            </w:pPr>
            <w:r>
              <w:rPr>
                <w:sz w:val="17"/>
              </w:rPr>
              <w:t>Degree · diploma · qualification · licence</w:t>
            </w:r>
          </w:p>
        </w:tc>
      </w:tr>
      <w:tr>
        <w:tc>
          <w:tcPr>
            <w:tcW w:type="dxa" w:w="4740"/>
          </w:tcPr>
          <w:p>
            <w:pPr>
              <w:spacing w:after="50" w:before="50" w:line="252" w:lineRule="auto"/>
            </w:pPr>
            <w:r>
              <w:rPr>
                <w:sz w:val="17"/>
              </w:rPr>
              <w:t>A documented internship-to-employment pathway</w:t>
            </w:r>
          </w:p>
        </w:tc>
        <w:tc>
          <w:tcPr>
            <w:tcW w:type="dxa" w:w="4727"/>
          </w:tcPr>
          <w:p>
            <w:pPr>
              <w:spacing w:after="50" w:before="50" w:line="252" w:lineRule="auto"/>
            </w:pPr>
            <w:r>
              <w:rPr>
                <w:sz w:val="17"/>
              </w:rPr>
              <w:t>Placement guaranteed · 100% placement · job assured</w:t>
            </w:r>
          </w:p>
        </w:tc>
      </w:tr>
      <w:tr>
        <w:tc>
          <w:tcPr>
            <w:tcW w:type="dxa" w:w="4740"/>
            <w:shd w:val="clear" w:color="auto" w:fill="EAF1F4"/>
          </w:tcPr>
          <w:p>
            <w:pPr>
              <w:spacing w:after="50" w:before="50" w:line="252" w:lineRule="auto"/>
            </w:pPr>
            <w:r>
              <w:rPr>
                <w:sz w:val="17"/>
              </w:rPr>
              <w:t>Practitioners from active practice</w:t>
            </w:r>
          </w:p>
        </w:tc>
        <w:tc>
          <w:tcPr>
            <w:tcW w:type="dxa" w:w="4727"/>
            <w:shd w:val="clear" w:color="auto" w:fill="EAF1F4"/>
          </w:tcPr>
          <w:p>
            <w:pPr>
              <w:spacing w:after="50" w:before="50" w:line="252" w:lineRule="auto"/>
            </w:pPr>
            <w:r>
              <w:rPr>
                <w:sz w:val="17"/>
              </w:rPr>
              <w:t>Industry experts · thought leaders</w:t>
            </w:r>
          </w:p>
        </w:tc>
      </w:tr>
      <w:tr>
        <w:tc>
          <w:tcPr>
            <w:tcW w:type="dxa" w:w="4740"/>
          </w:tcPr>
          <w:p>
            <w:pPr>
              <w:spacing w:after="50" w:before="50" w:line="252" w:lineRule="auto"/>
            </w:pPr>
            <w:r>
              <w:rPr>
                <w:sz w:val="17"/>
              </w:rPr>
              <w:t>We administer matters across five verticals</w:t>
            </w:r>
          </w:p>
        </w:tc>
        <w:tc>
          <w:tcPr>
            <w:tcW w:type="dxa" w:w="4727"/>
          </w:tcPr>
          <w:p>
            <w:pPr>
              <w:spacing w:after="50" w:before="50" w:line="252" w:lineRule="auto"/>
            </w:pPr>
            <w:r>
              <w:rPr>
                <w:sz w:val="17"/>
              </w:rPr>
              <w:t>India's leading · premier · number one</w:t>
            </w:r>
          </w:p>
        </w:tc>
      </w:tr>
      <w:tr>
        <w:tc>
          <w:tcPr>
            <w:tcW w:type="dxa" w:w="4740"/>
            <w:shd w:val="clear" w:color="auto" w:fill="EAF1F4"/>
          </w:tcPr>
          <w:p>
            <w:pPr>
              <w:spacing w:after="50" w:before="50" w:line="252" w:lineRule="auto"/>
            </w:pPr>
            <w:r>
              <w:rPr>
                <w:sz w:val="17"/>
              </w:rPr>
              <w:t>[●] participants trained</w:t>
            </w:r>
          </w:p>
        </w:tc>
        <w:tc>
          <w:tcPr>
            <w:tcW w:type="dxa" w:w="4727"/>
            <w:shd w:val="clear" w:color="auto" w:fill="EAF1F4"/>
          </w:tcPr>
          <w:p>
            <w:pPr>
              <w:spacing w:after="50" w:before="50" w:line="252" w:lineRule="auto"/>
            </w:pPr>
            <w:r>
              <w:rPr>
                <w:sz w:val="17"/>
              </w:rPr>
              <w:t>Thousands trained · countless students</w:t>
            </w:r>
          </w:p>
        </w:tc>
      </w:tr>
      <w:tr>
        <w:tc>
          <w:tcPr>
            <w:tcW w:type="dxa" w:w="4740"/>
          </w:tcPr>
          <w:p>
            <w:pPr>
              <w:spacing w:after="50" w:before="50" w:line="252" w:lineRule="auto"/>
            </w:pPr>
            <w:r>
              <w:rPr>
                <w:sz w:val="17"/>
              </w:rPr>
              <w:t>An empirical study of [●] matters found [●]</w:t>
            </w:r>
          </w:p>
        </w:tc>
        <w:tc>
          <w:tcPr>
            <w:tcW w:type="dxa" w:w="4727"/>
          </w:tcPr>
          <w:p>
            <w:pPr>
              <w:spacing w:after="50" w:before="50" w:line="252" w:lineRule="auto"/>
            </w:pPr>
            <w:r>
              <w:rPr>
                <w:sz w:val="17"/>
              </w:rPr>
              <w:t>Studies show · research proves</w:t>
            </w:r>
          </w:p>
        </w:tc>
      </w:tr>
      <w:tr>
        <w:tc>
          <w:tcPr>
            <w:tcW w:type="dxa" w:w="4740"/>
            <w:shd w:val="clear" w:color="auto" w:fill="EAF1F4"/>
          </w:tcPr>
          <w:p>
            <w:pPr>
              <w:spacing w:after="50" w:before="50" w:line="252" w:lineRule="auto"/>
            </w:pPr>
            <w:r>
              <w:rPr>
                <w:sz w:val="17"/>
              </w:rPr>
              <w:t>We would be glad to</w:t>
            </w:r>
          </w:p>
        </w:tc>
        <w:tc>
          <w:tcPr>
            <w:tcW w:type="dxa" w:w="4727"/>
            <w:shd w:val="clear" w:color="auto" w:fill="EAF1F4"/>
          </w:tcPr>
          <w:p>
            <w:pPr>
              <w:spacing w:after="50" w:before="50" w:line="252" w:lineRule="auto"/>
            </w:pPr>
            <w:r>
              <w:rPr>
                <w:sz w:val="17"/>
              </w:rPr>
              <w:t>We are excited to</w:t>
            </w:r>
          </w:p>
        </w:tc>
      </w:tr>
      <w:tr>
        <w:tc>
          <w:tcPr>
            <w:tcW w:type="dxa" w:w="4740"/>
          </w:tcPr>
          <w:p>
            <w:pPr>
              <w:spacing w:after="50" w:before="50" w:line="252" w:lineRule="auto"/>
            </w:pPr>
            <w:r>
              <w:rPr>
                <w:sz w:val="17"/>
              </w:rPr>
              <w:t>Structured, assessed, documented</w:t>
            </w:r>
          </w:p>
        </w:tc>
        <w:tc>
          <w:tcPr>
            <w:tcW w:type="dxa" w:w="4727"/>
          </w:tcPr>
          <w:p>
            <w:pPr>
              <w:spacing w:after="50" w:before="50" w:line="252" w:lineRule="auto"/>
            </w:pPr>
            <w:r>
              <w:rPr>
                <w:sz w:val="17"/>
              </w:rPr>
              <w:t>World-class · cutting-edge · revolutionary</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EQ-UAP-114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Leave-Behind, Website &amp; Brochure Copy</w:t>
    </w:r>
    <w:r>
      <w:rPr>
        <w:rFonts w:ascii="Calibri" w:hAnsi="Calibri"/>
        <w:color w:val="595959"/>
        <w:sz w:val="16"/>
      </w:rPr>
      <w:tab/>
      <w:t>Approved for external release once [●] fields are completed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77D9DE5-B29A-4D14-8F87-19EF92238201}"/>
</file>

<file path=customXml/itemProps3.xml><?xml version="1.0" encoding="utf-8"?>
<ds:datastoreItem xmlns:ds="http://schemas.openxmlformats.org/officeDocument/2006/customXml" ds:itemID="{CE028503-DA2E-4307-BC50-D92C11882CD7}"/>
</file>

<file path=customXml/itemProps4.xml><?xml version="1.0" encoding="utf-8"?>
<ds:datastoreItem xmlns:ds="http://schemas.openxmlformats.org/officeDocument/2006/customXml" ds:itemID="{709C40D0-7BA4-45E9-9B2D-BA36E60D7C4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