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Master Memorandum of Understanding</w:t>
      </w:r>
    </w:p>
    <w:p>
      <w:pPr>
        <w:spacing w:after="280" w:line="276" w:lineRule="auto"/>
      </w:pPr>
      <w:r>
        <w:rPr>
          <w:rFonts w:ascii="Calibri" w:hAnsi="Calibri"/>
          <w:i/>
          <w:color w:val="3E6B8A"/>
          <w:sz w:val="25"/>
        </w:rPr>
        <w:t>The standard institutional form governing every university partnership — body text, to be executed with such of Schedules A to H as apply</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Drafting and use note — remove before execution</w:t>
      </w:r>
    </w:p>
    <w:p>
      <w:pPr>
        <w:pStyle w:val="ListNumber"/>
      </w:pPr>
      <w:r>
        <w:rPr>
          <w:b/>
          <w:sz w:val="21"/>
        </w:rPr>
        <w:t>This body text is standard and is not to be varied</w:t>
      </w:r>
      <w:r>
        <w:rPr>
          <w:sz w:val="21"/>
        </w:rPr>
        <w:t xml:space="preserve"> except with Programme Board approval under 01.5. Institution-specific requirements are accommodated in the Schedules, which are drafted to be varied.</w:t>
      </w:r>
    </w:p>
    <w:p>
      <w:pPr>
        <w:pStyle w:val="ListNumber"/>
      </w:pPr>
      <w:r>
        <w:rPr>
          <w:sz w:val="21"/>
        </w:rPr>
        <w:t>Attach only the Schedules that apply to the tier. Delete the rest from the index at clause 3.2 and record the deletion.</w:t>
      </w:r>
    </w:p>
    <w:p>
      <w:pPr>
        <w:pStyle w:val="ListNumber"/>
      </w:pPr>
      <w:r>
        <w:rPr>
          <w:sz w:val="21"/>
        </w:rPr>
        <w:t xml:space="preserve">Every </w:t>
      </w:r>
      <w:r>
        <w:rPr>
          <w:b/>
          <w:sz w:val="21"/>
        </w:rPr>
        <w:t>[●]</w:t>
      </w:r>
      <w:r>
        <w:rPr>
          <w:sz w:val="21"/>
        </w:rPr>
        <w:t xml:space="preserve"> must be completed. Execution with an incomplete field is a defect.</w:t>
      </w:r>
    </w:p>
    <w:p>
      <w:pPr>
        <w:pStyle w:val="ListNumber"/>
      </w:pPr>
      <w:r>
        <w:rPr>
          <w:sz w:val="21"/>
        </w:rPr>
        <w:t xml:space="preserve">This instrument is expressed as a memorandum of understanding. Clauses 8 to 21 are </w:t>
      </w:r>
      <w:r>
        <w:rPr>
          <w:b/>
          <w:sz w:val="21"/>
        </w:rPr>
        <w:t>intended to be legally binding</w:t>
      </w:r>
      <w:r>
        <w:rPr>
          <w:sz w:val="21"/>
        </w:rPr>
        <w:t xml:space="preserve">; the remainder record intention. Where a Schedule creates a payment obligation, that Schedule is binding and, if the parties prefer, may be executed as a separate services agreement instead. </w:t>
      </w:r>
      <w:r>
        <w:rPr>
          <w:b/>
          <w:sz w:val="21"/>
        </w:rPr>
        <w:t>[verify — Legal, on the enforceability framing and stamp duty position in the relevant State.]</w:t>
      </w:r>
    </w:p>
    <w:p>
      <w:pPr>
        <w:pStyle w:val="ListNumber"/>
      </w:pPr>
      <w:r>
        <w:rPr>
          <w:sz w:val="21"/>
        </w:rPr>
        <w:t xml:space="preserve">Confirm the stamp duty position in the State of execution before signature. </w:t>
      </w:r>
      <w:r>
        <w:rPr>
          <w:b/>
          <w:sz w:val="21"/>
        </w:rPr>
        <w:t>[verify]</w:t>
      </w:r>
    </w:p>
    <w:p>
      <w:pPr>
        <w:spacing w:before="80" w:after="160"/>
        <w:pBdr>
          <w:bottom w:val="single" w:sz="6" w:space="1" w:color="C9D6DE"/>
        </w:pBdr>
      </w:pPr>
    </w:p>
    <w:p>
      <w:r>
        <w:br w:type="page"/>
      </w:r>
    </w:p>
    <w:p>
      <w:pPr>
        <w:pStyle w:val="Heading1"/>
        <w:pBdr>
          <w:bottom w:val="single" w:sz="8" w:space="4" w:color="C9D6DE"/>
        </w:pBdr>
      </w:pPr>
      <w:r>
        <w:t>MEMORANDUM OF UNDERSTANDING</w:t>
      </w:r>
    </w:p>
    <w:p>
      <w:r>
        <w:rPr>
          <w:b/>
        </w:rPr>
        <w:t>This Memorandum of Understanding is made on [●]</w:t>
      </w:r>
    </w:p>
    <w:p>
      <w:r>
        <w:rPr>
          <w:b/>
        </w:rPr>
        <w:t>BETWEEN</w:t>
      </w:r>
    </w:p>
    <w:p>
      <w:r>
        <w:rPr>
          <w:b/>
        </w:rPr>
        <w:t>[●]</w:t>
      </w:r>
      <w:r>
        <w:t>, a [●] established under [●], having its [registered office / administrative office] at [●] (</w:t>
      </w:r>
      <w:r>
        <w:rPr>
          <w:b/>
        </w:rPr>
        <w:t>the University</w:t>
      </w:r>
      <w:r>
        <w:t>), acting through its Registrar, of the one part;</w:t>
      </w:r>
    </w:p>
    <w:p>
      <w:r>
        <w:rPr>
          <w:b/>
        </w:rPr>
        <w:t>AND</w:t>
      </w:r>
    </w:p>
    <w:p>
      <w:r>
        <w:rPr>
          <w:b/>
        </w:rPr>
        <w:t>Equator ADR Institute</w:t>
      </w:r>
      <w:r>
        <w:t>, [●], having its registered office at [●], being the academic, training and certification arm of Equator Resolution, an Infrabyx Group venture (</w:t>
      </w:r>
      <w:r>
        <w:rPr>
          <w:b/>
        </w:rPr>
        <w:t>the Institute</w:t>
      </w:r>
      <w:r>
        <w:t>), of the other part.</w:t>
      </w:r>
    </w:p>
    <w:p>
      <w:r>
        <w:t xml:space="preserve">The University and the Institute are each a </w:t>
      </w:r>
      <w:r>
        <w:rPr>
          <w:b/>
        </w:rPr>
        <w:t>Party</w:t>
      </w:r>
      <w:r>
        <w:t xml:space="preserve"> and together the </w:t>
      </w:r>
      <w:r>
        <w:rPr>
          <w:b/>
        </w:rPr>
        <w:t>Parties</w:t>
      </w:r>
      <w:r>
        <w:t>.</w:t>
      </w:r>
    </w:p>
    <w:p>
      <w:pPr>
        <w:spacing w:before="80" w:after="160"/>
        <w:pBdr>
          <w:bottom w:val="single" w:sz="6" w:space="1" w:color="C9D6DE"/>
        </w:pBdr>
      </w:pPr>
    </w:p>
    <w:p>
      <w:pPr>
        <w:pStyle w:val="Heading1"/>
        <w:pBdr>
          <w:bottom w:val="single" w:sz="8" w:space="4" w:color="C9D6DE"/>
        </w:pBdr>
      </w:pPr>
      <w:r>
        <w:t>Recitals</w:t>
      </w:r>
    </w:p>
    <w:p>
      <w:r>
        <w:rPr>
          <w:b/>
        </w:rPr>
        <w:t>A.</w:t>
      </w:r>
      <w:r>
        <w:t xml:space="preserve"> The University is an institution of higher education offering programmes in [●] and is committed to enhancing the practical and professional capability of its students and faculty.</w:t>
      </w:r>
    </w:p>
    <w:p>
      <w:r>
        <w:rPr>
          <w:b/>
        </w:rPr>
        <w:t>B.</w:t>
      </w:r>
      <w:r>
        <w:t xml:space="preserve"> The Institute is engaged in training, certification, research and capacity building in alternative dispute resolution, and is the academic arm of Equator Resolution, an institutional dispute-resolution platform administering mediation, conciliation and arbitration.</w:t>
      </w:r>
    </w:p>
    <w:p>
      <w:r>
        <w:rPr>
          <w:b/>
        </w:rPr>
        <w:t>C.</w:t>
      </w:r>
      <w:r>
        <w:t xml:space="preserve"> The Parties recognise the significance of the Mediation Act, 2023, of section 12A of the Commercial Courts Act, 2015 and of the Arbitration and Conciliation Act, 1996 in the development of alternative dispute resolution in India, and the consequent need for structured professional education in the field.</w:t>
      </w:r>
    </w:p>
    <w:p>
      <w:r>
        <w:rPr>
          <w:b/>
        </w:rPr>
        <w:t>D.</w:t>
      </w:r>
      <w:r>
        <w:t xml:space="preserve"> The University is required, or wishes, to provide structured internship or apprenticeship opportunities to its students in accordance with applicable guidance of the University Grants Commission, and requires a discipline-specific partner organisation for that purpose.</w:t>
      </w:r>
    </w:p>
    <w:p>
      <w:r>
        <w:rPr>
          <w:b/>
        </w:rPr>
        <w:t>E.</w:t>
      </w:r>
      <w:r>
        <w:t xml:space="preserve"> The Parties wish to record the basis of a collaboration in alternative dispute resolution comprising such of the following as are provided for in the Schedules: internships and academic credit; training and certification; competitions; workshops, conferences and events; research and publications; campus infrastructure; brand and communications; and the commercial terms applicable to them.</w:t>
      </w:r>
    </w:p>
    <w:p>
      <w:r>
        <w:rPr>
          <w:b/>
        </w:rPr>
        <w:t>F.</w:t>
      </w:r>
      <w:r>
        <w:t xml:space="preserve"> Nothing in this Memorandum creates any partnership, joint venture, agency or employment relationship between the Parties.</w:t>
      </w:r>
    </w:p>
    <w:p>
      <w:r>
        <w:rPr>
          <w:b/>
        </w:rPr>
        <w:t>NOW THEREFORE</w:t>
      </w:r>
      <w:r>
        <w:t xml:space="preserve"> the Parties record their understanding as follows.</w:t>
      </w:r>
    </w:p>
    <w:p>
      <w:pPr>
        <w:spacing w:before="80" w:after="160"/>
        <w:pBdr>
          <w:bottom w:val="single" w:sz="6" w:space="1" w:color="C9D6DE"/>
        </w:pBdr>
      </w:pPr>
    </w:p>
    <w:p>
      <w:pPr>
        <w:pStyle w:val="Heading1"/>
        <w:pBdr>
          <w:bottom w:val="single" w:sz="8" w:space="4" w:color="C9D6DE"/>
        </w:pBdr>
      </w:pPr>
      <w:r>
        <w:t>1. Definitions and interpretation</w:t>
      </w:r>
    </w:p>
    <w:p>
      <w:r>
        <w:rPr>
          <w:b/>
        </w:rPr>
        <w:t>1.1</w:t>
      </w:r>
      <w:r>
        <w:t xml:space="preserve"> In this Memorandum, unless the context otherwise requires: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77"/>
            <w:shd w:val="clear" w:color="auto" w:fill="10375C"/>
          </w:tcPr>
          <w:p>
            <w:pPr>
              <w:spacing w:after="50" w:before="50"/>
            </w:pPr>
            <w:r>
              <w:rPr>
                <w:b/>
                <w:color w:val="FFFFFF"/>
                <w:sz w:val="17"/>
              </w:rPr>
              <w:t>Term</w:t>
            </w:r>
          </w:p>
        </w:tc>
        <w:tc>
          <w:tcPr>
            <w:tcW w:type="dxa" w:w="6591"/>
            <w:shd w:val="clear" w:color="auto" w:fill="10375C"/>
          </w:tcPr>
          <w:p>
            <w:pPr>
              <w:spacing w:after="50" w:before="50"/>
            </w:pPr>
            <w:r>
              <w:rPr>
                <w:b/>
                <w:color w:val="FFFFFF"/>
                <w:sz w:val="17"/>
              </w:rPr>
              <w:t>Meaning</w:t>
            </w:r>
          </w:p>
        </w:tc>
      </w:tr>
      <w:tr>
        <w:tc>
          <w:tcPr>
            <w:tcW w:type="dxa" w:w="2877"/>
          </w:tcPr>
          <w:p>
            <w:pPr>
              <w:spacing w:after="50" w:before="50" w:line="252" w:lineRule="auto"/>
            </w:pPr>
            <w:r>
              <w:rPr>
                <w:b/>
                <w:sz w:val="17"/>
              </w:rPr>
              <w:t>Activity</w:t>
            </w:r>
          </w:p>
        </w:tc>
        <w:tc>
          <w:tcPr>
            <w:tcW w:type="dxa" w:w="6591"/>
          </w:tcPr>
          <w:p>
            <w:pPr>
              <w:spacing w:after="50" w:before="50" w:line="252" w:lineRule="auto"/>
            </w:pPr>
            <w:r>
              <w:rPr>
                <w:sz w:val="17"/>
              </w:rPr>
              <w:t>Any programme, course, workshop, competition, internship, event, research project or service undertaken under this Memorandum or any Schedule</w:t>
            </w:r>
          </w:p>
        </w:tc>
      </w:tr>
      <w:tr>
        <w:tc>
          <w:tcPr>
            <w:tcW w:type="dxa" w:w="2877"/>
            <w:shd w:val="clear" w:color="auto" w:fill="EAF1F4"/>
          </w:tcPr>
          <w:p>
            <w:pPr>
              <w:spacing w:after="50" w:before="50" w:line="252" w:lineRule="auto"/>
            </w:pPr>
            <w:r>
              <w:rPr>
                <w:b/>
                <w:sz w:val="17"/>
              </w:rPr>
              <w:t>Activity Calendar</w:t>
            </w:r>
          </w:p>
        </w:tc>
        <w:tc>
          <w:tcPr>
            <w:tcW w:type="dxa" w:w="6591"/>
            <w:shd w:val="clear" w:color="auto" w:fill="EAF1F4"/>
          </w:tcPr>
          <w:p>
            <w:pPr>
              <w:spacing w:after="50" w:before="50" w:line="252" w:lineRule="auto"/>
            </w:pPr>
            <w:r>
              <w:rPr>
                <w:sz w:val="17"/>
              </w:rPr>
              <w:t>The written calendar of Activities for an Academic Year, agreed and signed by the Nodal Officers under clause 6.2</w:t>
            </w:r>
          </w:p>
        </w:tc>
      </w:tr>
      <w:tr>
        <w:tc>
          <w:tcPr>
            <w:tcW w:type="dxa" w:w="2877"/>
          </w:tcPr>
          <w:p>
            <w:pPr>
              <w:spacing w:after="50" w:before="50" w:line="252" w:lineRule="auto"/>
            </w:pPr>
            <w:r>
              <w:rPr>
                <w:b/>
                <w:sz w:val="17"/>
              </w:rPr>
              <w:t>Academic Year</w:t>
            </w:r>
          </w:p>
        </w:tc>
        <w:tc>
          <w:tcPr>
            <w:tcW w:type="dxa" w:w="6591"/>
          </w:tcPr>
          <w:p>
            <w:pPr>
              <w:spacing w:after="50" w:before="50" w:line="252" w:lineRule="auto"/>
            </w:pPr>
            <w:r>
              <w:rPr>
                <w:sz w:val="17"/>
              </w:rPr>
              <w:t>The academic year of the University as notified by it, and in the absence of notification, 1 July to 30 June</w:t>
            </w:r>
          </w:p>
        </w:tc>
      </w:tr>
      <w:tr>
        <w:tc>
          <w:tcPr>
            <w:tcW w:type="dxa" w:w="2877"/>
            <w:shd w:val="clear" w:color="auto" w:fill="EAF1F4"/>
          </w:tcPr>
          <w:p>
            <w:pPr>
              <w:spacing w:after="50" w:before="50" w:line="252" w:lineRule="auto"/>
            </w:pPr>
            <w:r>
              <w:rPr>
                <w:b/>
                <w:sz w:val="17"/>
              </w:rPr>
              <w:t>Applicable Law</w:t>
            </w:r>
          </w:p>
        </w:tc>
        <w:tc>
          <w:tcPr>
            <w:tcW w:type="dxa" w:w="6591"/>
            <w:shd w:val="clear" w:color="auto" w:fill="EAF1F4"/>
          </w:tcPr>
          <w:p>
            <w:pPr>
              <w:spacing w:after="50" w:before="50" w:line="252" w:lineRule="auto"/>
            </w:pPr>
            <w:r>
              <w:rPr>
                <w:sz w:val="17"/>
              </w:rPr>
              <w:t>All statutes, rules, regulations, notifications, orders and judicial decisions in force in India and applicable to a Party or to an Activity</w:t>
            </w:r>
          </w:p>
        </w:tc>
      </w:tr>
      <w:tr>
        <w:tc>
          <w:tcPr>
            <w:tcW w:type="dxa" w:w="2877"/>
          </w:tcPr>
          <w:p>
            <w:pPr>
              <w:spacing w:after="50" w:before="50" w:line="252" w:lineRule="auto"/>
            </w:pPr>
            <w:r>
              <w:rPr>
                <w:b/>
                <w:sz w:val="17"/>
              </w:rPr>
              <w:t>Background IP</w:t>
            </w:r>
          </w:p>
        </w:tc>
        <w:tc>
          <w:tcPr>
            <w:tcW w:type="dxa" w:w="6591"/>
          </w:tcPr>
          <w:p>
            <w:pPr>
              <w:spacing w:after="50" w:before="50" w:line="252" w:lineRule="auto"/>
            </w:pPr>
            <w:r>
              <w:rPr>
                <w:sz w:val="17"/>
              </w:rPr>
              <w:t>Intellectual property owned or licensed by a Party before the Effective Date, or created independently of this Memorandum</w:t>
            </w:r>
          </w:p>
        </w:tc>
      </w:tr>
      <w:tr>
        <w:tc>
          <w:tcPr>
            <w:tcW w:type="dxa" w:w="2877"/>
            <w:shd w:val="clear" w:color="auto" w:fill="EAF1F4"/>
          </w:tcPr>
          <w:p>
            <w:pPr>
              <w:spacing w:after="50" w:before="50" w:line="252" w:lineRule="auto"/>
            </w:pPr>
            <w:r>
              <w:rPr>
                <w:b/>
                <w:sz w:val="17"/>
              </w:rPr>
              <w:t>Commencement Date</w:t>
            </w:r>
          </w:p>
        </w:tc>
        <w:tc>
          <w:tcPr>
            <w:tcW w:type="dxa" w:w="6591"/>
            <w:shd w:val="clear" w:color="auto" w:fill="EAF1F4"/>
          </w:tcPr>
          <w:p>
            <w:pPr>
              <w:spacing w:after="50" w:before="50" w:line="252" w:lineRule="auto"/>
            </w:pPr>
            <w:r>
              <w:rPr>
                <w:sz w:val="17"/>
              </w:rPr>
              <w:t>The date stated in clause 5.1</w:t>
            </w:r>
          </w:p>
        </w:tc>
      </w:tr>
      <w:tr>
        <w:tc>
          <w:tcPr>
            <w:tcW w:type="dxa" w:w="2877"/>
          </w:tcPr>
          <w:p>
            <w:pPr>
              <w:spacing w:after="50" w:before="50" w:line="252" w:lineRule="auto"/>
            </w:pPr>
            <w:r>
              <w:rPr>
                <w:b/>
                <w:sz w:val="17"/>
              </w:rPr>
              <w:t>Confidential Information</w:t>
            </w:r>
          </w:p>
        </w:tc>
        <w:tc>
          <w:tcPr>
            <w:tcW w:type="dxa" w:w="6591"/>
          </w:tcPr>
          <w:p>
            <w:pPr>
              <w:spacing w:after="50" w:before="50" w:line="252" w:lineRule="auto"/>
            </w:pPr>
            <w:r>
              <w:rPr>
                <w:sz w:val="17"/>
              </w:rPr>
              <w:t>Has the meaning in clause 10.1</w:t>
            </w:r>
          </w:p>
        </w:tc>
      </w:tr>
      <w:tr>
        <w:tc>
          <w:tcPr>
            <w:tcW w:type="dxa" w:w="2877"/>
            <w:shd w:val="clear" w:color="auto" w:fill="EAF1F4"/>
          </w:tcPr>
          <w:p>
            <w:pPr>
              <w:spacing w:after="50" w:before="50" w:line="252" w:lineRule="auto"/>
            </w:pPr>
            <w:r>
              <w:rPr>
                <w:b/>
                <w:sz w:val="17"/>
              </w:rPr>
              <w:t>Data Addendum</w:t>
            </w:r>
          </w:p>
        </w:tc>
        <w:tc>
          <w:tcPr>
            <w:tcW w:type="dxa" w:w="6591"/>
            <w:shd w:val="clear" w:color="auto" w:fill="EAF1F4"/>
          </w:tcPr>
          <w:p>
            <w:pPr>
              <w:spacing w:after="50" w:before="50" w:line="252" w:lineRule="auto"/>
            </w:pPr>
            <w:r>
              <w:rPr>
                <w:sz w:val="17"/>
              </w:rPr>
              <w:t>The Data Sharing and DPDP Compliance Addendum at Schedule I, where executed</w:t>
            </w:r>
          </w:p>
        </w:tc>
      </w:tr>
      <w:tr>
        <w:tc>
          <w:tcPr>
            <w:tcW w:type="dxa" w:w="2877"/>
          </w:tcPr>
          <w:p>
            <w:pPr>
              <w:spacing w:after="50" w:before="50" w:line="252" w:lineRule="auto"/>
            </w:pPr>
            <w:r>
              <w:rPr>
                <w:b/>
                <w:sz w:val="17"/>
              </w:rPr>
              <w:t>Foreground IP</w:t>
            </w:r>
          </w:p>
        </w:tc>
        <w:tc>
          <w:tcPr>
            <w:tcW w:type="dxa" w:w="6591"/>
          </w:tcPr>
          <w:p>
            <w:pPr>
              <w:spacing w:after="50" w:before="50" w:line="252" w:lineRule="auto"/>
            </w:pPr>
            <w:r>
              <w:rPr>
                <w:sz w:val="17"/>
              </w:rPr>
              <w:t>Intellectual property created in the course of an Activity</w:t>
            </w:r>
          </w:p>
        </w:tc>
      </w:tr>
      <w:tr>
        <w:tc>
          <w:tcPr>
            <w:tcW w:type="dxa" w:w="2877"/>
            <w:shd w:val="clear" w:color="auto" w:fill="EAF1F4"/>
          </w:tcPr>
          <w:p>
            <w:pPr>
              <w:spacing w:after="50" w:before="50" w:line="252" w:lineRule="auto"/>
            </w:pPr>
            <w:r>
              <w:rPr>
                <w:b/>
                <w:sz w:val="17"/>
              </w:rPr>
              <w:t>Institute Materials</w:t>
            </w:r>
          </w:p>
        </w:tc>
        <w:tc>
          <w:tcPr>
            <w:tcW w:type="dxa" w:w="6591"/>
            <w:shd w:val="clear" w:color="auto" w:fill="EAF1F4"/>
          </w:tcPr>
          <w:p>
            <w:pPr>
              <w:spacing w:after="50" w:before="50" w:line="252" w:lineRule="auto"/>
            </w:pPr>
            <w:r>
              <w:rPr>
                <w:sz w:val="17"/>
              </w:rPr>
              <w:t>Curricula, session plans, workbooks, simulation materials, competition problems, assessment instruments, scoring criteria, recordings, methodologies and all other materials created or supplied by the Institute</w:t>
            </w:r>
          </w:p>
        </w:tc>
      </w:tr>
      <w:tr>
        <w:tc>
          <w:tcPr>
            <w:tcW w:type="dxa" w:w="2877"/>
          </w:tcPr>
          <w:p>
            <w:pPr>
              <w:spacing w:after="50" w:before="50" w:line="252" w:lineRule="auto"/>
            </w:pPr>
            <w:r>
              <w:rPr>
                <w:b/>
                <w:sz w:val="17"/>
              </w:rPr>
              <w:t>Marks</w:t>
            </w:r>
          </w:p>
        </w:tc>
        <w:tc>
          <w:tcPr>
            <w:tcW w:type="dxa" w:w="6591"/>
          </w:tcPr>
          <w:p>
            <w:pPr>
              <w:spacing w:after="50" w:before="50" w:line="252" w:lineRule="auto"/>
            </w:pPr>
            <w:r>
              <w:rPr>
                <w:sz w:val="17"/>
              </w:rPr>
              <w:t>Trade marks, service marks, logos, names, devices and other indicia of a Party</w:t>
            </w:r>
          </w:p>
        </w:tc>
      </w:tr>
      <w:tr>
        <w:tc>
          <w:tcPr>
            <w:tcW w:type="dxa" w:w="2877"/>
            <w:shd w:val="clear" w:color="auto" w:fill="EAF1F4"/>
          </w:tcPr>
          <w:p>
            <w:pPr>
              <w:spacing w:after="50" w:before="50" w:line="252" w:lineRule="auto"/>
            </w:pPr>
            <w:r>
              <w:rPr>
                <w:b/>
                <w:sz w:val="17"/>
              </w:rPr>
              <w:t>Nodal Officer</w:t>
            </w:r>
          </w:p>
        </w:tc>
        <w:tc>
          <w:tcPr>
            <w:tcW w:type="dxa" w:w="6591"/>
            <w:shd w:val="clear" w:color="auto" w:fill="EAF1F4"/>
          </w:tcPr>
          <w:p>
            <w:pPr>
              <w:spacing w:after="50" w:before="50" w:line="252" w:lineRule="auto"/>
            </w:pPr>
            <w:r>
              <w:rPr>
                <w:sz w:val="17"/>
              </w:rPr>
              <w:t>The officer named by each Party under clause 6.1</w:t>
            </w:r>
          </w:p>
        </w:tc>
      </w:tr>
      <w:tr>
        <w:tc>
          <w:tcPr>
            <w:tcW w:type="dxa" w:w="2877"/>
          </w:tcPr>
          <w:p>
            <w:pPr>
              <w:spacing w:after="50" w:before="50" w:line="252" w:lineRule="auto"/>
            </w:pPr>
            <w:r>
              <w:rPr>
                <w:b/>
                <w:sz w:val="17"/>
              </w:rPr>
              <w:t>Participant</w:t>
            </w:r>
          </w:p>
        </w:tc>
        <w:tc>
          <w:tcPr>
            <w:tcW w:type="dxa" w:w="6591"/>
          </w:tcPr>
          <w:p>
            <w:pPr>
              <w:spacing w:after="50" w:before="50" w:line="252" w:lineRule="auto"/>
            </w:pPr>
            <w:r>
              <w:rPr>
                <w:sz w:val="17"/>
              </w:rPr>
              <w:t>Any student, faculty member, officer or other person participating in an Activity</w:t>
            </w:r>
          </w:p>
        </w:tc>
      </w:tr>
      <w:tr>
        <w:tc>
          <w:tcPr>
            <w:tcW w:type="dxa" w:w="2877"/>
            <w:shd w:val="clear" w:color="auto" w:fill="EAF1F4"/>
          </w:tcPr>
          <w:p>
            <w:pPr>
              <w:spacing w:after="50" w:before="50" w:line="252" w:lineRule="auto"/>
            </w:pPr>
            <w:r>
              <w:rPr>
                <w:b/>
                <w:sz w:val="17"/>
              </w:rPr>
              <w:t>Personal Data</w:t>
            </w:r>
          </w:p>
        </w:tc>
        <w:tc>
          <w:tcPr>
            <w:tcW w:type="dxa" w:w="6591"/>
            <w:shd w:val="clear" w:color="auto" w:fill="EAF1F4"/>
          </w:tcPr>
          <w:p>
            <w:pPr>
              <w:spacing w:after="50" w:before="50" w:line="252" w:lineRule="auto"/>
            </w:pPr>
            <w:r>
              <w:rPr>
                <w:sz w:val="17"/>
              </w:rPr>
              <w:t>Has the meaning given in the Digital Personal Data Protection Act, 2023</w:t>
            </w:r>
          </w:p>
        </w:tc>
      </w:tr>
      <w:tr>
        <w:tc>
          <w:tcPr>
            <w:tcW w:type="dxa" w:w="2877"/>
          </w:tcPr>
          <w:p>
            <w:pPr>
              <w:spacing w:after="50" w:before="50" w:line="252" w:lineRule="auto"/>
            </w:pPr>
            <w:r>
              <w:rPr>
                <w:b/>
                <w:sz w:val="17"/>
              </w:rPr>
              <w:t>Schedule</w:t>
            </w:r>
          </w:p>
        </w:tc>
        <w:tc>
          <w:tcPr>
            <w:tcW w:type="dxa" w:w="6591"/>
          </w:tcPr>
          <w:p>
            <w:pPr>
              <w:spacing w:after="50" w:before="50" w:line="252" w:lineRule="auto"/>
            </w:pPr>
            <w:r>
              <w:rPr>
                <w:sz w:val="17"/>
              </w:rPr>
              <w:t>A schedule to this Memorandum, executed or adopted under clause 3</w:t>
            </w:r>
          </w:p>
        </w:tc>
      </w:tr>
      <w:tr>
        <w:tc>
          <w:tcPr>
            <w:tcW w:type="dxa" w:w="2877"/>
            <w:shd w:val="clear" w:color="auto" w:fill="EAF1F4"/>
          </w:tcPr>
          <w:p>
            <w:pPr>
              <w:spacing w:after="50" w:before="50" w:line="252" w:lineRule="auto"/>
            </w:pPr>
            <w:r>
              <w:rPr>
                <w:b/>
                <w:sz w:val="17"/>
              </w:rPr>
              <w:t>Steering Committee</w:t>
            </w:r>
          </w:p>
        </w:tc>
        <w:tc>
          <w:tcPr>
            <w:tcW w:type="dxa" w:w="6591"/>
            <w:shd w:val="clear" w:color="auto" w:fill="EAF1F4"/>
          </w:tcPr>
          <w:p>
            <w:pPr>
              <w:spacing w:after="50" w:before="50" w:line="252" w:lineRule="auto"/>
            </w:pPr>
            <w:r>
              <w:rPr>
                <w:sz w:val="17"/>
              </w:rPr>
              <w:t>The joint steering committee constituted under clause 7</w:t>
            </w:r>
          </w:p>
        </w:tc>
      </w:tr>
      <w:tr>
        <w:tc>
          <w:tcPr>
            <w:tcW w:type="dxa" w:w="2877"/>
          </w:tcPr>
          <w:p>
            <w:pPr>
              <w:spacing w:after="50" w:before="50" w:line="252" w:lineRule="auto"/>
            </w:pPr>
            <w:r>
              <w:rPr>
                <w:b/>
                <w:sz w:val="17"/>
              </w:rPr>
              <w:t>Term</w:t>
            </w:r>
          </w:p>
        </w:tc>
        <w:tc>
          <w:tcPr>
            <w:tcW w:type="dxa" w:w="6591"/>
          </w:tcPr>
          <w:p>
            <w:pPr>
              <w:spacing w:after="50" w:before="50" w:line="252" w:lineRule="auto"/>
            </w:pPr>
            <w:r>
              <w:rPr>
                <w:sz w:val="17"/>
              </w:rPr>
              <w:t>The period stated in clause 5</w:t>
            </w:r>
          </w:p>
        </w:tc>
      </w:tr>
    </w:tbl>
    <w:p>
      <w:pPr>
        <w:spacing w:after="80" w:before="0"/>
      </w:pPr>
    </w:p>
    <w:p>
      <w:r>
        <w:rPr>
          <w:b/>
        </w:rPr>
        <w:t>1.2</w:t>
      </w:r>
      <w:r>
        <w:t xml:space="preserve"> Headings are for convenience only. The singular includes the plural. A reference to a statute includes any amendment, re-enactment or subordinate legislation under it. </w:t>
      </w:r>
      <w:r>
        <w:rPr>
          <w:i/>
        </w:rPr>
        <w:t>Including</w:t>
      </w:r>
      <w:r>
        <w:t xml:space="preserve"> means including without limitation. Business days are days other than Saturdays, Sundays and public holidays in [●].</w:t>
      </w:r>
    </w:p>
    <w:p>
      <w:r>
        <w:rPr>
          <w:b/>
        </w:rPr>
        <w:t>1.3</w:t>
      </w:r>
      <w:r>
        <w:t xml:space="preserve"> In the event of conflict, the order of precedence is: (a) an executed Schedule containing express commercial terms; (b) the body of this Memorandum; (c) any other Schedule; (d) any Activity Calendar; (e) any other document.</w:t>
      </w:r>
    </w:p>
    <w:p>
      <w:pPr>
        <w:spacing w:before="80" w:after="160"/>
        <w:pBdr>
          <w:bottom w:val="single" w:sz="6" w:space="1" w:color="C9D6DE"/>
        </w:pBdr>
      </w:pPr>
    </w:p>
    <w:p>
      <w:pPr>
        <w:pStyle w:val="Heading1"/>
        <w:pBdr>
          <w:bottom w:val="single" w:sz="8" w:space="4" w:color="C9D6DE"/>
        </w:pBdr>
      </w:pPr>
      <w:r>
        <w:t>2. Purpose and objectives</w:t>
      </w:r>
    </w:p>
    <w:p>
      <w:r>
        <w:rPr>
          <w:b/>
        </w:rPr>
        <w:t>2.1</w:t>
      </w:r>
      <w:r>
        <w:t xml:space="preserve"> The purpose of this Memorandum is to establish a structured collaboration between the Parties in alternative dispute resolution for the benefit of the students, faculty and wider community of the University.</w:t>
      </w:r>
    </w:p>
    <w:p>
      <w:r>
        <w:rPr>
          <w:b/>
        </w:rPr>
        <w:t>2.2</w:t>
      </w:r>
      <w:r>
        <w:t xml:space="preserve"> The objectives are:</w:t>
      </w:r>
    </w:p>
    <w:p>
      <w:r>
        <w:t>(a) to provide the students of the University with practical, assessed training in mediation, negotiation, arbitration and allied disciplines;</w:t>
      </w:r>
    </w:p>
    <w:p>
      <w:r>
        <w:t>(b) to provide structured internship and experiential learning opportunities capable, where the University so determines, of supporting the award of academic credit;</w:t>
      </w:r>
    </w:p>
    <w:p>
      <w:r>
        <w:t>(c) to strengthen the capability of the faculty of the University through professional development and, where mutually agreed, professional association with the Institute;</w:t>
      </w:r>
    </w:p>
    <w:p>
      <w:r>
        <w:t>(d) to conduct competitions, workshops, conferences, seminars and community engagement;</w:t>
      </w:r>
    </w:p>
    <w:p>
      <w:r>
        <w:t>(e) to undertake joint research and publication;</w:t>
      </w:r>
    </w:p>
    <w:p>
      <w:r>
        <w:t>(f) where the University wishes, to support the institutional dispute-resolution machinery of the University; and</w:t>
      </w:r>
    </w:p>
    <w:p>
      <w:r>
        <w:t>(g) to promote awareness of alternative dispute resolution.</w:t>
      </w:r>
    </w:p>
    <w:p>
      <w:r>
        <w:rPr>
          <w:b/>
        </w:rPr>
        <w:t>2.3</w:t>
      </w:r>
      <w:r>
        <w:t xml:space="preserve"> Neither Party is obliged to undertake any Activity not recorded in a Schedule or an agreed Activity Calendar.</w:t>
      </w:r>
    </w:p>
    <w:p>
      <w:pPr>
        <w:spacing w:before="80" w:after="160"/>
        <w:pBdr>
          <w:bottom w:val="single" w:sz="6" w:space="1" w:color="C9D6DE"/>
        </w:pBdr>
      </w:pPr>
    </w:p>
    <w:p>
      <w:pPr>
        <w:pStyle w:val="Heading1"/>
        <w:pBdr>
          <w:bottom w:val="single" w:sz="8" w:space="4" w:color="C9D6DE"/>
        </w:pBdr>
      </w:pPr>
      <w:r>
        <w:t>3. Scope and structure</w:t>
      </w:r>
    </w:p>
    <w:p>
      <w:r>
        <w:rPr>
          <w:b/>
        </w:rPr>
        <w:t>3.1 Tier.</w:t>
      </w:r>
      <w:r>
        <w:t xml:space="preserve"> The Parties record that this collaboration is at </w:t>
      </w:r>
      <w:r>
        <w:rPr>
          <w:b/>
        </w:rPr>
        <w:t>Tier [●]</w:t>
      </w:r>
      <w:r>
        <w:t xml:space="preserve"> of the Institute's partnership framework.</w:t>
      </w:r>
    </w:p>
    <w:p>
      <w:r>
        <w:rPr>
          <w:b/>
        </w:rPr>
        <w:t>3.2 Schedules.</w:t>
      </w:r>
      <w:r>
        <w:t xml:space="preserve"> The following Schedules are executed with, and form part of, this Memorandum. Where a Schedule is not executed at the Commencement Date, the Parties may adopt it subsequently by a written instrument signed by both Nodal Officers and countersigned by the authorised signatories.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960"/>
            <w:shd w:val="clear" w:color="auto" w:fill="10375C"/>
          </w:tcPr>
          <w:p>
            <w:pPr>
              <w:spacing w:after="50" w:before="50"/>
            </w:pPr>
            <w:r>
              <w:rPr>
                <w:b/>
                <w:color w:val="FFFFFF"/>
                <w:sz w:val="17"/>
              </w:rPr>
              <w:t>Schedule</w:t>
            </w:r>
          </w:p>
        </w:tc>
        <w:tc>
          <w:tcPr>
            <w:tcW w:type="dxa" w:w="6781"/>
            <w:shd w:val="clear" w:color="auto" w:fill="10375C"/>
          </w:tcPr>
          <w:p>
            <w:pPr>
              <w:spacing w:after="50" w:before="50"/>
            </w:pPr>
            <w:r>
              <w:rPr>
                <w:b/>
                <w:color w:val="FFFFFF"/>
                <w:sz w:val="17"/>
              </w:rPr>
              <w:t>Subject</w:t>
            </w:r>
          </w:p>
        </w:tc>
        <w:tc>
          <w:tcPr>
            <w:tcW w:type="dxa" w:w="1727"/>
            <w:shd w:val="clear" w:color="auto" w:fill="10375C"/>
          </w:tcPr>
          <w:p>
            <w:pPr>
              <w:spacing w:after="50" w:before="50"/>
            </w:pPr>
            <w:r>
              <w:rPr>
                <w:b/>
                <w:color w:val="FFFFFF"/>
                <w:sz w:val="17"/>
              </w:rPr>
              <w:t>Executed</w:t>
            </w:r>
          </w:p>
        </w:tc>
      </w:tr>
      <w:tr>
        <w:tc>
          <w:tcPr>
            <w:tcW w:type="dxa" w:w="960"/>
          </w:tcPr>
          <w:p>
            <w:pPr>
              <w:spacing w:after="50" w:before="50" w:line="252" w:lineRule="auto"/>
            </w:pPr>
            <w:r>
              <w:rPr>
                <w:sz w:val="17"/>
              </w:rPr>
              <w:t>A</w:t>
            </w:r>
          </w:p>
        </w:tc>
        <w:tc>
          <w:tcPr>
            <w:tcW w:type="dxa" w:w="6781"/>
          </w:tcPr>
          <w:p>
            <w:pPr>
              <w:spacing w:after="50" w:before="50" w:line="252" w:lineRule="auto"/>
            </w:pPr>
            <w:r>
              <w:rPr>
                <w:sz w:val="17"/>
              </w:rPr>
              <w:t>Internships and academic credit</w:t>
            </w:r>
          </w:p>
        </w:tc>
        <w:tc>
          <w:tcPr>
            <w:tcW w:type="dxa" w:w="1727"/>
          </w:tcPr>
          <w:p>
            <w:pPr>
              <w:spacing w:after="50" w:before="50" w:line="252" w:lineRule="auto"/>
            </w:pPr>
            <w:r>
              <w:rPr>
                <w:sz w:val="17"/>
              </w:rPr>
              <w:t>Yes / No</w:t>
            </w:r>
          </w:p>
        </w:tc>
      </w:tr>
      <w:tr>
        <w:tc>
          <w:tcPr>
            <w:tcW w:type="dxa" w:w="960"/>
            <w:shd w:val="clear" w:color="auto" w:fill="EAF1F4"/>
          </w:tcPr>
          <w:p>
            <w:pPr>
              <w:spacing w:after="50" w:before="50" w:line="252" w:lineRule="auto"/>
            </w:pPr>
            <w:r>
              <w:rPr>
                <w:sz w:val="17"/>
              </w:rPr>
              <w:t>B</w:t>
            </w:r>
          </w:p>
        </w:tc>
        <w:tc>
          <w:tcPr>
            <w:tcW w:type="dxa" w:w="6781"/>
            <w:shd w:val="clear" w:color="auto" w:fill="EAF1F4"/>
          </w:tcPr>
          <w:p>
            <w:pPr>
              <w:spacing w:after="50" w:before="50" w:line="252" w:lineRule="auto"/>
            </w:pPr>
            <w:r>
              <w:rPr>
                <w:sz w:val="17"/>
              </w:rPr>
              <w:t>Training and certification programmes</w:t>
            </w:r>
          </w:p>
        </w:tc>
        <w:tc>
          <w:tcPr>
            <w:tcW w:type="dxa" w:w="1727"/>
            <w:shd w:val="clear" w:color="auto" w:fill="EAF1F4"/>
          </w:tcPr>
          <w:p>
            <w:pPr>
              <w:spacing w:after="50" w:before="50" w:line="252" w:lineRule="auto"/>
            </w:pPr>
            <w:r>
              <w:rPr>
                <w:sz w:val="17"/>
              </w:rPr>
              <w:t>Yes / No</w:t>
            </w:r>
          </w:p>
        </w:tc>
      </w:tr>
      <w:tr>
        <w:tc>
          <w:tcPr>
            <w:tcW w:type="dxa" w:w="960"/>
          </w:tcPr>
          <w:p>
            <w:pPr>
              <w:spacing w:after="50" w:before="50" w:line="252" w:lineRule="auto"/>
            </w:pPr>
            <w:r>
              <w:rPr>
                <w:sz w:val="17"/>
              </w:rPr>
              <w:t>C</w:t>
            </w:r>
          </w:p>
        </w:tc>
        <w:tc>
          <w:tcPr>
            <w:tcW w:type="dxa" w:w="6781"/>
          </w:tcPr>
          <w:p>
            <w:pPr>
              <w:spacing w:after="50" w:before="50" w:line="252" w:lineRule="auto"/>
            </w:pPr>
            <w:r>
              <w:rPr>
                <w:sz w:val="17"/>
              </w:rPr>
              <w:t>Competitions</w:t>
            </w:r>
          </w:p>
        </w:tc>
        <w:tc>
          <w:tcPr>
            <w:tcW w:type="dxa" w:w="1727"/>
          </w:tcPr>
          <w:p>
            <w:pPr>
              <w:spacing w:after="50" w:before="50" w:line="252" w:lineRule="auto"/>
            </w:pPr>
            <w:r>
              <w:rPr>
                <w:sz w:val="17"/>
              </w:rPr>
              <w:t>Yes / No</w:t>
            </w:r>
          </w:p>
        </w:tc>
      </w:tr>
      <w:tr>
        <w:tc>
          <w:tcPr>
            <w:tcW w:type="dxa" w:w="960"/>
            <w:shd w:val="clear" w:color="auto" w:fill="EAF1F4"/>
          </w:tcPr>
          <w:p>
            <w:pPr>
              <w:spacing w:after="50" w:before="50" w:line="252" w:lineRule="auto"/>
            </w:pPr>
            <w:r>
              <w:rPr>
                <w:sz w:val="17"/>
              </w:rPr>
              <w:t>D</w:t>
            </w:r>
          </w:p>
        </w:tc>
        <w:tc>
          <w:tcPr>
            <w:tcW w:type="dxa" w:w="6781"/>
            <w:shd w:val="clear" w:color="auto" w:fill="EAF1F4"/>
          </w:tcPr>
          <w:p>
            <w:pPr>
              <w:spacing w:after="50" w:before="50" w:line="252" w:lineRule="auto"/>
            </w:pPr>
            <w:r>
              <w:rPr>
                <w:sz w:val="17"/>
              </w:rPr>
              <w:t>Workshops, conferences and events</w:t>
            </w:r>
          </w:p>
        </w:tc>
        <w:tc>
          <w:tcPr>
            <w:tcW w:type="dxa" w:w="1727"/>
            <w:shd w:val="clear" w:color="auto" w:fill="EAF1F4"/>
          </w:tcPr>
          <w:p>
            <w:pPr>
              <w:spacing w:after="50" w:before="50" w:line="252" w:lineRule="auto"/>
            </w:pPr>
            <w:r>
              <w:rPr>
                <w:sz w:val="17"/>
              </w:rPr>
              <w:t>Yes / No</w:t>
            </w:r>
          </w:p>
        </w:tc>
      </w:tr>
      <w:tr>
        <w:tc>
          <w:tcPr>
            <w:tcW w:type="dxa" w:w="960"/>
          </w:tcPr>
          <w:p>
            <w:pPr>
              <w:spacing w:after="50" w:before="50" w:line="252" w:lineRule="auto"/>
            </w:pPr>
            <w:r>
              <w:rPr>
                <w:sz w:val="17"/>
              </w:rPr>
              <w:t>E</w:t>
            </w:r>
          </w:p>
        </w:tc>
        <w:tc>
          <w:tcPr>
            <w:tcW w:type="dxa" w:w="6781"/>
          </w:tcPr>
          <w:p>
            <w:pPr>
              <w:spacing w:after="50" w:before="50" w:line="252" w:lineRule="auto"/>
            </w:pPr>
            <w:r>
              <w:rPr>
                <w:sz w:val="17"/>
              </w:rPr>
              <w:t>Research and publications</w:t>
            </w:r>
          </w:p>
        </w:tc>
        <w:tc>
          <w:tcPr>
            <w:tcW w:type="dxa" w:w="1727"/>
          </w:tcPr>
          <w:p>
            <w:pPr>
              <w:spacing w:after="50" w:before="50" w:line="252" w:lineRule="auto"/>
            </w:pPr>
            <w:r>
              <w:rPr>
                <w:sz w:val="17"/>
              </w:rPr>
              <w:t>Yes / No</w:t>
            </w:r>
          </w:p>
        </w:tc>
      </w:tr>
      <w:tr>
        <w:tc>
          <w:tcPr>
            <w:tcW w:type="dxa" w:w="960"/>
            <w:shd w:val="clear" w:color="auto" w:fill="EAF1F4"/>
          </w:tcPr>
          <w:p>
            <w:pPr>
              <w:spacing w:after="50" w:before="50" w:line="252" w:lineRule="auto"/>
            </w:pPr>
            <w:r>
              <w:rPr>
                <w:sz w:val="17"/>
              </w:rPr>
              <w:t>F</w:t>
            </w:r>
          </w:p>
        </w:tc>
        <w:tc>
          <w:tcPr>
            <w:tcW w:type="dxa" w:w="6781"/>
            <w:shd w:val="clear" w:color="auto" w:fill="EAF1F4"/>
          </w:tcPr>
          <w:p>
            <w:pPr>
              <w:spacing w:after="50" w:before="50" w:line="252" w:lineRule="auto"/>
            </w:pPr>
            <w:r>
              <w:rPr>
                <w:sz w:val="17"/>
              </w:rPr>
              <w:t>Campus infrastructure and the ADR Laboratory</w:t>
            </w:r>
          </w:p>
        </w:tc>
        <w:tc>
          <w:tcPr>
            <w:tcW w:type="dxa" w:w="1727"/>
            <w:shd w:val="clear" w:color="auto" w:fill="EAF1F4"/>
          </w:tcPr>
          <w:p>
            <w:pPr>
              <w:spacing w:after="50" w:before="50" w:line="252" w:lineRule="auto"/>
            </w:pPr>
            <w:r>
              <w:rPr>
                <w:sz w:val="17"/>
              </w:rPr>
              <w:t>Yes / No</w:t>
            </w:r>
          </w:p>
        </w:tc>
      </w:tr>
      <w:tr>
        <w:tc>
          <w:tcPr>
            <w:tcW w:type="dxa" w:w="960"/>
          </w:tcPr>
          <w:p>
            <w:pPr>
              <w:spacing w:after="50" w:before="50" w:line="252" w:lineRule="auto"/>
            </w:pPr>
            <w:r>
              <w:rPr>
                <w:sz w:val="17"/>
              </w:rPr>
              <w:t>G</w:t>
            </w:r>
          </w:p>
        </w:tc>
        <w:tc>
          <w:tcPr>
            <w:tcW w:type="dxa" w:w="6781"/>
          </w:tcPr>
          <w:p>
            <w:pPr>
              <w:spacing w:after="50" w:before="50" w:line="252" w:lineRule="auto"/>
            </w:pPr>
            <w:r>
              <w:rPr>
                <w:sz w:val="17"/>
              </w:rPr>
              <w:t>Brand, marketing and social media</w:t>
            </w:r>
          </w:p>
        </w:tc>
        <w:tc>
          <w:tcPr>
            <w:tcW w:type="dxa" w:w="1727"/>
          </w:tcPr>
          <w:p>
            <w:pPr>
              <w:spacing w:after="50" w:before="50" w:line="252" w:lineRule="auto"/>
            </w:pPr>
            <w:r>
              <w:rPr>
                <w:sz w:val="17"/>
              </w:rPr>
              <w:t>Yes / No</w:t>
            </w:r>
          </w:p>
        </w:tc>
      </w:tr>
      <w:tr>
        <w:tc>
          <w:tcPr>
            <w:tcW w:type="dxa" w:w="960"/>
            <w:shd w:val="clear" w:color="auto" w:fill="EAF1F4"/>
          </w:tcPr>
          <w:p>
            <w:pPr>
              <w:spacing w:after="50" w:before="50" w:line="252" w:lineRule="auto"/>
            </w:pPr>
            <w:r>
              <w:rPr>
                <w:sz w:val="17"/>
              </w:rPr>
              <w:t>H</w:t>
            </w:r>
          </w:p>
        </w:tc>
        <w:tc>
          <w:tcPr>
            <w:tcW w:type="dxa" w:w="6781"/>
            <w:shd w:val="clear" w:color="auto" w:fill="EAF1F4"/>
          </w:tcPr>
          <w:p>
            <w:pPr>
              <w:spacing w:after="50" w:before="50" w:line="252" w:lineRule="auto"/>
            </w:pPr>
            <w:r>
              <w:rPr>
                <w:sz w:val="17"/>
              </w:rPr>
              <w:t>Commercial terms</w:t>
            </w:r>
          </w:p>
        </w:tc>
        <w:tc>
          <w:tcPr>
            <w:tcW w:type="dxa" w:w="1727"/>
            <w:shd w:val="clear" w:color="auto" w:fill="EAF1F4"/>
          </w:tcPr>
          <w:p>
            <w:pPr>
              <w:spacing w:after="50" w:before="50" w:line="252" w:lineRule="auto"/>
            </w:pPr>
            <w:r>
              <w:rPr>
                <w:sz w:val="17"/>
              </w:rPr>
              <w:t>Yes / No</w:t>
            </w:r>
          </w:p>
        </w:tc>
      </w:tr>
      <w:tr>
        <w:tc>
          <w:tcPr>
            <w:tcW w:type="dxa" w:w="960"/>
          </w:tcPr>
          <w:p>
            <w:pPr>
              <w:spacing w:after="50" w:before="50" w:line="252" w:lineRule="auto"/>
            </w:pPr>
            <w:r>
              <w:rPr>
                <w:sz w:val="17"/>
              </w:rPr>
              <w:t>I</w:t>
            </w:r>
          </w:p>
        </w:tc>
        <w:tc>
          <w:tcPr>
            <w:tcW w:type="dxa" w:w="6781"/>
          </w:tcPr>
          <w:p>
            <w:pPr>
              <w:spacing w:after="50" w:before="50" w:line="252" w:lineRule="auto"/>
            </w:pPr>
            <w:r>
              <w:rPr>
                <w:sz w:val="17"/>
              </w:rPr>
              <w:t>Data sharing and DPDP compliance</w:t>
            </w:r>
          </w:p>
        </w:tc>
        <w:tc>
          <w:tcPr>
            <w:tcW w:type="dxa" w:w="1727"/>
          </w:tcPr>
          <w:p>
            <w:pPr>
              <w:spacing w:after="50" w:before="50" w:line="252" w:lineRule="auto"/>
            </w:pPr>
            <w:r>
              <w:rPr>
                <w:sz w:val="17"/>
              </w:rPr>
              <w:t>Yes / No</w:t>
            </w:r>
          </w:p>
        </w:tc>
      </w:tr>
    </w:tbl>
    <w:p>
      <w:pPr>
        <w:spacing w:after="80" w:before="0"/>
      </w:pPr>
    </w:p>
    <w:p>
      <w:r>
        <w:rPr>
          <w:b/>
        </w:rPr>
        <w:t>3.3</w:t>
      </w:r>
      <w:r>
        <w:t xml:space="preserve"> No Schedule may impose an obligation inconsistent with the body of this Memorandum, save where it expressly states that it does so and is signed by the authorised signatories of both Parties.</w:t>
      </w:r>
    </w:p>
    <w:p>
      <w:pPr>
        <w:spacing w:before="80" w:after="160"/>
        <w:pBdr>
          <w:bottom w:val="single" w:sz="6" w:space="1" w:color="C9D6DE"/>
        </w:pBdr>
      </w:pPr>
    </w:p>
    <w:p>
      <w:pPr>
        <w:pStyle w:val="Heading1"/>
        <w:pBdr>
          <w:bottom w:val="single" w:sz="8" w:space="4" w:color="C9D6DE"/>
        </w:pBdr>
      </w:pPr>
      <w:r>
        <w:t>4. Obligations of the Parties</w:t>
      </w:r>
    </w:p>
    <w:p>
      <w:r>
        <w:rPr>
          <w:b/>
        </w:rPr>
        <w:t>4.1 The Institute shall:</w:t>
      </w:r>
    </w:p>
    <w:p>
      <w:r>
        <w:t>(a) design, deliver and assess Activities in accordance with the Schedules and the Activity Calendar;</w:t>
      </w:r>
    </w:p>
    <w:p>
      <w:r>
        <w:t>(b) provide qualified trainers, resource persons and supervisors, each engaged on terms including obligations as to conduct, confidentiality and conflicts of interest;</w:t>
      </w:r>
    </w:p>
    <w:p>
      <w:r>
        <w:t>(c) provide curricula, materials, assessment instruments and, on completion, certificates in the agreed form;</w:t>
      </w:r>
    </w:p>
    <w:p>
      <w:r>
        <w:t>(d) maintain attendance, assessment and feedback records for each Activity and provide the University with a written report within twenty-one days of completion;</w:t>
      </w:r>
    </w:p>
    <w:p>
      <w:r>
        <w:t>(e) maintain the insurances stated in clause 15;</w:t>
      </w:r>
    </w:p>
    <w:p>
      <w:r>
        <w:t>(f) ensure that its personnel comply with the policies, rules and reasonable directions of the University when on University premises;</w:t>
      </w:r>
    </w:p>
    <w:p>
      <w:r>
        <w:t>(g) comply with the Mediation Act, 2023 in relation to any Activity involving a live matter, in particular as to confidentiality and the prohibition on recording;</w:t>
      </w:r>
    </w:p>
    <w:p>
      <w:r>
        <w:t>(h) comply with Applicable Law relating to the protection of Personal Data; and</w:t>
      </w:r>
    </w:p>
    <w:p>
      <w:r>
        <w:t>(i) act at all times so as not to bring the University into disrepute.</w:t>
      </w:r>
    </w:p>
    <w:p>
      <w:r>
        <w:rPr>
          <w:b/>
        </w:rPr>
        <w:t>4.2 The University shall:</w:t>
      </w:r>
    </w:p>
    <w:p>
      <w:r>
        <w:t>(a) provide reasonable access to classrooms, halls, laboratories and other facilities for Activities on the terms of the Activity Calendar and Schedule F;</w:t>
      </w:r>
    </w:p>
    <w:p>
      <w:r>
        <w:t>(b) mobilise and inform students and faculty in relation to Activities;</w:t>
      </w:r>
    </w:p>
    <w:p>
      <w:r>
        <w:t>(c) provide academic coordination and, where it so determines, undertake credit mapping in accordance with its own regulations;</w:t>
      </w:r>
    </w:p>
    <w:p>
      <w:r>
        <w:t>(d) provide a Nodal Officer and reasonable administrative support;</w:t>
      </w:r>
    </w:p>
    <w:p>
      <w:r>
        <w:t>(e) ensure that its premises are safe, secure and compliant with Applicable Law for the Activities conducted on them;</w:t>
      </w:r>
    </w:p>
    <w:p>
      <w:r>
        <w:t>(f) constitute and maintain such internal committees and approvals as its own regulations require in relation to an Activity;</w:t>
      </w:r>
    </w:p>
    <w:p>
      <w:r>
        <w:t>(g) comply with Applicable Law relating to the protection of Personal Data; and</w:t>
      </w:r>
    </w:p>
    <w:p>
      <w:r>
        <w:t>(h) act at all times so as not to bring the Institute into disrepute.</w:t>
      </w:r>
    </w:p>
    <w:p>
      <w:r>
        <w:rPr>
          <w:b/>
        </w:rPr>
        <w:t>4.3 Both Parties shall</w:t>
      </w:r>
      <w:r>
        <w:t xml:space="preserve"> deal with each other in good faith, respond to reasonable requests within ten business days, and give as much notice as is practicable of any matter likely to affect an Activity.</w:t>
      </w:r>
    </w:p>
    <w:p>
      <w:pPr>
        <w:spacing w:before="80" w:after="160"/>
        <w:pBdr>
          <w:bottom w:val="single" w:sz="6" w:space="1" w:color="C9D6DE"/>
        </w:pBdr>
      </w:pPr>
    </w:p>
    <w:p>
      <w:pPr>
        <w:pStyle w:val="Heading1"/>
        <w:pBdr>
          <w:bottom w:val="single" w:sz="8" w:space="4" w:color="C9D6DE"/>
        </w:pBdr>
      </w:pPr>
      <w:r>
        <w:t>5. Term, renewal and termination</w:t>
      </w:r>
    </w:p>
    <w:p>
      <w:r>
        <w:rPr>
          <w:b/>
        </w:rPr>
        <w:t>5.1 Term.</w:t>
      </w:r>
      <w:r>
        <w:t xml:space="preserve"> This Memorandum commences on </w:t>
      </w:r>
      <w:r>
        <w:rPr>
          <w:b/>
        </w:rPr>
        <w:t>[●]</w:t>
      </w:r>
      <w:r>
        <w:t xml:space="preserve"> (the </w:t>
      </w:r>
      <w:r>
        <w:rPr>
          <w:b/>
        </w:rPr>
        <w:t>Commencement Date</w:t>
      </w:r>
      <w:r>
        <w:t xml:space="preserve">) and continues for </w:t>
      </w:r>
      <w:r>
        <w:rPr>
          <w:b/>
        </w:rPr>
        <w:t>[●] years</w:t>
      </w:r>
      <w:r>
        <w:t>, unless terminated earlier under this clause.</w:t>
      </w:r>
    </w:p>
    <w:p>
      <w:r>
        <w:rPr>
          <w:b/>
        </w:rPr>
        <w:t>5.2 Renewal.</w:t>
      </w:r>
      <w:r>
        <w:t xml:space="preserve"> The Parties shall consider renewal not less than ninety days before expiry, informed by the annual review under clause 7.5. Renewal is effected by a written instrument signed by both Parties. This Memorandum does not renew automatically.</w:t>
      </w:r>
    </w:p>
    <w:p>
      <w:r>
        <w:rPr>
          <w:b/>
        </w:rPr>
        <w:t>5.3 Termination for convenience.</w:t>
      </w:r>
      <w:r>
        <w:t xml:space="preserve"> Either Party may terminate on </w:t>
      </w:r>
      <w:r>
        <w:rPr>
          <w:b/>
        </w:rPr>
        <w:t>ninety days'</w:t>
      </w:r>
      <w:r>
        <w:t xml:space="preserve"> written notice, expiring at the end of an academic term.</w:t>
      </w:r>
    </w:p>
    <w:p>
      <w:r>
        <w:rPr>
          <w:b/>
        </w:rPr>
        <w:t>5.4 Termination for cause.</w:t>
      </w:r>
      <w:r>
        <w:t xml:space="preserve"> Either Party may terminate immediately on written notice where the other:</w:t>
      </w:r>
    </w:p>
    <w:p>
      <w:r>
        <w:t>(a) commits a material breach which, being capable of remedy, is not remedied within thirty days of written notice;</w:t>
      </w:r>
    </w:p>
    <w:p>
      <w:r>
        <w:t>(b) commits a material breach incapable of remedy;</w:t>
      </w:r>
    </w:p>
    <w:p>
      <w:r>
        <w:t>(c) suffers insolvency, winding up, or the appointment of a receiver or liquidator;</w:t>
      </w:r>
    </w:p>
    <w:p>
      <w:r>
        <w:t>(d) is subject to any regulatory action, or to any event, which in the reasonable opinion of the terminating Party would bring it into serious disrepute; or</w:t>
      </w:r>
    </w:p>
    <w:p>
      <w:r>
        <w:t>(e) is in breach of clause 10 (confidentiality), clause 11 (personal data), clause 12 (safeguarding) or clause 13 (anti-bribery).</w:t>
      </w:r>
    </w:p>
    <w:p>
      <w:r>
        <w:rPr>
          <w:b/>
        </w:rPr>
        <w:t>5.5 Consequences of expiry or termination.</w:t>
      </w:r>
      <w:r>
        <w:t xml:space="preserve"> On expiry or termination:</w:t>
      </w:r>
    </w:p>
    <w:p>
      <w:r>
        <w:t>(a) Activities in progress shall be completed unless the Parties agree otherwise, and Participants shall be assessed and certified in the ordinary course;</w:t>
      </w:r>
    </w:p>
    <w:p>
      <w:r>
        <w:t>(b) students on internship shall complete their placements;</w:t>
      </w:r>
    </w:p>
    <w:p>
      <w:r>
        <w:t>(c) competition entries already accepted remain valid;</w:t>
      </w:r>
    </w:p>
    <w:p>
      <w:r>
        <w:t>(d) each Party shall within thirty days cease all use of the other's Marks and remove them from its website, publications and collateral;</w:t>
      </w:r>
    </w:p>
    <w:p>
      <w:r>
        <w:t>(e) each Party shall within thirty days return or destroy the Confidential Information of the other, save for one archival copy retained for compliance purposes and save as required by Applicable Law;</w:t>
      </w:r>
    </w:p>
    <w:p>
      <w:r>
        <w:t>(f) Personal Data shall be dealt with in accordance with the Data Addendum;</w:t>
      </w:r>
    </w:p>
    <w:p>
      <w:r>
        <w:t>(g) all amounts accrued and payable shall be paid within thirty days; and</w:t>
      </w:r>
    </w:p>
    <w:p>
      <w:r>
        <w:t>(h) clauses 8, 9, 10, 11, 13, 14, 16, 17, 18, 19, 20 and 21 survive.</w:t>
      </w:r>
    </w:p>
    <w:p>
      <w:pPr>
        <w:spacing w:before="80" w:after="160"/>
        <w:pBdr>
          <w:bottom w:val="single" w:sz="6" w:space="1" w:color="C9D6DE"/>
        </w:pBdr>
      </w:pPr>
    </w:p>
    <w:p>
      <w:pPr>
        <w:pStyle w:val="Heading1"/>
        <w:pBdr>
          <w:bottom w:val="single" w:sz="8" w:space="4" w:color="C9D6DE"/>
        </w:pBdr>
      </w:pPr>
      <w:r>
        <w:t>6. Governance, nodal officers and minimum activity</w:t>
      </w:r>
    </w:p>
    <w:p>
      <w:r>
        <w:rPr>
          <w:b/>
        </w:rPr>
        <w:t>6.1 Nodal Officers.</w:t>
      </w:r>
      <w:r>
        <w:t xml:space="preserve"> Each Party shall within fifteen days of the Commencement Date name a Nodal Officer, who shall be the principal point of contact and shall have authority to agree the Activity Calendar. A Party may change its Nodal Officer on written notice.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620"/>
            <w:shd w:val="clear" w:color="auto" w:fill="10375C"/>
          </w:tcPr>
          <w:p>
            <w:pPr>
              <w:spacing w:after="50" w:before="50"/>
            </w:pPr>
          </w:p>
        </w:tc>
        <w:tc>
          <w:tcPr>
            <w:tcW w:type="dxa" w:w="2516"/>
            <w:shd w:val="clear" w:color="auto" w:fill="10375C"/>
          </w:tcPr>
          <w:p>
            <w:pPr>
              <w:spacing w:after="50" w:before="50"/>
            </w:pPr>
            <w:r>
              <w:rPr>
                <w:b/>
                <w:color w:val="FFFFFF"/>
                <w:sz w:val="17"/>
              </w:rPr>
              <w:t>University</w:t>
            </w:r>
          </w:p>
        </w:tc>
        <w:tc>
          <w:tcPr>
            <w:tcW w:type="dxa" w:w="2333"/>
            <w:shd w:val="clear" w:color="auto" w:fill="10375C"/>
          </w:tcPr>
          <w:p>
            <w:pPr>
              <w:spacing w:after="50" w:before="50"/>
            </w:pPr>
            <w:r>
              <w:rPr>
                <w:b/>
                <w:color w:val="FFFFFF"/>
                <w:sz w:val="17"/>
              </w:rPr>
              <w:t>Institute</w:t>
            </w:r>
          </w:p>
        </w:tc>
      </w:tr>
      <w:tr>
        <w:tc>
          <w:tcPr>
            <w:tcW w:type="dxa" w:w="4620"/>
          </w:tcPr>
          <w:p>
            <w:pPr>
              <w:spacing w:after="50" w:before="50" w:line="252" w:lineRule="auto"/>
            </w:pPr>
            <w:r>
              <w:rPr>
                <w:sz w:val="17"/>
              </w:rPr>
              <w:t>Name</w:t>
            </w:r>
          </w:p>
        </w:tc>
        <w:tc>
          <w:tcPr>
            <w:tcW w:type="dxa" w:w="2516"/>
          </w:tcPr>
          <w:p>
            <w:pPr>
              <w:spacing w:after="50" w:before="50" w:line="252" w:lineRule="auto"/>
            </w:pPr>
            <w:r>
              <w:rPr>
                <w:sz w:val="17"/>
              </w:rPr>
              <w:t>[●]</w:t>
            </w:r>
          </w:p>
        </w:tc>
        <w:tc>
          <w:tcPr>
            <w:tcW w:type="dxa" w:w="2333"/>
          </w:tcPr>
          <w:p>
            <w:pPr>
              <w:spacing w:after="50" w:before="50" w:line="252" w:lineRule="auto"/>
            </w:pPr>
            <w:r>
              <w:rPr>
                <w:sz w:val="17"/>
              </w:rPr>
              <w:t>[●]</w:t>
            </w:r>
          </w:p>
        </w:tc>
      </w:tr>
      <w:tr>
        <w:tc>
          <w:tcPr>
            <w:tcW w:type="dxa" w:w="4620"/>
            <w:shd w:val="clear" w:color="auto" w:fill="EAF1F4"/>
          </w:tcPr>
          <w:p>
            <w:pPr>
              <w:spacing w:after="50" w:before="50" w:line="252" w:lineRule="auto"/>
            </w:pPr>
            <w:r>
              <w:rPr>
                <w:sz w:val="17"/>
              </w:rPr>
              <w:t>Designation</w:t>
            </w:r>
          </w:p>
        </w:tc>
        <w:tc>
          <w:tcPr>
            <w:tcW w:type="dxa" w:w="2516"/>
            <w:shd w:val="clear" w:color="auto" w:fill="EAF1F4"/>
          </w:tcPr>
          <w:p>
            <w:pPr>
              <w:spacing w:after="50" w:before="50" w:line="252" w:lineRule="auto"/>
            </w:pPr>
            <w:r>
              <w:rPr>
                <w:sz w:val="17"/>
              </w:rPr>
              <w:t>[●]</w:t>
            </w:r>
          </w:p>
        </w:tc>
        <w:tc>
          <w:tcPr>
            <w:tcW w:type="dxa" w:w="2333"/>
            <w:shd w:val="clear" w:color="auto" w:fill="EAF1F4"/>
          </w:tcPr>
          <w:p>
            <w:pPr>
              <w:spacing w:after="50" w:before="50" w:line="252" w:lineRule="auto"/>
            </w:pPr>
            <w:r>
              <w:rPr>
                <w:sz w:val="17"/>
              </w:rPr>
              <w:t>[●]</w:t>
            </w:r>
          </w:p>
        </w:tc>
      </w:tr>
      <w:tr>
        <w:tc>
          <w:tcPr>
            <w:tcW w:type="dxa" w:w="4620"/>
          </w:tcPr>
          <w:p>
            <w:pPr>
              <w:spacing w:after="50" w:before="50" w:line="252" w:lineRule="auto"/>
            </w:pPr>
            <w:r>
              <w:rPr>
                <w:sz w:val="17"/>
              </w:rPr>
              <w:t>Email and telephone</w:t>
            </w:r>
          </w:p>
        </w:tc>
        <w:tc>
          <w:tcPr>
            <w:tcW w:type="dxa" w:w="2516"/>
          </w:tcPr>
          <w:p>
            <w:pPr>
              <w:spacing w:after="50" w:before="50" w:line="252" w:lineRule="auto"/>
            </w:pPr>
            <w:r>
              <w:rPr>
                <w:sz w:val="17"/>
              </w:rPr>
              <w:t>[●]</w:t>
            </w:r>
          </w:p>
        </w:tc>
        <w:tc>
          <w:tcPr>
            <w:tcW w:type="dxa" w:w="2333"/>
          </w:tcPr>
          <w:p>
            <w:pPr>
              <w:spacing w:after="50" w:before="50" w:line="252" w:lineRule="auto"/>
            </w:pPr>
            <w:r>
              <w:rPr>
                <w:sz w:val="17"/>
              </w:rPr>
              <w:t>[●]</w:t>
            </w:r>
          </w:p>
        </w:tc>
      </w:tr>
    </w:tbl>
    <w:p>
      <w:pPr>
        <w:spacing w:after="80" w:before="0"/>
      </w:pPr>
    </w:p>
    <w:p>
      <w:r>
        <w:rPr>
          <w:b/>
        </w:rPr>
        <w:t>6.2 Activity Calendar.</w:t>
      </w:r>
      <w:r>
        <w:t xml:space="preserve"> Within thirty days of the Commencement Date and thereafter not less than forty-five days before the start of each Academic Year, the Nodal Officers shall agree in writing an Activity Calendar specifying, for each Activity, its nature, dates, venue, expected participation, the responsibilities of each Party, and the commercial basis under Schedule H.</w:t>
      </w:r>
    </w:p>
    <w:p>
      <w:r>
        <w:rPr>
          <w:b/>
        </w:rPr>
        <w:t>6.3 Variation.</w:t>
      </w:r>
      <w:r>
        <w:t xml:space="preserve"> The Activity Calendar may be varied by written agreement of the Nodal Officers. A variation of more than thirty days in the date of an Activity requires not less than twenty-one days' written notice, save in circumstances beyond the reasonable control of the Party seeking the variation.</w:t>
      </w:r>
    </w:p>
    <w:p>
      <w:r>
        <w:rPr>
          <w:b/>
        </w:rPr>
        <w:t>6.4 Minimum activity commitment.</w:t>
      </w:r>
    </w:p>
    <w:p>
      <w:r>
        <w:t xml:space="preserve">(a) The Parties shall use reasonable endeavours to conduct not fewer than </w:t>
      </w:r>
      <w:r>
        <w:rPr>
          <w:b/>
        </w:rPr>
        <w:t>[●] Activities in each Academic Year</w:t>
      </w:r>
      <w:r>
        <w:t xml:space="preserve">, of which not fewer than </w:t>
      </w:r>
      <w:r>
        <w:rPr>
          <w:b/>
        </w:rPr>
        <w:t>[●]</w:t>
      </w:r>
      <w:r>
        <w:t xml:space="preserve"> shall be [training or certification Activities].</w:t>
      </w:r>
    </w:p>
    <w:p>
      <w:r>
        <w:t>(b) Where fewer Activities are conducted in an Academic Year, either Party may by written notice require the Nodal Officers to meet within twenty-one days to agree a recovery plan.</w:t>
      </w:r>
    </w:p>
    <w:p>
      <w:r>
        <w:t xml:space="preserve">(c) </w:t>
      </w:r>
      <w:r>
        <w:rPr>
          <w:b/>
        </w:rPr>
        <w:t>Where fewer than the minimum number of Activities are conducted in two consecutive Academic Years, this Memorandum shall lapse automatically at the end of the second such year</w:t>
      </w:r>
      <w:r>
        <w:t>, without liability on either Party, unless the Parties agree otherwise in writing before that date.</w:t>
      </w:r>
    </w:p>
    <w:p>
      <w:r>
        <w:t>(d) The Parties record that this clause is included at the instance of both of them, so that this Memorandum operates as a working collaboration and not as a formal record.</w:t>
      </w:r>
    </w:p>
    <w:p>
      <w:r>
        <w:rPr>
          <w:b/>
        </w:rPr>
        <w:t>6.5 Reporting.</w:t>
      </w:r>
      <w:r>
        <w:t xml:space="preserve"> The Institute shall provide a written report on each Activity within twenty-one days of its completion, in a form sufficient for the University's own institutional documentation, comprising participation, assessment outcomes, feedback analysis and, subject to consent, photographs.</w:t>
      </w:r>
    </w:p>
    <w:p>
      <w:pPr>
        <w:spacing w:before="80" w:after="160"/>
        <w:pBdr>
          <w:bottom w:val="single" w:sz="6" w:space="1" w:color="C9D6DE"/>
        </w:pBdr>
      </w:pPr>
    </w:p>
    <w:p>
      <w:pPr>
        <w:pStyle w:val="Heading1"/>
        <w:pBdr>
          <w:bottom w:val="single" w:sz="8" w:space="4" w:color="C9D6DE"/>
        </w:pBdr>
      </w:pPr>
      <w:r>
        <w:t>7. Steering Committee and review</w:t>
      </w:r>
    </w:p>
    <w:p>
      <w:r>
        <w:rPr>
          <w:b/>
        </w:rPr>
        <w:t>7.1 Constitution.</w:t>
      </w:r>
      <w:r>
        <w:t xml:space="preserve"> The Parties shall constitute a Joint Steering Committee of not fewer than four members, two nominated by each Party, one of whom on each side shall be the Nodal Officer.</w:t>
      </w:r>
    </w:p>
    <w:p>
      <w:r>
        <w:rPr>
          <w:b/>
        </w:rPr>
        <w:t>7.2 Chair.</w:t>
      </w:r>
      <w:r>
        <w:t xml:space="preserve"> The Committee shall be chaired alternately, the first meeting being chaired by the University.</w:t>
      </w:r>
    </w:p>
    <w:p>
      <w:r>
        <w:rPr>
          <w:b/>
        </w:rPr>
        <w:t>7.3 Meetings.</w:t>
      </w:r>
      <w:r>
        <w:t xml:space="preserve"> The Committee shall meet not less than twice in each Academic Year, and otherwise on the request of either Party on fourteen days' notice. Meetings may be held by video conference. Minutes shall be circulated within ten business days and are approved at the following meeting.</w:t>
      </w:r>
    </w:p>
    <w:p>
      <w:r>
        <w:rPr>
          <w:b/>
        </w:rPr>
        <w:t>7.4 Functions.</w:t>
      </w:r>
      <w:r>
        <w:t xml:space="preserve"> The Committee shall review delivery against the Activity Calendar, consider proposals for new Activities, review feedback and quality, resolve operational issues, and make a recommendation on renewal. The Committee </w:t>
      </w:r>
      <w:r>
        <w:rPr>
          <w:b/>
        </w:rPr>
        <w:t>has no authority</w:t>
      </w:r>
      <w:r>
        <w:t xml:space="preserve"> to vary this Memorandum, to agree commercial terms outside Schedule H, or to commit either Party to expenditure.</w:t>
      </w:r>
    </w:p>
    <w:p>
      <w:r>
        <w:rPr>
          <w:b/>
        </w:rPr>
        <w:t>7.5 Annual review.</w:t>
      </w:r>
      <w:r>
        <w:t xml:space="preserve"> Not less than ninety days before the end of each Academic Year, the Parties shall conduct a written annual review against the measures in Schedule H and any agreed key performance indicators, recording what was delivered, what was not, and a recommendation.</w:t>
      </w:r>
    </w:p>
    <w:p>
      <w:pPr>
        <w:spacing w:before="80" w:after="160"/>
        <w:pBdr>
          <w:bottom w:val="single" w:sz="6" w:space="1" w:color="C9D6DE"/>
        </w:pBdr>
      </w:pPr>
    </w:p>
    <w:p>
      <w:pPr>
        <w:pStyle w:val="Heading1"/>
        <w:pBdr>
          <w:bottom w:val="single" w:sz="8" w:space="4" w:color="C9D6DE"/>
        </w:pBdr>
      </w:pPr>
      <w:r>
        <w:t>8. Intellectual property</w:t>
      </w:r>
    </w:p>
    <w:p>
      <w:r>
        <w:rPr>
          <w:b/>
        </w:rPr>
        <w:t>8.1 Background IP.</w:t>
      </w:r>
      <w:r>
        <w:t xml:space="preserve"> Each Party retains all right, title and interest in its Background IP. Nothing in this Memorandum transfers Background IP.</w:t>
      </w:r>
    </w:p>
    <w:p>
      <w:r>
        <w:rPr>
          <w:b/>
        </w:rPr>
        <w:t>8.2 Institute Materials.</w:t>
      </w:r>
      <w:r>
        <w:t xml:space="preserve"> All Institute Materials, including curricula, session plans, workbooks, simulation materials, competition problems and confidential briefs, assessment instruments and scoring criteria, are and remain the exclusive property of the Institute. The University is granted a non-exclusive, non-transferable, royalty-free licence to use Institute Materials </w:t>
      </w:r>
      <w:r>
        <w:rPr>
          <w:b/>
        </w:rPr>
        <w:t>solely for the purposes of an Activity and solely during the Term</w:t>
      </w:r>
      <w:r>
        <w:t>. The University shall not reproduce, adapt, translate, distribute, licence or make available Institute Materials to any third party, or use them for any programme not conducted under this Memorandum, without the prior written consent of the Institute.</w:t>
      </w:r>
    </w:p>
    <w:p>
      <w:r>
        <w:rPr>
          <w:b/>
        </w:rPr>
        <w:t>8.3 University materials.</w:t>
      </w:r>
      <w:r>
        <w:t xml:space="preserve"> Materials supplied by the University remain its property, and the Institute is granted an equivalent licence on equivalent terms.</w:t>
      </w:r>
    </w:p>
    <w:p>
      <w:r>
        <w:rPr>
          <w:b/>
        </w:rPr>
        <w:t>8.4 Foreground IP.</w:t>
      </w:r>
      <w:r>
        <w:t xml:space="preserve"> Intellectual property created in the course of an Activity shall be owned as follows:</w:t>
      </w:r>
    </w:p>
    <w:p>
      <w:r>
        <w:t>(a) materials created solely by or for the Institute — by the Institute;</w:t>
      </w:r>
    </w:p>
    <w:p>
      <w:r>
        <w:t>(b) materials created solely by or for the University — by the University;</w:t>
      </w:r>
    </w:p>
    <w:p>
      <w:r>
        <w:t>(c) materials created jointly — jointly, in equal shares, each Party being free to use them for its own non-commercial academic and internal purposes with attribution, and neither Party licensing or commercialising them without the written consent of the other;</w:t>
      </w:r>
    </w:p>
    <w:p>
      <w:r>
        <w:t>(d) research outputs and publications — as provided in Schedule E and in the Institute's Authorship, IP and Publication Policy.</w:t>
      </w:r>
    </w:p>
    <w:p>
      <w:r>
        <w:rPr>
          <w:b/>
        </w:rPr>
        <w:t>8.5 Participant work.</w:t>
      </w:r>
      <w:r>
        <w:t xml:space="preserve"> Work created by a Participant in the course of an Activity vests as provided in the Participant's own agreement with the Institute or the University, as applicable. Neither Party shall commercialise Participant work without the Participant's written consent.</w:t>
      </w:r>
    </w:p>
    <w:p>
      <w:r>
        <w:rPr>
          <w:b/>
        </w:rPr>
        <w:t>8.6 Marks.</w:t>
      </w:r>
      <w:r>
        <w:t xml:space="preserve"> Each Party grants the other a non-exclusive, non-transferable, revocable, royalty-free licence to use its Marks solely for the purposes of this Memorandum, on the terms of Schedule G, ceasing on expiry or termination.</w:t>
      </w:r>
    </w:p>
    <w:p>
      <w:r>
        <w:rPr>
          <w:b/>
        </w:rPr>
        <w:t>8.7</w:t>
      </w:r>
      <w:r>
        <w:t xml:space="preserve"> Neither Party shall register, or seek to register, any Mark, domain name or work of the other, or anything confusingly similar to it.</w:t>
      </w:r>
    </w:p>
    <w:p>
      <w:pPr>
        <w:spacing w:before="80" w:after="160"/>
        <w:pBdr>
          <w:bottom w:val="single" w:sz="6" w:space="1" w:color="C9D6DE"/>
        </w:pBdr>
      </w:pPr>
    </w:p>
    <w:p>
      <w:pPr>
        <w:pStyle w:val="Heading1"/>
        <w:pBdr>
          <w:bottom w:val="single" w:sz="8" w:space="4" w:color="C9D6DE"/>
        </w:pBdr>
      </w:pPr>
      <w:r>
        <w:t>9. Fees, taxes and expenses</w:t>
      </w:r>
    </w:p>
    <w:p>
      <w:r>
        <w:rPr>
          <w:b/>
        </w:rPr>
        <w:t>9.1</w:t>
      </w:r>
      <w:r>
        <w:t xml:space="preserve"> Save as provided in Schedule H or in an Activity Calendar, each Party bears its own costs.</w:t>
      </w:r>
    </w:p>
    <w:p>
      <w:r>
        <w:rPr>
          <w:b/>
        </w:rPr>
        <w:t>9.2</w:t>
      </w:r>
      <w:r>
        <w:t xml:space="preserve"> All fees stated in Schedule H are </w:t>
      </w:r>
      <w:r>
        <w:rPr>
          <w:b/>
        </w:rPr>
        <w:t>exclusive of applicable taxes</w:t>
      </w:r>
      <w:r>
        <w:t>, which shall be charged in addition at the prevailing rate.</w:t>
      </w:r>
    </w:p>
    <w:p>
      <w:r>
        <w:rPr>
          <w:b/>
        </w:rPr>
        <w:t>9.3</w:t>
      </w:r>
      <w:r>
        <w:t xml:space="preserve"> Invoices are payable within </w:t>
      </w:r>
      <w:r>
        <w:rPr>
          <w:b/>
        </w:rPr>
        <w:t>thirty days</w:t>
      </w:r>
      <w:r>
        <w:t xml:space="preserve"> of receipt. Amounts not disputed in good faith within fifteen days of receipt are deemed accepted.</w:t>
      </w:r>
    </w:p>
    <w:p>
      <w:r>
        <w:rPr>
          <w:b/>
        </w:rPr>
        <w:t>9.4</w:t>
      </w:r>
      <w:r>
        <w:t xml:space="preserve"> Any tax required by Applicable Law to be withheld shall be withheld and the withholding Party shall furnish the requisite certificate within the statutory period.</w:t>
      </w:r>
    </w:p>
    <w:p>
      <w:r>
        <w:rPr>
          <w:b/>
        </w:rPr>
        <w:t>9.5</w:t>
      </w:r>
      <w:r>
        <w:t xml:space="preserve"> Interest at [●]% per annum accrues on undisputed amounts outstanding more than sixty days. </w:t>
      </w:r>
      <w:r>
        <w:rPr>
          <w:b/>
        </w:rPr>
        <w:t>[verify — permissible rate.]</w:t>
      </w:r>
    </w:p>
    <w:p>
      <w:r>
        <w:rPr>
          <w:b/>
        </w:rPr>
        <w:t>9.6</w:t>
      </w:r>
      <w:r>
        <w:t xml:space="preserve"> Where an Activity is cancelled, the cancellation terms in Schedule H apply.</w:t>
      </w:r>
    </w:p>
    <w:p>
      <w:pPr>
        <w:spacing w:before="80" w:after="160"/>
        <w:pBdr>
          <w:bottom w:val="single" w:sz="6" w:space="1" w:color="C9D6DE"/>
        </w:pBdr>
      </w:pPr>
    </w:p>
    <w:p>
      <w:pPr>
        <w:pStyle w:val="Heading1"/>
        <w:pBdr>
          <w:bottom w:val="single" w:sz="8" w:space="4" w:color="C9D6DE"/>
        </w:pBdr>
      </w:pPr>
      <w:r>
        <w:t>10. Confidentiality</w:t>
      </w:r>
    </w:p>
    <w:p>
      <w:r>
        <w:rPr>
          <w:b/>
        </w:rPr>
        <w:t>10.1</w:t>
      </w:r>
      <w:r>
        <w:t xml:space="preserve"> </w:t>
      </w:r>
      <w:r>
        <w:rPr>
          <w:b/>
        </w:rPr>
        <w:t>Confidential Information</w:t>
      </w:r>
      <w:r>
        <w:t xml:space="preserve"> means all non-public information disclosed by one Party to the other, in any form, whether or not marked confidential, including commercial terms, curricula and materials, assessment instruments, competition problems and confidential briefs before release, student and participant information, research data, and information relating to any live dispute.</w:t>
      </w:r>
    </w:p>
    <w:p>
      <w:r>
        <w:rPr>
          <w:b/>
        </w:rPr>
        <w:t>10.2</w:t>
      </w:r>
      <w:r>
        <w:t xml:space="preserve"> Each Party shall keep Confidential Information confidential, use it only for the purposes of this Memorandum, disclose it only to those of its personnel who need to know it and who are bound by equivalent obligations, and protect it with not less than reasonable care.</w:t>
      </w:r>
    </w:p>
    <w:p>
      <w:r>
        <w:rPr>
          <w:b/>
        </w:rPr>
        <w:t>10.3</w:t>
      </w:r>
      <w:r>
        <w:t xml:space="preserve"> Clause 10.2 does not apply to information which is or becomes public otherwise than by breach, was lawfully known before disclosure, is lawfully received from a third party without restriction, or is independently developed.</w:t>
      </w:r>
    </w:p>
    <w:p>
      <w:r>
        <w:rPr>
          <w:b/>
        </w:rPr>
        <w:t>10.4 Disclosure required by law.</w:t>
      </w:r>
      <w:r>
        <w:t xml:space="preserve"> A Party required by Applicable Law or by an order of a court, tribunal or regulator to disclose Confidential Information shall, where lawful and practicable, notify the other Party first and disclose only what is required.</w:t>
      </w:r>
    </w:p>
    <w:p>
      <w:r>
        <w:rPr>
          <w:b/>
        </w:rPr>
        <w:t>10.5 Mediation confidentiality.</w:t>
      </w:r>
      <w:r>
        <w:t xml:space="preserve"> Where an Activity involves any live mediation, conciliation or arbitration, the Parties acknowledge that confidentiality is governed by the Mediation Act, 2023 and other Applicable Law, that no audio or video recording of proceedings is permitted, and that no statement, proposal, document or communication in such proceedings may be disclosed or used in any other proceeding. Every Participant exposed to such a matter shall execute a written undertaking in the Institute's standard form before exposure.</w:t>
      </w:r>
    </w:p>
    <w:p>
      <w:r>
        <w:rPr>
          <w:b/>
        </w:rPr>
        <w:t>10.6</w:t>
      </w:r>
      <w:r>
        <w:t xml:space="preserve"> This clause survives for </w:t>
      </w:r>
      <w:r>
        <w:rPr>
          <w:b/>
        </w:rPr>
        <w:t>five years</w:t>
      </w:r>
      <w:r>
        <w:t xml:space="preserve"> from expiry or termination, and indefinitely in relation to information protected under clause 10.5 and in relation to any competition problem or confidential brief not yet publicly released.</w:t>
      </w:r>
    </w:p>
    <w:p>
      <w:pPr>
        <w:spacing w:before="80" w:after="160"/>
        <w:pBdr>
          <w:bottom w:val="single" w:sz="6" w:space="1" w:color="C9D6DE"/>
        </w:pBdr>
      </w:pPr>
    </w:p>
    <w:p>
      <w:pPr>
        <w:pStyle w:val="Heading1"/>
        <w:pBdr>
          <w:bottom w:val="single" w:sz="8" w:space="4" w:color="C9D6DE"/>
        </w:pBdr>
      </w:pPr>
      <w:r>
        <w:t>11. Personal data</w:t>
      </w:r>
    </w:p>
    <w:p>
      <w:r>
        <w:rPr>
          <w:b/>
        </w:rPr>
        <w:t>11.1</w:t>
      </w:r>
      <w:r>
        <w:t xml:space="preserve"> Each Party shall comply with the Digital Personal Data Protection Act, 2023, the Digital Personal Data Protection Rules, 2025 and other Applicable Law relating to Personal Data.</w:t>
      </w:r>
    </w:p>
    <w:p>
      <w:r>
        <w:rPr>
          <w:b/>
        </w:rPr>
        <w:t>11.2</w:t>
      </w:r>
      <w:r>
        <w:t xml:space="preserve"> The Parties record that, in general, each acts as an independent data fiduciary in respect of Personal Data it collects, and neither is a processor for the other.</w:t>
      </w:r>
    </w:p>
    <w:p>
      <w:r>
        <w:rPr>
          <w:b/>
        </w:rPr>
        <w:t>11.3</w:t>
      </w:r>
      <w:r>
        <w:t xml:space="preserve"> Where Personal Data is to be shared, it shall be shared only under the Data Addendum at Schedule I, which shall be executed before any sharing occurs.</w:t>
      </w:r>
    </w:p>
    <w:p>
      <w:r>
        <w:rPr>
          <w:b/>
        </w:rPr>
        <w:t>11.4</w:t>
      </w:r>
      <w:r>
        <w:t xml:space="preserve"> Neither Party shall use Personal Data obtained under this Memorandum for marketing or any purpose beyond the purpose for which it was collected, without a separate and valid consent.</w:t>
      </w:r>
    </w:p>
    <w:p>
      <w:r>
        <w:rPr>
          <w:b/>
        </w:rPr>
        <w:t>11.5</w:t>
      </w:r>
      <w:r>
        <w:t xml:space="preserve"> Each Party shall notify the other </w:t>
      </w:r>
      <w:r>
        <w:rPr>
          <w:b/>
        </w:rPr>
        <w:t>within twenty-four hours</w:t>
      </w:r>
      <w:r>
        <w:t xml:space="preserve"> of becoming aware of any personal data breach affecting Personal Data connected to an Activity, and shall co-operate in investigation, notification and remediation.</w:t>
      </w:r>
    </w:p>
    <w:p>
      <w:r>
        <w:rPr>
          <w:b/>
        </w:rPr>
        <w:t>11.6</w:t>
      </w:r>
      <w:r>
        <w:t xml:space="preserve"> Where an Activity involves a Participant under eighteen years of age, verifiable consent of a parent or lawful guardian shall be obtained before any processing, and the Parties shall agree in writing which of them is the data fiduciary for that Activity before it commences.</w:t>
      </w:r>
    </w:p>
    <w:p>
      <w:pPr>
        <w:spacing w:before="80" w:after="160"/>
        <w:pBdr>
          <w:bottom w:val="single" w:sz="6" w:space="1" w:color="C9D6DE"/>
        </w:pBdr>
      </w:pPr>
    </w:p>
    <w:p>
      <w:pPr>
        <w:pStyle w:val="Heading1"/>
        <w:pBdr>
          <w:bottom w:val="single" w:sz="8" w:space="4" w:color="C9D6DE"/>
        </w:pBdr>
      </w:pPr>
      <w:r>
        <w:t>12. Safeguarding, conduct and non-discrimination</w:t>
      </w:r>
    </w:p>
    <w:p>
      <w:r>
        <w:rPr>
          <w:b/>
        </w:rPr>
        <w:t>12.1</w:t>
      </w:r>
      <w:r>
        <w:t xml:space="preserve"> Each Party shall maintain and apply policies for the safeguarding of Participants, for the prevention of sexual harassment in accordance with the Sexual Harassment of Women at Workplace (Prevention, Prohibition and Redressal) Act, 2013, and for the prevention of ragging, discrimination and harassment of any kind.</w:t>
      </w:r>
    </w:p>
    <w:p>
      <w:r>
        <w:rPr>
          <w:b/>
        </w:rPr>
        <w:t>12.2</w:t>
      </w:r>
      <w:r>
        <w:t xml:space="preserve"> The Institute shall ensure that its personnel engaging with Participants are briefed on and bound by its safeguarding policy, and that no personnel is engaged where there is a known impediment.</w:t>
      </w:r>
    </w:p>
    <w:p>
      <w:r>
        <w:rPr>
          <w:b/>
        </w:rPr>
        <w:t>12.3</w:t>
      </w:r>
      <w:r>
        <w:t xml:space="preserve"> Any allegation or incident concerning the safety or welfare of a Participant shall be notified by the Party becoming aware of it to the other </w:t>
      </w:r>
      <w:r>
        <w:rPr>
          <w:b/>
        </w:rPr>
        <w:t>within twenty-four hours</w:t>
      </w:r>
      <w:r>
        <w:t>, and the Parties shall co-operate fully with any inquiry required by Applicable Law or by the University's regulations.</w:t>
      </w:r>
    </w:p>
    <w:p>
      <w:r>
        <w:rPr>
          <w:b/>
        </w:rPr>
        <w:t>12.4</w:t>
      </w:r>
      <w:r>
        <w:t xml:space="preserve"> Neither Party shall discriminate against any Participant on any ground protected by Applicable Law, and Activities shall be conducted so as to be accessible so far as reasonably practicable.</w:t>
      </w:r>
    </w:p>
    <w:p>
      <w:pPr>
        <w:spacing w:before="80" w:after="160"/>
        <w:pBdr>
          <w:bottom w:val="single" w:sz="6" w:space="1" w:color="C9D6DE"/>
        </w:pBdr>
      </w:pPr>
    </w:p>
    <w:p>
      <w:pPr>
        <w:pStyle w:val="Heading1"/>
        <w:pBdr>
          <w:bottom w:val="single" w:sz="8" w:space="4" w:color="C9D6DE"/>
        </w:pBdr>
      </w:pPr>
      <w:r>
        <w:t>13. Anti-bribery, conflicts and integrity</w:t>
      </w:r>
    </w:p>
    <w:p>
      <w:r>
        <w:rPr>
          <w:b/>
        </w:rPr>
        <w:t>13.1</w:t>
      </w:r>
      <w:r>
        <w:t xml:space="preserve"> Each Party shall comply with all Applicable Law relating to bribery and corruption, and shall not offer, give, solicit or accept any improper advantage in connection with this Memorandum.</w:t>
      </w:r>
    </w:p>
    <w:p>
      <w:r>
        <w:rPr>
          <w:b/>
        </w:rPr>
        <w:t>13.2</w:t>
      </w:r>
      <w:r>
        <w:t xml:space="preserve"> Neither Party shall offer any inducement to any officer or employee of the other in connection with the award, performance or renewal of this Memorandum.</w:t>
      </w:r>
    </w:p>
    <w:p>
      <w:r>
        <w:rPr>
          <w:b/>
        </w:rPr>
        <w:t>13.3 Conflicts of interest.</w:t>
      </w:r>
      <w:r>
        <w:t xml:space="preserve"> Each Party shall disclose promptly any circumstance which does or might give rise to a conflict of interest in connection with an Activity. In particular, the Institute shall disclose, and where appropriate decline, any appointment as neutral in a matter in which the University or any of its officers is a party or has an interest, in accordance with its published conflict of interest policy.</w:t>
      </w:r>
    </w:p>
    <w:p>
      <w:r>
        <w:rPr>
          <w:b/>
        </w:rPr>
        <w:t>13.4 Academic and competition integrity.</w:t>
      </w:r>
      <w:r>
        <w:t xml:space="preserve"> Each Party shall uphold the integrity of assessment and of competitions. The Institute's decision on any matter of assessment or competition integrity is final, subject to the appeal routes stated in the applicable rules or policy.</w:t>
      </w:r>
    </w:p>
    <w:p>
      <w:pPr>
        <w:spacing w:before="80" w:after="160"/>
        <w:pBdr>
          <w:bottom w:val="single" w:sz="6" w:space="1" w:color="C9D6DE"/>
        </w:pBdr>
      </w:pPr>
    </w:p>
    <w:p>
      <w:pPr>
        <w:pStyle w:val="Heading1"/>
        <w:pBdr>
          <w:bottom w:val="single" w:sz="8" w:space="4" w:color="C9D6DE"/>
        </w:pBdr>
      </w:pPr>
      <w:r>
        <w:t>14. Representations, warranties and limitation</w:t>
      </w:r>
    </w:p>
    <w:p>
      <w:r>
        <w:rPr>
          <w:b/>
        </w:rPr>
        <w:t>14.1</w:t>
      </w:r>
      <w:r>
        <w:t xml:space="preserve"> Each Party represents and warrants that it has full power and authority to enter into this Memorandum, that the person executing it is duly authorised, and that its performance will not breach Applicable Law or any obligation to a third party.</w:t>
      </w:r>
    </w:p>
    <w:p>
      <w:r>
        <w:rPr>
          <w:b/>
        </w:rPr>
        <w:t>14.2 No qualification represented.</w:t>
      </w:r>
      <w:r>
        <w:t xml:space="preserve"> The Parties record and shall ensure that all communications state accurately that:</w:t>
      </w:r>
    </w:p>
    <w:p>
      <w:r>
        <w:t xml:space="preserve">(a) certificates issued by the Institute are certificates of training and assessed competence and are </w:t>
      </w:r>
      <w:r>
        <w:rPr>
          <w:b/>
        </w:rPr>
        <w:t>not</w:t>
      </w:r>
      <w:r>
        <w:t xml:space="preserve"> degrees, diplomas or statutory qualifications;</w:t>
      </w:r>
    </w:p>
    <w:p>
      <w:r>
        <w:t>(b) neither Party represents that any Institute certification is accredited, recognised or approved by the Mediation Council of India or by any Government authority; and</w:t>
      </w:r>
    </w:p>
    <w:p>
      <w:r>
        <w:t xml:space="preserve">(c) </w:t>
      </w:r>
      <w:r>
        <w:rPr>
          <w:b/>
        </w:rPr>
        <w:t>no assurance of employment or placement</w:t>
      </w:r>
      <w:r>
        <w:t xml:space="preserve"> is given by either Party to any Participant.</w:t>
      </w:r>
    </w:p>
    <w:p>
      <w:r>
        <w:rPr>
          <w:b/>
        </w:rPr>
        <w:t>14.3</w:t>
      </w:r>
      <w:r>
        <w:t xml:space="preserve"> Each Party is responsible for its own acts and omissions and for those of its personnel, and shall indemnify the other against third-party claims arising from its own negligence, wilful misconduct or breach of Applicable Law.</w:t>
      </w:r>
    </w:p>
    <w:p>
      <w:r>
        <w:rPr>
          <w:b/>
        </w:rPr>
        <w:t>14.4 Limitation.</w:t>
      </w:r>
      <w:r>
        <w:t xml:space="preserve"> Save in respect of clauses 10, 11, 12 and 13, of fraud, or of liability which cannot lawfully be limited, the aggregate liability of either Party under this Memorandum shall not exceed the greater of (a) the total fees paid or payable under Schedule H in the twelve months preceding the event giving rise to liability, and (b) </w:t>
      </w:r>
      <w:r>
        <w:rPr>
          <w:b/>
        </w:rPr>
        <w:t>₹[●]</w:t>
      </w:r>
      <w:r>
        <w:t>.</w:t>
      </w:r>
    </w:p>
    <w:p>
      <w:r>
        <w:rPr>
          <w:b/>
        </w:rPr>
        <w:t>14.5</w:t>
      </w:r>
      <w:r>
        <w:t xml:space="preserve"> Neither Party is liable for indirect or consequential loss, loss of profit, loss of opportunity or reputational loss.</w:t>
      </w:r>
    </w:p>
    <w:p>
      <w:pPr>
        <w:spacing w:before="80" w:after="160"/>
        <w:pBdr>
          <w:bottom w:val="single" w:sz="6" w:space="1" w:color="C9D6DE"/>
        </w:pBdr>
      </w:pPr>
    </w:p>
    <w:p>
      <w:pPr>
        <w:pStyle w:val="Heading1"/>
        <w:pBdr>
          <w:bottom w:val="single" w:sz="8" w:space="4" w:color="C9D6DE"/>
        </w:pBdr>
      </w:pPr>
      <w:r>
        <w:t>15. Insurance</w:t>
      </w:r>
    </w:p>
    <w:p>
      <w:r>
        <w:rPr>
          <w:b/>
        </w:rPr>
        <w:t>15.1</w:t>
      </w:r>
      <w:r>
        <w:t xml:space="preserve"> The Institute shall maintain, during the Term, professional indemnity insurance of not less than </w:t>
      </w:r>
      <w:r>
        <w:rPr>
          <w:b/>
        </w:rPr>
        <w:t>₹[●]</w:t>
      </w:r>
      <w:r>
        <w:t xml:space="preserve"> and public liability insurance of not less than </w:t>
      </w:r>
      <w:r>
        <w:rPr>
          <w:b/>
        </w:rPr>
        <w:t>₹[●]</w:t>
      </w:r>
      <w:r>
        <w:t xml:space="preserve">, and shall on request furnish evidence of cover. </w:t>
      </w:r>
      <w:r>
        <w:rPr>
          <w:b/>
        </w:rPr>
        <w:t>[verify — appropriate limits.]</w:t>
      </w:r>
    </w:p>
    <w:p>
      <w:r>
        <w:rPr>
          <w:b/>
        </w:rPr>
        <w:t>15.2</w:t>
      </w:r>
      <w:r>
        <w:t xml:space="preserve"> The University shall maintain such insurance in respect of its premises and its students as is required by Applicable Law and as is prudent.</w:t>
      </w:r>
    </w:p>
    <w:p>
      <w:r>
        <w:rPr>
          <w:b/>
        </w:rPr>
        <w:t>15.3</w:t>
      </w:r>
      <w:r>
        <w:t xml:space="preserve"> Neither Party's insurance limits its liability under this Memorandum.</w:t>
      </w:r>
    </w:p>
    <w:p>
      <w:pPr>
        <w:spacing w:before="80" w:after="160"/>
        <w:pBdr>
          <w:bottom w:val="single" w:sz="6" w:space="1" w:color="C9D6DE"/>
        </w:pBdr>
      </w:pPr>
    </w:p>
    <w:p>
      <w:pPr>
        <w:pStyle w:val="Heading1"/>
        <w:pBdr>
          <w:bottom w:val="single" w:sz="8" w:space="4" w:color="C9D6DE"/>
        </w:pBdr>
      </w:pPr>
      <w:r>
        <w:t>16. Relationship of the Parties</w:t>
      </w:r>
    </w:p>
    <w:p>
      <w:r>
        <w:rPr>
          <w:b/>
        </w:rPr>
        <w:t>16.1</w:t>
      </w:r>
      <w:r>
        <w:t xml:space="preserve"> The Parties are independent. Nothing creates a partnership, joint venture, agency, franchise or employment relationship, or authorises either Party to bind the other.</w:t>
      </w:r>
    </w:p>
    <w:p>
      <w:r>
        <w:rPr>
          <w:b/>
        </w:rPr>
        <w:t>16.2</w:t>
      </w:r>
      <w:r>
        <w:t xml:space="preserve"> No Participant, trainer or resource person of the Institute is an employee of the University, and no employee or student of the University is an employee of the Institute, by reason of this Memorandum. Each Party is responsible for the statutory obligations attaching to its own personnel.</w:t>
      </w:r>
    </w:p>
    <w:p>
      <w:r>
        <w:rPr>
          <w:b/>
        </w:rPr>
        <w:t>16.3</w:t>
      </w:r>
      <w:r>
        <w:t xml:space="preserve"> Neither Party shall solicit for employment any employee of the other who is engaged in an Activity, during the Term and for six months afterwards, save through a public recruitment process. This clause does not restrict the recruitment of students or alumni of the University by the Institute or by Equator Resolution.</w:t>
      </w:r>
    </w:p>
    <w:p>
      <w:pPr>
        <w:spacing w:before="80" w:after="160"/>
        <w:pBdr>
          <w:bottom w:val="single" w:sz="6" w:space="1" w:color="C9D6DE"/>
        </w:pBdr>
      </w:pPr>
    </w:p>
    <w:p>
      <w:pPr>
        <w:pStyle w:val="Heading1"/>
        <w:pBdr>
          <w:bottom w:val="single" w:sz="8" w:space="4" w:color="C9D6DE"/>
        </w:pBdr>
      </w:pPr>
      <w:r>
        <w:t>17. Force majeure</w:t>
      </w:r>
    </w:p>
    <w:p>
      <w:r>
        <w:rPr>
          <w:b/>
        </w:rPr>
        <w:t>17.1</w:t>
      </w:r>
      <w:r>
        <w:t xml:space="preserve"> Neither Party is liable for failure to perform to the extent caused by an event beyond its reasonable control, including act of God, epidemic or pandemic, act of government, civil disturbance, strike affecting the affected Party's institution generally, or failure of public infrastructure.</w:t>
      </w:r>
    </w:p>
    <w:p>
      <w:r>
        <w:rPr>
          <w:b/>
        </w:rPr>
        <w:t>17.2</w:t>
      </w:r>
      <w:r>
        <w:t xml:space="preserve"> The affected Party shall notify the other within seven days, use reasonable endeavours to mitigate, and resume performance as soon as practicable. Affected Activities shall be rescheduled rather than cancelled where reasonably practicable.</w:t>
      </w:r>
    </w:p>
    <w:p>
      <w:r>
        <w:rPr>
          <w:b/>
        </w:rPr>
        <w:t>17.3</w:t>
      </w:r>
      <w:r>
        <w:t xml:space="preserve"> If a force majeure event continues for more than one hundred and twenty days, either Party may terminate on thirty days' notice without liability, subject to payment for services already rendered.</w:t>
      </w:r>
    </w:p>
    <w:p>
      <w:pPr>
        <w:spacing w:before="80" w:after="160"/>
        <w:pBdr>
          <w:bottom w:val="single" w:sz="6" w:space="1" w:color="C9D6DE"/>
        </w:pBdr>
      </w:pPr>
    </w:p>
    <w:p>
      <w:pPr>
        <w:pStyle w:val="Heading1"/>
        <w:pBdr>
          <w:bottom w:val="single" w:sz="8" w:space="4" w:color="C9D6DE"/>
        </w:pBdr>
      </w:pPr>
      <w:r>
        <w:t>18. Dispute resolution</w:t>
      </w:r>
    </w:p>
    <w:p>
      <w:r>
        <w:rPr>
          <w:b/>
        </w:rPr>
        <w:t>18.1 Good faith.</w:t>
      </w:r>
      <w:r>
        <w:t xml:space="preserve"> The Parties shall attempt in good faith to resolve any dispute arising out of or in connection with this Memorandum.</w:t>
      </w:r>
    </w:p>
    <w:p>
      <w:r>
        <w:rPr>
          <w:b/>
        </w:rPr>
        <w:t>18.2 Escalation.</w:t>
      </w:r>
      <w:r>
        <w:t xml:space="preserve"> A dispute shall first be referred to the Nodal Officers, who shall meet within ten business days. If unresolved within a further fifteen business days, it shall be referred to the Steering Committee. If unresolved within a further twenty business days, it shall be referred to the Registrar of the University and the Programme Director of the Institute.</w:t>
      </w:r>
    </w:p>
    <w:p>
      <w:r>
        <w:rPr>
          <w:b/>
        </w:rPr>
        <w:t>18.3 Mediation.</w:t>
      </w:r>
      <w:r>
        <w:t xml:space="preserve"> If the dispute remains unresolved thirty days after reference under clause 18.2, the Parties shall refer it to </w:t>
      </w:r>
      <w:r>
        <w:rPr>
          <w:b/>
        </w:rPr>
        <w:t>mediation</w:t>
      </w:r>
      <w:r>
        <w:t xml:space="preserve"> before a sole mediator agreed between them, or failing agreement, appointed by [●]. The mediation shall be conducted in accordance with the Mediation Act, 2023. </w:t>
      </w:r>
      <w:r>
        <w:rPr>
          <w:b/>
        </w:rPr>
        <w:t>The mediator shall not be a person connected with either Party</w:t>
      </w:r>
      <w:r>
        <w:t>, and shall not be drawn from the panel of Equator Resolution.</w:t>
      </w:r>
    </w:p>
    <w:p>
      <w:r>
        <w:rPr>
          <w:b/>
        </w:rPr>
        <w:t>18.4 Arbitration.</w:t>
      </w:r>
      <w:r>
        <w:t xml:space="preserve"> Only if mediation does not resolve the dispute within sixty days of the mediator's first appearance shall the dispute be referred to arbitration by a sole arbitrator under the Arbitration and Conciliation Act, 1996. The seat and venue shall be </w:t>
      </w:r>
      <w:r>
        <w:rPr>
          <w:b/>
        </w:rPr>
        <w:t>[●]</w:t>
      </w:r>
      <w:r>
        <w:t xml:space="preserve"> and the language English.</w:t>
      </w:r>
    </w:p>
    <w:p>
      <w:r>
        <w:rPr>
          <w:b/>
        </w:rPr>
        <w:t>18.5</w:t>
      </w:r>
      <w:r>
        <w:t xml:space="preserve"> Nothing prevents a Party from seeking urgent interim relief from a court of competent jurisdiction.</w:t>
      </w:r>
    </w:p>
    <w:p>
      <w:r>
        <w:rPr>
          <w:b/>
        </w:rPr>
        <w:t>18.6</w:t>
      </w:r>
      <w:r>
        <w:t xml:space="preserve"> The Parties record that, teaching as they do the value of consensual dispute resolution, they regard clause 18.3 as a substantive obligation and not a formality.</w:t>
      </w:r>
    </w:p>
    <w:p>
      <w:pPr>
        <w:spacing w:before="80" w:after="160"/>
        <w:pBdr>
          <w:bottom w:val="single" w:sz="6" w:space="1" w:color="C9D6DE"/>
        </w:pBdr>
      </w:pPr>
    </w:p>
    <w:p>
      <w:pPr>
        <w:pStyle w:val="Heading1"/>
        <w:pBdr>
          <w:bottom w:val="single" w:sz="8" w:space="4" w:color="C9D6DE"/>
        </w:pBdr>
      </w:pPr>
      <w:r>
        <w:t>19. Notices</w:t>
      </w:r>
    </w:p>
    <w:p>
      <w:r>
        <w:rPr>
          <w:b/>
        </w:rPr>
        <w:t>19.1</w:t>
      </w:r>
      <w:r>
        <w:t xml:space="preserve"> Notices shall be in writing and delivered by hand against acknowledgement, by registered post or courier, or by email to the addresses below, and are effective on delivery, or on the second business day after despatch by registered post, or on transmission by email if before 17:00 on a business day.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452"/>
            <w:shd w:val="clear" w:color="auto" w:fill="10375C"/>
          </w:tcPr>
          <w:p>
            <w:pPr>
              <w:spacing w:after="50" w:before="50"/>
            </w:pPr>
          </w:p>
        </w:tc>
        <w:tc>
          <w:tcPr>
            <w:tcW w:type="dxa" w:w="3116"/>
            <w:shd w:val="clear" w:color="auto" w:fill="10375C"/>
          </w:tcPr>
          <w:p>
            <w:pPr>
              <w:spacing w:after="50" w:before="50"/>
            </w:pPr>
            <w:r>
              <w:rPr>
                <w:b/>
                <w:color w:val="FFFFFF"/>
                <w:sz w:val="17"/>
              </w:rPr>
              <w:t>University</w:t>
            </w:r>
          </w:p>
        </w:tc>
        <w:tc>
          <w:tcPr>
            <w:tcW w:type="dxa" w:w="2899"/>
            <w:shd w:val="clear" w:color="auto" w:fill="10375C"/>
          </w:tcPr>
          <w:p>
            <w:pPr>
              <w:spacing w:after="50" w:before="50"/>
            </w:pPr>
            <w:r>
              <w:rPr>
                <w:b/>
                <w:color w:val="FFFFFF"/>
                <w:sz w:val="17"/>
              </w:rPr>
              <w:t>Institute</w:t>
            </w:r>
          </w:p>
        </w:tc>
      </w:tr>
      <w:tr>
        <w:tc>
          <w:tcPr>
            <w:tcW w:type="dxa" w:w="3452"/>
          </w:tcPr>
          <w:p>
            <w:pPr>
              <w:spacing w:after="50" w:before="50" w:line="252" w:lineRule="auto"/>
            </w:pPr>
            <w:r>
              <w:rPr>
                <w:sz w:val="17"/>
              </w:rPr>
              <w:t>Attention</w:t>
            </w:r>
          </w:p>
        </w:tc>
        <w:tc>
          <w:tcPr>
            <w:tcW w:type="dxa" w:w="3116"/>
          </w:tcPr>
          <w:p>
            <w:pPr>
              <w:spacing w:after="50" w:before="50" w:line="252" w:lineRule="auto"/>
            </w:pPr>
            <w:r>
              <w:rPr>
                <w:sz w:val="17"/>
              </w:rPr>
              <w:t>[●]</w:t>
            </w:r>
          </w:p>
        </w:tc>
        <w:tc>
          <w:tcPr>
            <w:tcW w:type="dxa" w:w="2899"/>
          </w:tcPr>
          <w:p>
            <w:pPr>
              <w:spacing w:after="50" w:before="50" w:line="252" w:lineRule="auto"/>
            </w:pPr>
            <w:r>
              <w:rPr>
                <w:sz w:val="17"/>
              </w:rPr>
              <w:t>[●]</w:t>
            </w:r>
          </w:p>
        </w:tc>
      </w:tr>
      <w:tr>
        <w:tc>
          <w:tcPr>
            <w:tcW w:type="dxa" w:w="3452"/>
            <w:shd w:val="clear" w:color="auto" w:fill="EAF1F4"/>
          </w:tcPr>
          <w:p>
            <w:pPr>
              <w:spacing w:after="50" w:before="50" w:line="252" w:lineRule="auto"/>
            </w:pPr>
            <w:r>
              <w:rPr>
                <w:sz w:val="17"/>
              </w:rPr>
              <w:t>Address</w:t>
            </w:r>
          </w:p>
        </w:tc>
        <w:tc>
          <w:tcPr>
            <w:tcW w:type="dxa" w:w="3116"/>
            <w:shd w:val="clear" w:color="auto" w:fill="EAF1F4"/>
          </w:tcPr>
          <w:p>
            <w:pPr>
              <w:spacing w:after="50" w:before="50" w:line="252" w:lineRule="auto"/>
            </w:pPr>
            <w:r>
              <w:rPr>
                <w:sz w:val="17"/>
              </w:rPr>
              <w:t>[●]</w:t>
            </w:r>
          </w:p>
        </w:tc>
        <w:tc>
          <w:tcPr>
            <w:tcW w:type="dxa" w:w="2899"/>
            <w:shd w:val="clear" w:color="auto" w:fill="EAF1F4"/>
          </w:tcPr>
          <w:p>
            <w:pPr>
              <w:spacing w:after="50" w:before="50" w:line="252" w:lineRule="auto"/>
            </w:pPr>
            <w:r>
              <w:rPr>
                <w:sz w:val="17"/>
              </w:rPr>
              <w:t>[●]</w:t>
            </w:r>
          </w:p>
        </w:tc>
      </w:tr>
      <w:tr>
        <w:tc>
          <w:tcPr>
            <w:tcW w:type="dxa" w:w="3452"/>
          </w:tcPr>
          <w:p>
            <w:pPr>
              <w:spacing w:after="50" w:before="50" w:line="252" w:lineRule="auto"/>
            </w:pPr>
            <w:r>
              <w:rPr>
                <w:sz w:val="17"/>
              </w:rPr>
              <w:t>Email</w:t>
            </w:r>
          </w:p>
        </w:tc>
        <w:tc>
          <w:tcPr>
            <w:tcW w:type="dxa" w:w="3116"/>
          </w:tcPr>
          <w:p>
            <w:pPr>
              <w:spacing w:after="50" w:before="50" w:line="252" w:lineRule="auto"/>
            </w:pPr>
            <w:r>
              <w:rPr>
                <w:sz w:val="17"/>
              </w:rPr>
              <w:t>[●]</w:t>
            </w:r>
          </w:p>
        </w:tc>
        <w:tc>
          <w:tcPr>
            <w:tcW w:type="dxa" w:w="2899"/>
          </w:tcPr>
          <w:p>
            <w:pPr>
              <w:spacing w:after="50" w:before="50" w:line="252" w:lineRule="auto"/>
            </w:pPr>
            <w:r>
              <w:rPr>
                <w:sz w:val="17"/>
              </w:rPr>
              <w:t>[●]</w:t>
            </w:r>
          </w:p>
        </w:tc>
      </w:tr>
      <w:tr>
        <w:tc>
          <w:tcPr>
            <w:tcW w:type="dxa" w:w="3452"/>
            <w:shd w:val="clear" w:color="auto" w:fill="EAF1F4"/>
          </w:tcPr>
          <w:p>
            <w:pPr>
              <w:spacing w:after="50" w:before="50" w:line="252" w:lineRule="auto"/>
            </w:pPr>
            <w:r>
              <w:rPr>
                <w:sz w:val="17"/>
              </w:rPr>
              <w:t>Copy to</w:t>
            </w:r>
          </w:p>
        </w:tc>
        <w:tc>
          <w:tcPr>
            <w:tcW w:type="dxa" w:w="3116"/>
            <w:shd w:val="clear" w:color="auto" w:fill="EAF1F4"/>
          </w:tcPr>
          <w:p>
            <w:pPr>
              <w:spacing w:after="50" w:before="50" w:line="252" w:lineRule="auto"/>
            </w:pPr>
            <w:r>
              <w:rPr>
                <w:sz w:val="17"/>
              </w:rPr>
              <w:t>[●]</w:t>
            </w:r>
          </w:p>
        </w:tc>
        <w:tc>
          <w:tcPr>
            <w:tcW w:type="dxa" w:w="2899"/>
            <w:shd w:val="clear" w:color="auto" w:fill="EAF1F4"/>
          </w:tcPr>
          <w:p>
            <w:pPr>
              <w:spacing w:after="50" w:before="50" w:line="252" w:lineRule="auto"/>
            </w:pPr>
            <w:r>
              <w:rPr>
                <w:sz w:val="17"/>
              </w:rPr>
              <w:t>[●]</w:t>
            </w:r>
          </w:p>
        </w:tc>
      </w:tr>
    </w:tbl>
    <w:p>
      <w:pPr>
        <w:spacing w:after="80" w:before="0"/>
      </w:pPr>
    </w:p>
    <w:p>
      <w:r>
        <w:rPr>
          <w:b/>
        </w:rPr>
        <w:t>19.2</w:t>
      </w:r>
      <w:r>
        <w:t xml:space="preserve"> Notices under clause 5.4 (termination for cause), clause 11.5 (data breach) and clause 12.3 (safeguarding) shall additionally be sent by email marked urgent.</w:t>
      </w:r>
    </w:p>
    <w:p>
      <w:pPr>
        <w:spacing w:before="80" w:after="160"/>
        <w:pBdr>
          <w:bottom w:val="single" w:sz="6" w:space="1" w:color="C9D6DE"/>
        </w:pBdr>
      </w:pPr>
    </w:p>
    <w:p>
      <w:pPr>
        <w:pStyle w:val="Heading1"/>
        <w:pBdr>
          <w:bottom w:val="single" w:sz="8" w:space="4" w:color="C9D6DE"/>
        </w:pBdr>
      </w:pPr>
      <w:r>
        <w:t>20. Governing law and jurisdiction</w:t>
      </w:r>
    </w:p>
    <w:p>
      <w:r>
        <w:rPr>
          <w:b/>
        </w:rPr>
        <w:t>20.1</w:t>
      </w:r>
      <w:r>
        <w:t xml:space="preserve"> This Memorandum is governed by the laws of India.</w:t>
      </w:r>
    </w:p>
    <w:p>
      <w:r>
        <w:rPr>
          <w:b/>
        </w:rPr>
        <w:t>20.2</w:t>
      </w:r>
      <w:r>
        <w:t xml:space="preserve"> Subject to clause 18, the courts at </w:t>
      </w:r>
      <w:r>
        <w:rPr>
          <w:b/>
        </w:rPr>
        <w:t>[●]</w:t>
      </w:r>
      <w:r>
        <w:t xml:space="preserve"> have exclusive jurisdiction.</w:t>
      </w:r>
    </w:p>
    <w:p>
      <w:pPr>
        <w:spacing w:before="80" w:after="160"/>
        <w:pBdr>
          <w:bottom w:val="single" w:sz="6" w:space="1" w:color="C9D6DE"/>
        </w:pBdr>
      </w:pPr>
    </w:p>
    <w:p>
      <w:pPr>
        <w:pStyle w:val="Heading1"/>
        <w:pBdr>
          <w:bottom w:val="single" w:sz="8" w:space="4" w:color="C9D6DE"/>
        </w:pBdr>
      </w:pPr>
      <w:r>
        <w:t>21. General</w:t>
      </w:r>
    </w:p>
    <w:p>
      <w:r>
        <w:rPr>
          <w:b/>
        </w:rPr>
        <w:t>21.1 Entire understanding.</w:t>
      </w:r>
      <w:r>
        <w:t xml:space="preserve"> This Memorandum and its Schedules record the entire understanding of the Parties on its subject matter and supersede all prior discussions, letters of intent and representations.</w:t>
      </w:r>
    </w:p>
    <w:p>
      <w:r>
        <w:rPr>
          <w:b/>
        </w:rPr>
        <w:t>21.2 Variation.</w:t>
      </w:r>
      <w:r>
        <w:t xml:space="preserve"> No variation is effective unless in writing and signed by the authorised signatories of both Parties, save that an Activity Calendar may be varied by the Nodal Officers under clause 6.3.</w:t>
      </w:r>
    </w:p>
    <w:p>
      <w:r>
        <w:rPr>
          <w:b/>
        </w:rPr>
        <w:t>21.3 Assignment.</w:t>
      </w:r>
      <w:r>
        <w:t xml:space="preserve"> Neither Party may assign or transfer this Memorandum without the prior written consent of the other, save that the Institute may assign to an affiliate within the Infrabyx Group on written notice.</w:t>
      </w:r>
    </w:p>
    <w:p>
      <w:r>
        <w:rPr>
          <w:b/>
        </w:rPr>
        <w:t>21.4 Third parties.</w:t>
      </w:r>
      <w:r>
        <w:t xml:space="preserve"> No person other than a Party has any right under this Memorandum.</w:t>
      </w:r>
    </w:p>
    <w:p>
      <w:r>
        <w:rPr>
          <w:b/>
        </w:rPr>
        <w:t>21.5 Waiver.</w:t>
      </w:r>
      <w:r>
        <w:t xml:space="preserve"> No failure or delay in exercising a right operates as a waiver, and no single exercise precludes further exercise.</w:t>
      </w:r>
    </w:p>
    <w:p>
      <w:r>
        <w:rPr>
          <w:b/>
        </w:rPr>
        <w:t>21.6 Severability.</w:t>
      </w:r>
      <w:r>
        <w:t xml:space="preserve"> If any provision is held invalid or unenforceable, it shall be severed and the remainder shall continue in full force.</w:t>
      </w:r>
    </w:p>
    <w:p>
      <w:r>
        <w:rPr>
          <w:b/>
        </w:rPr>
        <w:t>21.7 Counterparts.</w:t>
      </w:r>
      <w:r>
        <w:t xml:space="preserve"> This Memorandum may be executed in counterparts, including by exchange of scanned or electronically signed copies, each of which is an original.</w:t>
      </w:r>
    </w:p>
    <w:p>
      <w:r>
        <w:rPr>
          <w:b/>
        </w:rPr>
        <w:t>21.8 Publicity.</w:t>
      </w:r>
      <w:r>
        <w:t xml:space="preserve"> Neither Party shall make any public announcement concerning this Memorandum without the prior written approval of the other, save as required by Applicable Law, and save for factual listing of the collaboration as permitted by Schedule G.</w:t>
      </w:r>
    </w:p>
    <w:p>
      <w:r>
        <w:rPr>
          <w:b/>
        </w:rPr>
        <w:t>21.9 Costs and stamp duty.</w:t>
      </w:r>
      <w:r>
        <w:t xml:space="preserve"> Each Party bears its own costs. Stamp duty, if any, shall be borne by </w:t>
      </w:r>
      <w:r>
        <w:rPr>
          <w:b/>
        </w:rPr>
        <w:t>[●]</w:t>
      </w:r>
      <w:r>
        <w:t xml:space="preserve">. </w:t>
      </w:r>
      <w:r>
        <w:rPr>
          <w:b/>
        </w:rPr>
        <w:t>[verify — State-specific position.]</w:t>
      </w:r>
    </w:p>
    <w:p>
      <w:pPr>
        <w:spacing w:before="80" w:after="160"/>
        <w:pBdr>
          <w:bottom w:val="single" w:sz="6" w:space="1" w:color="C9D6DE"/>
        </w:pBdr>
      </w:pPr>
    </w:p>
    <w:p>
      <w:r>
        <w:br w:type="page"/>
      </w:r>
    </w:p>
    <w:p>
      <w:pPr>
        <w:pStyle w:val="Heading1"/>
        <w:pBdr>
          <w:bottom w:val="single" w:sz="8" w:space="4" w:color="C9D6DE"/>
        </w:pBdr>
      </w:pPr>
      <w:r>
        <w:t>Execution</w:t>
      </w:r>
    </w:p>
    <w:p>
      <w:r>
        <w:rPr>
          <w:b/>
        </w:rPr>
        <w:t>IN WITNESS WHEREOF</w:t>
      </w:r>
      <w:r>
        <w:t xml:space="preserve"> the Parties have executed this Memorandum of Understanding on the date first written above.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548"/>
            <w:shd w:val="clear" w:color="auto" w:fill="10375C"/>
          </w:tcPr>
          <w:p>
            <w:pPr>
              <w:spacing w:after="50" w:before="50"/>
            </w:pPr>
            <w:r>
              <w:rPr>
                <w:b/>
                <w:color w:val="FFFFFF"/>
                <w:sz w:val="17"/>
              </w:rPr>
              <w:t>For and on behalf of [●] University</w:t>
            </w:r>
          </w:p>
        </w:tc>
        <w:tc>
          <w:tcPr>
            <w:tcW w:type="dxa" w:w="4920"/>
            <w:shd w:val="clear" w:color="auto" w:fill="10375C"/>
          </w:tcPr>
          <w:p>
            <w:pPr>
              <w:spacing w:after="50" w:before="50"/>
            </w:pPr>
            <w:r>
              <w:rPr>
                <w:b/>
                <w:color w:val="FFFFFF"/>
                <w:sz w:val="17"/>
              </w:rPr>
              <w:t>For and on behalf of Equator ADR Institute</w:t>
            </w:r>
          </w:p>
        </w:tc>
      </w:tr>
      <w:tr>
        <w:tc>
          <w:tcPr>
            <w:tcW w:type="dxa" w:w="4548"/>
          </w:tcPr>
          <w:p>
            <w:pPr>
              <w:spacing w:after="50" w:before="50" w:line="252" w:lineRule="auto"/>
            </w:pPr>
          </w:p>
        </w:tc>
        <w:tc>
          <w:tcPr>
            <w:tcW w:type="dxa" w:w="4920"/>
          </w:tcPr>
          <w:p>
            <w:pPr>
              <w:spacing w:after="50" w:before="50" w:line="252" w:lineRule="auto"/>
            </w:pPr>
          </w:p>
        </w:tc>
      </w:tr>
      <w:tr>
        <w:tc>
          <w:tcPr>
            <w:tcW w:type="dxa" w:w="4548"/>
            <w:shd w:val="clear" w:color="auto" w:fill="EAF1F4"/>
          </w:tcPr>
          <w:p>
            <w:pPr>
              <w:spacing w:after="50" w:before="50" w:line="252" w:lineRule="auto"/>
            </w:pPr>
            <w:r>
              <w:rPr>
                <w:sz w:val="17"/>
              </w:rPr>
              <w:t>Signature: _______________________</w:t>
            </w:r>
          </w:p>
        </w:tc>
        <w:tc>
          <w:tcPr>
            <w:tcW w:type="dxa" w:w="4920"/>
            <w:shd w:val="clear" w:color="auto" w:fill="EAF1F4"/>
          </w:tcPr>
          <w:p>
            <w:pPr>
              <w:spacing w:after="50" w:before="50" w:line="252" w:lineRule="auto"/>
            </w:pPr>
            <w:r>
              <w:rPr>
                <w:sz w:val="17"/>
              </w:rPr>
              <w:t>Signature: _______________________</w:t>
            </w:r>
          </w:p>
        </w:tc>
      </w:tr>
      <w:tr>
        <w:tc>
          <w:tcPr>
            <w:tcW w:type="dxa" w:w="4548"/>
          </w:tcPr>
          <w:p>
            <w:pPr>
              <w:spacing w:after="50" w:before="50" w:line="252" w:lineRule="auto"/>
            </w:pPr>
            <w:r>
              <w:rPr>
                <w:sz w:val="17"/>
              </w:rPr>
              <w:t>Name: [●]</w:t>
            </w:r>
          </w:p>
        </w:tc>
        <w:tc>
          <w:tcPr>
            <w:tcW w:type="dxa" w:w="4920"/>
          </w:tcPr>
          <w:p>
            <w:pPr>
              <w:spacing w:after="50" w:before="50" w:line="252" w:lineRule="auto"/>
            </w:pPr>
            <w:r>
              <w:rPr>
                <w:sz w:val="17"/>
              </w:rPr>
              <w:t>Name: [●]</w:t>
            </w:r>
          </w:p>
        </w:tc>
      </w:tr>
      <w:tr>
        <w:tc>
          <w:tcPr>
            <w:tcW w:type="dxa" w:w="4548"/>
            <w:shd w:val="clear" w:color="auto" w:fill="EAF1F4"/>
          </w:tcPr>
          <w:p>
            <w:pPr>
              <w:spacing w:after="50" w:before="50" w:line="252" w:lineRule="auto"/>
            </w:pPr>
            <w:r>
              <w:rPr>
                <w:sz w:val="17"/>
              </w:rPr>
              <w:t>Designation: Registrar</w:t>
            </w:r>
          </w:p>
        </w:tc>
        <w:tc>
          <w:tcPr>
            <w:tcW w:type="dxa" w:w="4920"/>
            <w:shd w:val="clear" w:color="auto" w:fill="EAF1F4"/>
          </w:tcPr>
          <w:p>
            <w:pPr>
              <w:spacing w:after="50" w:before="50" w:line="252" w:lineRule="auto"/>
            </w:pPr>
            <w:r>
              <w:rPr>
                <w:sz w:val="17"/>
              </w:rPr>
              <w:t>Designation: [●]</w:t>
            </w:r>
          </w:p>
        </w:tc>
      </w:tr>
      <w:tr>
        <w:tc>
          <w:tcPr>
            <w:tcW w:type="dxa" w:w="4548"/>
          </w:tcPr>
          <w:p>
            <w:pPr>
              <w:spacing w:after="50" w:before="50" w:line="252" w:lineRule="auto"/>
            </w:pPr>
            <w:r>
              <w:rPr>
                <w:sz w:val="17"/>
              </w:rPr>
              <w:t>Date: [●]</w:t>
            </w:r>
          </w:p>
        </w:tc>
        <w:tc>
          <w:tcPr>
            <w:tcW w:type="dxa" w:w="4920"/>
          </w:tcPr>
          <w:p>
            <w:pPr>
              <w:spacing w:after="50" w:before="50" w:line="252" w:lineRule="auto"/>
            </w:pPr>
            <w:r>
              <w:rPr>
                <w:sz w:val="17"/>
              </w:rPr>
              <w:t>Date: [●]</w:t>
            </w:r>
          </w:p>
        </w:tc>
      </w:tr>
      <w:tr>
        <w:tc>
          <w:tcPr>
            <w:tcW w:type="dxa" w:w="4548"/>
            <w:shd w:val="clear" w:color="auto" w:fill="EAF1F4"/>
          </w:tcPr>
          <w:p>
            <w:pPr>
              <w:spacing w:after="50" w:before="50" w:line="252" w:lineRule="auto"/>
            </w:pPr>
            <w:r>
              <w:rPr>
                <w:sz w:val="17"/>
              </w:rPr>
              <w:t>Seal / stamp:</w:t>
            </w:r>
          </w:p>
        </w:tc>
        <w:tc>
          <w:tcPr>
            <w:tcW w:type="dxa" w:w="4920"/>
            <w:shd w:val="clear" w:color="auto" w:fill="EAF1F4"/>
          </w:tcPr>
          <w:p>
            <w:pPr>
              <w:spacing w:after="50" w:before="50" w:line="252" w:lineRule="auto"/>
            </w:pPr>
            <w:r>
              <w:rPr>
                <w:sz w:val="17"/>
              </w:rPr>
              <w:t>Seal / stamp:</w:t>
            </w:r>
          </w:p>
        </w:tc>
      </w:tr>
    </w:tbl>
    <w:p>
      <w:pPr>
        <w:spacing w:after="80" w:before="0"/>
      </w:pPr>
    </w:p>
    <w:p>
      <w:r>
        <w:rPr>
          <w:b/>
        </w:rPr>
        <w:t>Witnesses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Witness 1</w:t>
            </w:r>
          </w:p>
        </w:tc>
        <w:tc>
          <w:tcPr>
            <w:tcW w:type="dxa" w:w="4734"/>
            <w:shd w:val="clear" w:color="auto" w:fill="10375C"/>
          </w:tcPr>
          <w:p>
            <w:pPr>
              <w:spacing w:after="50" w:before="50"/>
            </w:pPr>
            <w:r>
              <w:rPr>
                <w:b/>
                <w:color w:val="FFFFFF"/>
                <w:sz w:val="17"/>
              </w:rPr>
              <w:t>Witness 2</w:t>
            </w:r>
          </w:p>
        </w:tc>
      </w:tr>
      <w:tr>
        <w:tc>
          <w:tcPr>
            <w:tcW w:type="dxa" w:w="4734"/>
          </w:tcPr>
          <w:p>
            <w:pPr>
              <w:spacing w:after="50" w:before="50" w:line="252" w:lineRule="auto"/>
            </w:pPr>
            <w:r>
              <w:rPr>
                <w:sz w:val="17"/>
              </w:rPr>
              <w:t>Signature: _______________________</w:t>
            </w:r>
          </w:p>
        </w:tc>
        <w:tc>
          <w:tcPr>
            <w:tcW w:type="dxa" w:w="4734"/>
          </w:tcPr>
          <w:p>
            <w:pPr>
              <w:spacing w:after="50" w:before="50" w:line="252" w:lineRule="auto"/>
            </w:pPr>
            <w:r>
              <w:rPr>
                <w:sz w:val="17"/>
              </w:rPr>
              <w:t>Signature: _______________________</w:t>
            </w:r>
          </w:p>
        </w:tc>
      </w:tr>
      <w:tr>
        <w:tc>
          <w:tcPr>
            <w:tcW w:type="dxa" w:w="4734"/>
            <w:shd w:val="clear" w:color="auto" w:fill="EAF1F4"/>
          </w:tcPr>
          <w:p>
            <w:pPr>
              <w:spacing w:after="50" w:before="50" w:line="252" w:lineRule="auto"/>
            </w:pPr>
            <w:r>
              <w:rPr>
                <w:sz w:val="17"/>
              </w:rPr>
              <w:t>Name: [●]</w:t>
            </w:r>
          </w:p>
        </w:tc>
        <w:tc>
          <w:tcPr>
            <w:tcW w:type="dxa" w:w="4734"/>
            <w:shd w:val="clear" w:color="auto" w:fill="EAF1F4"/>
          </w:tcPr>
          <w:p>
            <w:pPr>
              <w:spacing w:after="50" w:before="50" w:line="252" w:lineRule="auto"/>
            </w:pPr>
            <w:r>
              <w:rPr>
                <w:sz w:val="17"/>
              </w:rPr>
              <w:t>Name: [●]</w:t>
            </w:r>
          </w:p>
        </w:tc>
      </w:tr>
      <w:tr>
        <w:tc>
          <w:tcPr>
            <w:tcW w:type="dxa" w:w="4734"/>
          </w:tcPr>
          <w:p>
            <w:pPr>
              <w:spacing w:after="50" w:before="50" w:line="252" w:lineRule="auto"/>
            </w:pPr>
            <w:r>
              <w:rPr>
                <w:sz w:val="17"/>
              </w:rPr>
              <w:t>Address: [●]</w:t>
            </w:r>
          </w:p>
        </w:tc>
        <w:tc>
          <w:tcPr>
            <w:tcW w:type="dxa" w:w="4734"/>
          </w:tcPr>
          <w:p>
            <w:pPr>
              <w:spacing w:after="50" w:before="50" w:line="252" w:lineRule="auto"/>
            </w:pPr>
            <w:r>
              <w:rPr>
                <w:sz w:val="17"/>
              </w:rPr>
              <w:t>Address: [●]</w:t>
            </w:r>
          </w:p>
        </w:tc>
      </w:tr>
    </w:tbl>
    <w:p>
      <w:pPr>
        <w:spacing w:after="80" w:before="0"/>
      </w:pPr>
    </w:p>
    <w:p>
      <w:pPr>
        <w:spacing w:before="80" w:after="160"/>
        <w:pBdr>
          <w:bottom w:val="single" w:sz="6" w:space="1" w:color="C9D6DE"/>
        </w:pBdr>
      </w:pPr>
    </w:p>
    <w:p>
      <w:pPr>
        <w:pStyle w:val="Heading1"/>
        <w:pBdr>
          <w:bottom w:val="single" w:sz="8" w:space="4" w:color="C9D6DE"/>
        </w:pBdr>
      </w:pPr>
      <w:r>
        <w:t>Execution checklist — complete before signature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Item</w:t>
            </w:r>
          </w:p>
        </w:tc>
        <w:tc>
          <w:tcPr>
            <w:tcW w:type="dxa" w:w="850"/>
            <w:shd w:val="clear" w:color="auto" w:fill="10375C"/>
          </w:tcPr>
          <w:p>
            <w:pPr>
              <w:spacing w:after="50" w:before="50"/>
            </w:pPr>
            <w:r>
              <w:rPr>
                <w:b/>
                <w:color w:val="FFFFFF"/>
                <w:sz w:val="17"/>
              </w:rPr>
              <w:t>Done</w:t>
            </w:r>
          </w:p>
        </w:tc>
      </w:tr>
      <w:tr>
        <w:tc>
          <w:tcPr>
            <w:tcW w:type="dxa" w:w="850"/>
          </w:tcPr>
          <w:p>
            <w:pPr>
              <w:spacing w:after="50" w:before="50" w:line="252" w:lineRule="auto"/>
            </w:pPr>
            <w:r>
              <w:rPr>
                <w:sz w:val="17"/>
              </w:rPr>
              <w:t>1</w:t>
            </w:r>
          </w:p>
        </w:tc>
        <w:tc>
          <w:tcPr>
            <w:tcW w:type="dxa" w:w="7890"/>
          </w:tcPr>
          <w:p>
            <w:pPr>
              <w:spacing w:after="50" w:before="50" w:line="252" w:lineRule="auto"/>
            </w:pPr>
            <w:r>
              <w:rPr>
                <w:sz w:val="17"/>
              </w:rPr>
              <w:t>Every [●] completed and no placeholder remaining</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7890"/>
            <w:shd w:val="clear" w:color="auto" w:fill="EAF1F4"/>
          </w:tcPr>
          <w:p>
            <w:pPr>
              <w:spacing w:after="50" w:before="50" w:line="252" w:lineRule="auto"/>
            </w:pPr>
            <w:r>
              <w:rPr>
                <w:sz w:val="17"/>
              </w:rPr>
              <w:t>Correct legal name and constitution of the University verified from its own records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7890"/>
          </w:tcPr>
          <w:p>
            <w:pPr>
              <w:spacing w:after="50" w:before="50" w:line="252" w:lineRule="auto"/>
            </w:pPr>
            <w:r>
              <w:rPr>
                <w:sz w:val="17"/>
              </w:rPr>
              <w:t>Authority of the signatory verified (resolution, delegation or statute) on both sides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7890"/>
            <w:shd w:val="clear" w:color="auto" w:fill="EAF1F4"/>
          </w:tcPr>
          <w:p>
            <w:pPr>
              <w:spacing w:after="50" w:before="50" w:line="252" w:lineRule="auto"/>
            </w:pPr>
            <w:r>
              <w:rPr>
                <w:sz w:val="17"/>
              </w:rPr>
              <w:t>Tier stated at clause 3.1 matches the approved score sheet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7890"/>
          </w:tcPr>
          <w:p>
            <w:pPr>
              <w:spacing w:after="50" w:before="50" w:line="252" w:lineRule="auto"/>
            </w:pPr>
            <w:r>
              <w:rPr>
                <w:sz w:val="17"/>
              </w:rPr>
              <w:t>Only the applicable Schedules attached, and the index at 3.2 reconciled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7890"/>
            <w:shd w:val="clear" w:color="auto" w:fill="EAF1F4"/>
          </w:tcPr>
          <w:p>
            <w:pPr>
              <w:spacing w:after="50" w:before="50" w:line="252" w:lineRule="auto"/>
            </w:pPr>
            <w:r>
              <w:rPr>
                <w:sz w:val="17"/>
              </w:rPr>
              <w:t>Minimum activity numbers at 6.4 inserted and achievable within trainer capacity</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7890"/>
          </w:tcPr>
          <w:p>
            <w:pPr>
              <w:spacing w:after="50" w:before="50" w:line="252" w:lineRule="auto"/>
            </w:pPr>
            <w:r>
              <w:rPr>
                <w:sz w:val="17"/>
              </w:rPr>
              <w:t>Liability cap at 14.4 inserted and approved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7890"/>
            <w:shd w:val="clear" w:color="auto" w:fill="EAF1F4"/>
          </w:tcPr>
          <w:p>
            <w:pPr>
              <w:spacing w:after="50" w:before="50" w:line="252" w:lineRule="auto"/>
            </w:pPr>
            <w:r>
              <w:rPr>
                <w:sz w:val="17"/>
              </w:rPr>
              <w:t>Insurance limits at 15.1 confirmed against the policy in force</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9</w:t>
            </w:r>
          </w:p>
        </w:tc>
        <w:tc>
          <w:tcPr>
            <w:tcW w:type="dxa" w:w="7890"/>
          </w:tcPr>
          <w:p>
            <w:pPr>
              <w:spacing w:after="50" w:before="50" w:line="252" w:lineRule="auto"/>
            </w:pPr>
            <w:r>
              <w:rPr>
                <w:sz w:val="17"/>
              </w:rPr>
              <w:t>Seat and jurisdiction at 18.4 and 20.2 consistent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10</w:t>
            </w:r>
          </w:p>
        </w:tc>
        <w:tc>
          <w:tcPr>
            <w:tcW w:type="dxa" w:w="7890"/>
            <w:shd w:val="clear" w:color="auto" w:fill="EAF1F4"/>
          </w:tcPr>
          <w:p>
            <w:pPr>
              <w:spacing w:after="50" w:before="50" w:line="252" w:lineRule="auto"/>
            </w:pPr>
            <w:r>
              <w:rPr>
                <w:sz w:val="17"/>
              </w:rPr>
              <w:t>Data Addendum executed if any Personal Data will be shared</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11</w:t>
            </w:r>
          </w:p>
        </w:tc>
        <w:tc>
          <w:tcPr>
            <w:tcW w:type="dxa" w:w="7890"/>
          </w:tcPr>
          <w:p>
            <w:pPr>
              <w:spacing w:after="50" w:before="50" w:line="252" w:lineRule="auto"/>
            </w:pPr>
            <w:r>
              <w:rPr>
                <w:sz w:val="17"/>
              </w:rPr>
              <w:t>Stamp duty position confirmed for the State of execution</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12</w:t>
            </w:r>
          </w:p>
        </w:tc>
        <w:tc>
          <w:tcPr>
            <w:tcW w:type="dxa" w:w="7890"/>
            <w:shd w:val="clear" w:color="auto" w:fill="EAF1F4"/>
          </w:tcPr>
          <w:p>
            <w:pPr>
              <w:spacing w:after="50" w:before="50" w:line="252" w:lineRule="auto"/>
            </w:pPr>
            <w:r>
              <w:rPr>
                <w:sz w:val="17"/>
              </w:rPr>
              <w:t>Approval recorded under the Delegation of Authority (01.5)</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13</w:t>
            </w:r>
          </w:p>
        </w:tc>
        <w:tc>
          <w:tcPr>
            <w:tcW w:type="dxa" w:w="7890"/>
          </w:tcPr>
          <w:p>
            <w:pPr>
              <w:spacing w:after="50" w:before="50" w:line="252" w:lineRule="auto"/>
            </w:pPr>
            <w:r>
              <w:rPr>
                <w:sz w:val="17"/>
              </w:rPr>
              <w:t>Counterpart returned, scanned and filed; calendar entry created for renewal review at Term minus 90 days</w:t>
            </w:r>
          </w:p>
        </w:tc>
        <w:tc>
          <w:tcPr>
            <w:tcW w:type="dxa" w:w="850"/>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Master Memorandum of Understanding</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F92E3EC-187E-49CC-BA8F-257BE4C0AB22}"/>
</file>

<file path=customXml/itemProps3.xml><?xml version="1.0" encoding="utf-8"?>
<ds:datastoreItem xmlns:ds="http://schemas.openxmlformats.org/officeDocument/2006/customXml" ds:itemID="{BB13C450-C620-4DEC-9274-B1AA294FB802}"/>
</file>

<file path=customXml/itemProps4.xml><?xml version="1.0" encoding="utf-8"?>
<ds:datastoreItem xmlns:ds="http://schemas.openxmlformats.org/officeDocument/2006/customXml" ds:itemID="{3A862AD7-079D-471E-A584-46F1C546A20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