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Sponsorship &amp; Naming Rights Agreement</w:t>
      </w:r>
    </w:p>
    <w:p>
      <w:pPr>
        <w:spacing w:after="280" w:line="276" w:lineRule="auto"/>
      </w:pPr>
      <w:r>
        <w:rPr>
          <w:rFonts w:ascii="Calibri" w:hAnsi="Calibri"/>
          <w:i/>
          <w:color w:val="3E6B8A"/>
          <w:sz w:val="25"/>
        </w:rPr>
        <w:t>Standard form for competition, event and facility sponsorship, with a sponsor screening protocol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SPONSORSHIP AGREEMENT</w:t>
      </w:r>
    </w:p>
    <w:p>
      <w:r>
        <w:rPr>
          <w:b/>
        </w:rPr>
        <w:t>Dated [●]</w:t>
      </w:r>
    </w:p>
    <w:p>
      <w:r>
        <w:rPr>
          <w:b/>
        </w:rPr>
        <w:t>BETWEEN</w:t>
      </w:r>
      <w:r>
        <w:t xml:space="preserve"> </w:t>
      </w:r>
      <w:r>
        <w:rPr>
          <w:b/>
        </w:rPr>
        <w:t>Equator ADR Institute</w:t>
      </w:r>
      <w:r>
        <w:t>, [●] (</w:t>
      </w:r>
      <w:r>
        <w:rPr>
          <w:b/>
        </w:rPr>
        <w:t>the Institute</w:t>
      </w:r>
      <w:r>
        <w:t xml:space="preserve">) </w:t>
      </w:r>
      <w:r>
        <w:rPr>
          <w:b/>
        </w:rPr>
        <w:t>AND</w:t>
      </w:r>
      <w:r>
        <w:t xml:space="preserve"> </w:t>
      </w:r>
      <w:r>
        <w:rPr>
          <w:b/>
        </w:rPr>
        <w:t>[●]</w:t>
      </w:r>
      <w:r>
        <w:t>, [●], of [●] (</w:t>
      </w:r>
      <w:r>
        <w:rPr>
          <w:b/>
        </w:rPr>
        <w:t>the Sponsor</w:t>
      </w:r>
      <w:r>
        <w:t>).</w:t>
      </w:r>
    </w:p>
    <w:p>
      <w:pPr>
        <w:pStyle w:val="Heading2"/>
      </w:pPr>
      <w:r>
        <w:t>1. The property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158"/>
            <w:shd w:val="clear" w:color="auto" w:fill="10375C"/>
          </w:tcPr>
          <w:p>
            <w:pPr>
              <w:spacing w:after="50" w:before="50"/>
            </w:pPr>
            <w:r>
              <w:rPr>
                <w:b/>
                <w:color w:val="FFFFFF"/>
                <w:sz w:val="17"/>
              </w:rPr>
              <w:t>Item</w:t>
            </w:r>
          </w:p>
        </w:tc>
        <w:tc>
          <w:tcPr>
            <w:tcW w:type="dxa" w:w="5309"/>
            <w:shd w:val="clear" w:color="auto" w:fill="10375C"/>
          </w:tcPr>
          <w:p>
            <w:pPr>
              <w:spacing w:after="50" w:before="50"/>
            </w:pPr>
            <w:r>
              <w:rPr>
                <w:b/>
                <w:color w:val="FFFFFF"/>
                <w:sz w:val="17"/>
              </w:rPr>
              <w:t>Detail</w:t>
            </w:r>
          </w:p>
        </w:tc>
      </w:tr>
      <w:tr>
        <w:tc>
          <w:tcPr>
            <w:tcW w:type="dxa" w:w="4158"/>
          </w:tcPr>
          <w:p>
            <w:pPr>
              <w:spacing w:after="50" w:before="50" w:line="252" w:lineRule="auto"/>
            </w:pPr>
            <w:r>
              <w:rPr>
                <w:sz w:val="17"/>
              </w:rPr>
              <w:t>Sponsored property</w:t>
            </w:r>
          </w:p>
        </w:tc>
        <w:tc>
          <w:tcPr>
            <w:tcW w:type="dxa" w:w="5309"/>
          </w:tcPr>
          <w:p>
            <w:pPr>
              <w:spacing w:after="50" w:before="50" w:line="252" w:lineRule="auto"/>
            </w:pPr>
            <w:r>
              <w:rPr>
                <w:sz w:val="17"/>
              </w:rPr>
              <w:t>[●] (</w:t>
            </w:r>
            <w:r>
              <w:rPr>
                <w:b/>
                <w:sz w:val="17"/>
              </w:rPr>
              <w:t>the Event</w:t>
            </w:r>
            <w:r>
              <w:rPr>
                <w:sz w:val="17"/>
              </w:rPr>
              <w:t>)</w:t>
            </w:r>
          </w:p>
        </w:tc>
      </w:tr>
      <w:tr>
        <w:tc>
          <w:tcPr>
            <w:tcW w:type="dxa" w:w="4158"/>
            <w:shd w:val="clear" w:color="auto" w:fill="EAF1F4"/>
          </w:tcPr>
          <w:p>
            <w:pPr>
              <w:spacing w:after="50" w:before="50" w:line="252" w:lineRule="auto"/>
            </w:pPr>
            <w:r>
              <w:rPr>
                <w:sz w:val="17"/>
              </w:rPr>
              <w:t>Edition or period</w:t>
            </w:r>
          </w:p>
        </w:tc>
        <w:tc>
          <w:tcPr>
            <w:tcW w:type="dxa" w:w="5309"/>
            <w:shd w:val="clear" w:color="auto" w:fill="EAF1F4"/>
          </w:tcPr>
          <w:p>
            <w:pPr>
              <w:spacing w:after="50" w:before="50" w:line="252" w:lineRule="auto"/>
            </w:pPr>
            <w:r>
              <w:rPr>
                <w:sz w:val="17"/>
              </w:rPr>
              <w:t>[●]</w:t>
            </w:r>
          </w:p>
        </w:tc>
      </w:tr>
      <w:tr>
        <w:tc>
          <w:tcPr>
            <w:tcW w:type="dxa" w:w="4158"/>
          </w:tcPr>
          <w:p>
            <w:pPr>
              <w:spacing w:after="50" w:before="50" w:line="252" w:lineRule="auto"/>
            </w:pPr>
            <w:r>
              <w:rPr>
                <w:sz w:val="17"/>
              </w:rPr>
              <w:t>Dates</w:t>
            </w:r>
          </w:p>
        </w:tc>
        <w:tc>
          <w:tcPr>
            <w:tcW w:type="dxa" w:w="5309"/>
          </w:tcPr>
          <w:p>
            <w:pPr>
              <w:spacing w:after="50" w:before="50" w:line="252" w:lineRule="auto"/>
            </w:pPr>
            <w:r>
              <w:rPr>
                <w:sz w:val="17"/>
              </w:rPr>
              <w:t>[●]</w:t>
            </w:r>
          </w:p>
        </w:tc>
      </w:tr>
      <w:tr>
        <w:tc>
          <w:tcPr>
            <w:tcW w:type="dxa" w:w="4158"/>
            <w:shd w:val="clear" w:color="auto" w:fill="EAF1F4"/>
          </w:tcPr>
          <w:p>
            <w:pPr>
              <w:spacing w:after="50" w:before="50" w:line="252" w:lineRule="auto"/>
            </w:pPr>
            <w:r>
              <w:rPr>
                <w:sz w:val="17"/>
              </w:rPr>
              <w:t>Venue and host institution</w:t>
            </w:r>
          </w:p>
        </w:tc>
        <w:tc>
          <w:tcPr>
            <w:tcW w:type="dxa" w:w="5309"/>
            <w:shd w:val="clear" w:color="auto" w:fill="EAF1F4"/>
          </w:tcPr>
          <w:p>
            <w:pPr>
              <w:spacing w:after="50" w:before="50" w:line="252" w:lineRule="auto"/>
            </w:pPr>
            <w:r>
              <w:rPr>
                <w:sz w:val="17"/>
              </w:rPr>
              <w:t>[●]</w:t>
            </w:r>
          </w:p>
        </w:tc>
      </w:tr>
      <w:tr>
        <w:tc>
          <w:tcPr>
            <w:tcW w:type="dxa" w:w="4158"/>
          </w:tcPr>
          <w:p>
            <w:pPr>
              <w:spacing w:after="50" w:before="50" w:line="252" w:lineRule="auto"/>
            </w:pPr>
            <w:r>
              <w:rPr>
                <w:sz w:val="17"/>
              </w:rPr>
              <w:t>Sponsorship tier</w:t>
            </w:r>
          </w:p>
        </w:tc>
        <w:tc>
          <w:tcPr>
            <w:tcW w:type="dxa" w:w="5309"/>
          </w:tcPr>
          <w:p>
            <w:pPr>
              <w:spacing w:after="50" w:before="50" w:line="252" w:lineRule="auto"/>
            </w:pPr>
            <w:r>
              <w:rPr>
                <w:sz w:val="17"/>
              </w:rPr>
              <w:t>Title / Associate / Round / Award / Facility</w:t>
            </w:r>
          </w:p>
        </w:tc>
      </w:tr>
      <w:tr>
        <w:tc>
          <w:tcPr>
            <w:tcW w:type="dxa" w:w="4158"/>
            <w:shd w:val="clear" w:color="auto" w:fill="EAF1F4"/>
          </w:tcPr>
          <w:p>
            <w:pPr>
              <w:spacing w:after="50" w:before="50" w:line="252" w:lineRule="auto"/>
            </w:pPr>
            <w:r>
              <w:rPr>
                <w:sz w:val="17"/>
              </w:rPr>
              <w:t>Sponsorship amount</w:t>
            </w:r>
          </w:p>
        </w:tc>
        <w:tc>
          <w:tcPr>
            <w:tcW w:type="dxa" w:w="5309"/>
            <w:shd w:val="clear" w:color="auto" w:fill="EAF1F4"/>
          </w:tcPr>
          <w:p>
            <w:pPr>
              <w:spacing w:after="50" w:before="50" w:line="252" w:lineRule="auto"/>
            </w:pPr>
            <w:r>
              <w:rPr>
                <w:sz w:val="17"/>
              </w:rPr>
              <w:t>₹[●], exclusive of applicable taxes</w:t>
            </w:r>
          </w:p>
        </w:tc>
      </w:tr>
      <w:tr>
        <w:tc>
          <w:tcPr>
            <w:tcW w:type="dxa" w:w="4158"/>
          </w:tcPr>
          <w:p>
            <w:pPr>
              <w:spacing w:after="50" w:before="50" w:line="252" w:lineRule="auto"/>
            </w:pPr>
            <w:r>
              <w:rPr>
                <w:sz w:val="17"/>
              </w:rPr>
              <w:t>Payment schedule</w:t>
            </w:r>
          </w:p>
        </w:tc>
        <w:tc>
          <w:tcPr>
            <w:tcW w:type="dxa" w:w="5309"/>
          </w:tcPr>
          <w:p>
            <w:pPr>
              <w:spacing w:after="50" w:before="50" w:line="252" w:lineRule="auto"/>
            </w:pPr>
            <w:r>
              <w:rPr>
                <w:sz w:val="17"/>
              </w:rPr>
              <w:t>[●]% on execution; [●]% by [●]</w:t>
            </w:r>
          </w:p>
        </w:tc>
      </w:tr>
      <w:tr>
        <w:tc>
          <w:tcPr>
            <w:tcW w:type="dxa" w:w="4158"/>
            <w:shd w:val="clear" w:color="auto" w:fill="EAF1F4"/>
          </w:tcPr>
          <w:p>
            <w:pPr>
              <w:spacing w:after="50" w:before="50" w:line="252" w:lineRule="auto"/>
            </w:pPr>
            <w:r>
              <w:rPr>
                <w:sz w:val="17"/>
              </w:rPr>
              <w:t>Value-in-kind, if any</w:t>
            </w:r>
          </w:p>
        </w:tc>
        <w:tc>
          <w:tcPr>
            <w:tcW w:type="dxa" w:w="5309"/>
            <w:shd w:val="clear" w:color="auto" w:fill="EAF1F4"/>
          </w:tcPr>
          <w:p>
            <w:pPr>
              <w:spacing w:after="50" w:before="50" w:line="252" w:lineRule="auto"/>
            </w:pPr>
            <w:r>
              <w:rPr>
                <w:sz w:val="17"/>
              </w:rPr>
              <w:t>[●]</w:t>
            </w:r>
          </w:p>
        </w:tc>
      </w:tr>
    </w:tbl>
    <w:p>
      <w:pPr>
        <w:spacing w:after="80" w:before="0"/>
      </w:pPr>
    </w:p>
    <w:p>
      <w:pPr>
        <w:pStyle w:val="Heading2"/>
      </w:pPr>
      <w:r>
        <w:t>2. Sponsor entitlements</w:t>
      </w:r>
    </w:p>
    <w:p>
      <w:r>
        <w:rPr>
          <w:i/>
        </w:rPr>
        <w:t>Delete those that do not apply to the tier.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Entitlement</w:t>
            </w:r>
          </w:p>
        </w:tc>
        <w:tc>
          <w:tcPr>
            <w:tcW w:type="dxa" w:w="850"/>
            <w:shd w:val="clear" w:color="auto" w:fill="10375C"/>
          </w:tcPr>
          <w:p>
            <w:pPr>
              <w:spacing w:after="50" w:before="50"/>
            </w:pPr>
            <w:r>
              <w:rPr>
                <w:b/>
                <w:color w:val="FFFFFF"/>
                <w:sz w:val="17"/>
              </w:rPr>
              <w:t>Included</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 xml:space="preserve">Designation as </w:t>
            </w:r>
            <w:r>
              <w:rPr>
                <w:b/>
                <w:sz w:val="17"/>
              </w:rPr>
              <w:t>[Title / Associate / Round / Award] Sponsor</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 xml:space="preserve">Inclusion of the Sponsor's name in the Event title, in the form </w:t>
            </w:r>
            <w:r>
              <w:rPr>
                <w:i/>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Logo on the Event website, registration page, programme, backdrop, standees and certificates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sz w:val="17"/>
              </w:rPr>
              <w:t>A named round or a named award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 positions on the judging panel, subject to the conflict protocol and calibration briefing</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Speaking slot of [●] minutes at the [opening / valedictory] session</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Exhibition or engagement space at the venue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Acknowledgement in press releases and social media, [●] posts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7890"/>
          </w:tcPr>
          <w:p>
            <w:pPr>
              <w:spacing w:after="50" w:before="50" w:line="252" w:lineRule="auto"/>
            </w:pPr>
            <w:r>
              <w:rPr>
                <w:sz w:val="17"/>
              </w:rPr>
              <w:t xml:space="preserve">Access to the participant CV book, </w:t>
            </w:r>
            <w:r>
              <w:rPr>
                <w:b/>
                <w:sz w:val="17"/>
              </w:rPr>
              <w:t>only</w:t>
            </w:r>
            <w:r>
              <w:rPr>
                <w:sz w:val="17"/>
              </w:rPr>
              <w:t xml:space="preserve"> in respect of participants who have separately opted in</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890"/>
            <w:shd w:val="clear" w:color="auto" w:fill="EAF1F4"/>
          </w:tcPr>
          <w:p>
            <w:pPr>
              <w:spacing w:after="50" w:before="50" w:line="252" w:lineRule="auto"/>
            </w:pPr>
            <w:r>
              <w:rPr>
                <w:sz w:val="17"/>
              </w:rPr>
              <w:t>[●] complimentary passes to the Event and to the valedictory dinner</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7890"/>
          </w:tcPr>
          <w:p>
            <w:pPr>
              <w:spacing w:after="50" w:before="50" w:line="252" w:lineRule="auto"/>
            </w:pPr>
            <w:r>
              <w:rPr>
                <w:sz w:val="17"/>
              </w:rPr>
              <w:t>Right of first refusal on the equivalent tier for the next edition, exercisable within thirty days of the Event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7890"/>
            <w:shd w:val="clear" w:color="auto" w:fill="EAF1F4"/>
          </w:tcPr>
          <w:p>
            <w:pPr>
              <w:spacing w:after="50" w:before="50" w:line="252" w:lineRule="auto"/>
            </w:pPr>
            <w:r>
              <w:rPr>
                <w:sz w:val="17"/>
              </w:rPr>
              <w:t>Post-event report with attendance, reach and media coverage</w:t>
            </w:r>
          </w:p>
        </w:tc>
        <w:tc>
          <w:tcPr>
            <w:tcW w:type="dxa" w:w="850"/>
            <w:shd w:val="clear" w:color="auto" w:fill="EAF1F4"/>
          </w:tcPr>
          <w:p>
            <w:pPr>
              <w:spacing w:after="50" w:before="50" w:line="252" w:lineRule="auto"/>
            </w:pPr>
            <w:r>
              <w:rPr>
                <w:sz w:val="17"/>
              </w:rPr>
              <w:t>☐</w:t>
            </w:r>
          </w:p>
        </w:tc>
      </w:tr>
    </w:tbl>
    <w:p>
      <w:pPr>
        <w:spacing w:after="80" w:before="0"/>
      </w:pPr>
    </w:p>
    <w:p>
      <w:pPr>
        <w:pStyle w:val="Heading2"/>
      </w:pPr>
      <w:r>
        <w:t>3. Obligations of the Institute</w:t>
      </w:r>
    </w:p>
    <w:p>
      <w:r>
        <w:rPr>
          <w:b/>
        </w:rPr>
        <w:t>3.1</w:t>
      </w:r>
      <w:r>
        <w:t xml:space="preserve"> The Institute shall deliver the entitlements, conduct the Event with reasonable skill and care, and furnish the post-event report within thirty days.</w:t>
      </w:r>
    </w:p>
    <w:p>
      <w:r>
        <w:rPr>
          <w:b/>
        </w:rPr>
        <w:t>3.2</w:t>
      </w:r>
      <w:r>
        <w:t xml:space="preserve"> The Institute shall use the Sponsor's marks only as approved, in the approved form, and shall submit creative for approval not less than </w:t>
      </w:r>
      <w:r>
        <w:rPr>
          <w:b/>
        </w:rPr>
        <w:t>five business days</w:t>
      </w:r>
      <w:r>
        <w:t xml:space="preserve"> before use.</w:t>
      </w:r>
    </w:p>
    <w:p>
      <w:r>
        <w:rPr>
          <w:b/>
        </w:rPr>
        <w:t>3.3</w:t>
      </w:r>
      <w:r>
        <w:t xml:space="preserve"> The Institute retains </w:t>
      </w:r>
      <w:r>
        <w:rPr>
          <w:b/>
        </w:rPr>
        <w:t>complete editorial and academic control</w:t>
      </w:r>
      <w:r>
        <w:t xml:space="preserve"> over the Event, including the competition problem, the rules, the judging criteria, the appointment and instruction of judges, the results, and the content of any programme. </w:t>
      </w:r>
      <w:r>
        <w:rPr>
          <w:b/>
        </w:rPr>
        <w:t>[verify — that no entitlement in clause 2 compromises this.]</w:t>
      </w:r>
    </w:p>
    <w:p>
      <w:pPr>
        <w:pStyle w:val="Heading2"/>
      </w:pPr>
      <w:r>
        <w:t>4. Obligations of the Sponsor</w:t>
      </w:r>
    </w:p>
    <w:p>
      <w:r>
        <w:rPr>
          <w:b/>
        </w:rPr>
        <w:t>4.1</w:t>
      </w:r>
      <w:r>
        <w:t xml:space="preserve"> The Sponsor shall pay in accordance with clause 1, supply brand assets and guidelines by </w:t>
      </w:r>
      <w:r>
        <w:rPr>
          <w:b/>
        </w:rPr>
        <w:t>[●]</w:t>
      </w:r>
      <w:r>
        <w:t>, and approve creative within five business days of submission.</w:t>
      </w:r>
    </w:p>
    <w:p>
      <w:r>
        <w:rPr>
          <w:b/>
        </w:rPr>
        <w:t>4.2</w:t>
      </w:r>
      <w:r>
        <w:t xml:space="preserve"> The Sponsor shall not: represent that it has any role in judging, in the setting of the problem or in the results; approach a participant, judge or host institution for a commercial purpose without the Institute's consent; use the Institute's marks otherwise than as approved; or make any statement about the Event that is inaccurate or misleading.</w:t>
      </w:r>
    </w:p>
    <w:p>
      <w:r>
        <w:rPr>
          <w:b/>
        </w:rPr>
        <w:t>4.3</w:t>
      </w:r>
      <w:r>
        <w:t xml:space="preserve"> The Sponsor shall comply with all applicable law relating to advertising, data protection and anti-bribery.</w:t>
      </w:r>
    </w:p>
    <w:p>
      <w:pPr>
        <w:pStyle w:val="Heading2"/>
      </w:pPr>
      <w:r>
        <w:t>5. Integrity and independence — a condition of this Agreement</w:t>
      </w:r>
    </w:p>
    <w:p>
      <w:r>
        <w:rPr>
          <w:b/>
        </w:rPr>
        <w:t>5.1</w:t>
      </w:r>
      <w:r>
        <w:t xml:space="preserve"> Sponsorship confers </w:t>
      </w:r>
      <w:r>
        <w:rPr>
          <w:b/>
        </w:rPr>
        <w:t>no</w:t>
      </w:r>
      <w:r>
        <w:t xml:space="preserve"> influence over: the competition problem or confidential briefs; the rules; the selection, briefing or scoring of judges; any result or award decision; the assessment of any participant; or the content of any academic programme.</w:t>
      </w:r>
    </w:p>
    <w:p>
      <w:r>
        <w:rPr>
          <w:b/>
        </w:rPr>
        <w:t>5.2</w:t>
      </w:r>
      <w:r>
        <w:t xml:space="preserve"> Where a Sponsor nominates a judge, that judge is appointed by the Institute in its discretion, must satisfy the eligibility criteria, must complete the conflict declaration and calibration briefing, and may be declined or reallocated without reason.</w:t>
      </w:r>
    </w:p>
    <w:p>
      <w:r>
        <w:rPr>
          <w:b/>
        </w:rPr>
        <w:t>5.3</w:t>
      </w:r>
      <w:r>
        <w:t xml:space="preserve"> Any attempt to influence a result is a material breach entitling the Institute to terminate immediately, to retain sums paid, and to make a public statement of the fact.</w:t>
      </w:r>
    </w:p>
    <w:p>
      <w:pPr>
        <w:pStyle w:val="Heading2"/>
      </w:pPr>
      <w:r>
        <w:t>6. Sponsor screening</w:t>
      </w:r>
    </w:p>
    <w:p>
      <w:r>
        <w:rPr>
          <w:b/>
        </w:rPr>
        <w:t>6.1</w:t>
      </w:r>
      <w:r>
        <w:t xml:space="preserve"> The Sponsor confirms that it is not, and none of its group companies is: subject to any regulatory prohibition or sanction; engaged in a business inconsistent with the values of the Institute or the host institution, including tobacco, gambling, high-cost unsecured consumer lending marketed to students, or any activity subject to a current consumer-protection or predatory-practice proceeding; or a party to a dispute administered by Equator Resolution.</w:t>
      </w:r>
    </w:p>
    <w:p>
      <w:r>
        <w:rPr>
          <w:b/>
        </w:rPr>
        <w:t>6.2</w:t>
      </w:r>
      <w:r>
        <w:t xml:space="preserve"> The Sponsor shall notify the Institute immediately if any of the above ceases to be true.</w:t>
      </w:r>
    </w:p>
    <w:p>
      <w:r>
        <w:rPr>
          <w:b/>
        </w:rPr>
        <w:t>6.3</w:t>
      </w:r>
      <w:r>
        <w:t xml:space="preserve"> The Institute may terminate immediately, refund a proportionate amount and remove all branding where clause 6.1 is or becomes untrue, or where continued association would in its reasonable opinion damage the Institute or the host institution.</w:t>
      </w:r>
    </w:p>
    <w:p>
      <w:pPr>
        <w:pStyle w:val="Heading2"/>
      </w:pPr>
      <w:r>
        <w:t>7. Corporate social responsibility</w:t>
      </w:r>
    </w:p>
    <w:p>
      <w:r>
        <w:t xml:space="preserve">Whether any part of the sponsorship qualifies as expenditure under section 135 and Schedule VII of the Companies Act, 2013 is a matter for the Sponsor and its advisers. </w:t>
      </w:r>
      <w:r>
        <w:rPr>
          <w:b/>
        </w:rPr>
        <w:t>The Institute makes no representation on the point and shall not issue any certificate or receipt characterising the payment as CSR expenditure</w:t>
      </w:r>
      <w:r>
        <w:t xml:space="preserve"> unless and until open item U7 is cleared and, where applicable, the recipient entity satisfies the requirements of the CSR Rules. </w:t>
      </w:r>
      <w:r>
        <w:rPr>
          <w:b/>
        </w:rPr>
        <w:t>[verify — U7.]</w:t>
      </w:r>
    </w:p>
    <w:p>
      <w:pPr>
        <w:pStyle w:val="Heading2"/>
      </w:pPr>
      <w:r>
        <w:t>8. Intellectual property</w:t>
      </w:r>
    </w:p>
    <w:p>
      <w:r>
        <w:rPr>
          <w:b/>
        </w:rPr>
        <w:t>8.1</w:t>
      </w:r>
      <w:r>
        <w:t xml:space="preserve"> Each Party retains ownership of its own marks and grants the other a limited, non-exclusive, revocable licence to use them solely for the Event, ceasing on completion or termination.</w:t>
      </w:r>
    </w:p>
    <w:p>
      <w:r>
        <w:rPr>
          <w:b/>
        </w:rPr>
        <w:t>8.2</w:t>
      </w:r>
      <w:r>
        <w:t xml:space="preserve"> All Event property — the name, the problem, the confidential briefs, the format, the scoring criteria, the recordings and the report — is and remains the exclusive property of the Institute.</w:t>
      </w:r>
    </w:p>
    <w:p>
      <w:r>
        <w:rPr>
          <w:b/>
        </w:rPr>
        <w:t>8.3</w:t>
      </w:r>
      <w:r>
        <w:t xml:space="preserve"> The Sponsor shall not register or seek to register any Event name or mark.</w:t>
      </w:r>
    </w:p>
    <w:p>
      <w:pPr>
        <w:pStyle w:val="Heading2"/>
      </w:pPr>
      <w:r>
        <w:t>9. Cancellation and force majeure</w:t>
      </w:r>
    </w:p>
    <w:p>
      <w:r>
        <w:rPr>
          <w:b/>
        </w:rPr>
        <w:t>9.1</w:t>
      </w:r>
      <w:r>
        <w:t xml:space="preserve"> If the Institute cancels the Event other than for force majeure, it shall refund the sponsorship in full or, at the Sponsor's option, apply it to the next edition.</w:t>
      </w:r>
    </w:p>
    <w:p>
      <w:r>
        <w:rPr>
          <w:b/>
        </w:rPr>
        <w:t>9.2</w:t>
      </w:r>
      <w:r>
        <w:t xml:space="preserve"> If the Event is cancelled or materially curtailed for force majeure, the Institute shall use reasonable endeavours to deliver equivalent value in an alternative format, failing which it shall refund the sponsorship less non-recoverable costs already incurred, apportioned rateably among sponsors.</w:t>
      </w:r>
    </w:p>
    <w:p>
      <w:r>
        <w:rPr>
          <w:b/>
        </w:rPr>
        <w:t>9.3</w:t>
      </w:r>
      <w:r>
        <w:t xml:space="preserve"> If the Sponsor withdraws, sums paid are non-refundable and the balance remains payable, save where the Institute is able to secure a replacement sponsor at the same tier, in which case the balance is waived.</w:t>
      </w:r>
    </w:p>
    <w:p>
      <w:pPr>
        <w:pStyle w:val="Heading2"/>
      </w:pPr>
      <w:r>
        <w:t>10. Liability</w:t>
      </w:r>
    </w:p>
    <w:p>
      <w:r>
        <w:t>Each Party's aggregate liability is limited to the sponsorship amount, save in respect of clause 5, clause 6, fraud, or liability which cannot lawfully be limited. Neither Party is liable for indirect or consequential loss.</w:t>
      </w:r>
    </w:p>
    <w:p>
      <w:pPr>
        <w:pStyle w:val="Heading2"/>
      </w:pPr>
      <w:r>
        <w:t>11. Term and general</w:t>
      </w:r>
    </w:p>
    <w:p>
      <w:r>
        <w:t xml:space="preserve">This Agreement takes effect on execution and ends on delivery of the post-event report, save for clauses 5, 8 and 10 which survive. Governing law India; courts at </w:t>
      </w:r>
      <w:r>
        <w:rPr>
          <w:b/>
        </w:rPr>
        <w:t>[●]</w:t>
      </w:r>
      <w:r>
        <w:t>; disputes referred first to mediation. Confidentiality: neither Party shall disclose the commercial terms without the other's consent. Variation in writing. Counterparts permitted.</w:t>
      </w:r>
    </w:p>
    <w:p>
      <w:pPr>
        <w:spacing w:before="80" w:after="160"/>
        <w:pBdr>
          <w:bottom w:val="single" w:sz="6" w:space="1" w:color="C9D6DE"/>
        </w:pBdr>
      </w:pPr>
    </w:p>
    <w:p>
      <w:r>
        <w:br w:type="page"/>
      </w:r>
    </w:p>
    <w:p>
      <w:pPr>
        <w:pStyle w:val="Heading1"/>
        <w:pBdr>
          <w:bottom w:val="single" w:sz="8" w:space="4" w:color="C9D6DE"/>
        </w:pBdr>
      </w:pPr>
      <w:r>
        <w:t>Annexure · Sponsor screening record</w:t>
      </w:r>
    </w:p>
    <w:p>
      <w:r>
        <w:rPr>
          <w:i/>
        </w:rPr>
        <w:t>Completed by the Institute before any sponsorship is accepted. Approval required under the Delegation of Authority.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6483"/>
            <w:shd w:val="clear" w:color="auto" w:fill="10375C"/>
          </w:tcPr>
          <w:p>
            <w:pPr>
              <w:spacing w:after="50" w:before="50"/>
            </w:pPr>
            <w:r>
              <w:rPr>
                <w:b/>
                <w:color w:val="FFFFFF"/>
                <w:sz w:val="17"/>
              </w:rPr>
              <w:t>Check</w:t>
            </w:r>
          </w:p>
        </w:tc>
        <w:tc>
          <w:tcPr>
            <w:tcW w:type="dxa" w:w="2336"/>
            <w:shd w:val="clear" w:color="auto" w:fill="10375C"/>
          </w:tcPr>
          <w:p>
            <w:pPr>
              <w:spacing w:after="50" w:before="50"/>
            </w:pPr>
            <w:r>
              <w:rPr>
                <w:b/>
                <w:color w:val="FFFFFF"/>
                <w:sz w:val="17"/>
              </w:rPr>
              <w:t>Finding</w:t>
            </w:r>
          </w:p>
        </w:tc>
      </w:tr>
      <w:tr>
        <w:tc>
          <w:tcPr>
            <w:tcW w:type="dxa" w:w="850"/>
          </w:tcPr>
          <w:p>
            <w:pPr>
              <w:spacing w:after="50" w:before="50" w:line="252" w:lineRule="auto"/>
            </w:pPr>
            <w:r>
              <w:rPr>
                <w:sz w:val="17"/>
              </w:rPr>
              <w:t>1</w:t>
            </w:r>
          </w:p>
        </w:tc>
        <w:tc>
          <w:tcPr>
            <w:tcW w:type="dxa" w:w="6483"/>
          </w:tcPr>
          <w:p>
            <w:pPr>
              <w:spacing w:after="50" w:before="50" w:line="252" w:lineRule="auto"/>
            </w:pPr>
            <w:r>
              <w:rPr>
                <w:sz w:val="17"/>
              </w:rPr>
              <w:t>Legal name, CIN or registration, registered office verified</w:t>
            </w:r>
          </w:p>
        </w:tc>
        <w:tc>
          <w:tcPr>
            <w:tcW w:type="dxa" w:w="2336"/>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6483"/>
            <w:shd w:val="clear" w:color="auto" w:fill="EAF1F4"/>
          </w:tcPr>
          <w:p>
            <w:pPr>
              <w:spacing w:after="50" w:before="50" w:line="252" w:lineRule="auto"/>
            </w:pPr>
            <w:r>
              <w:rPr>
                <w:sz w:val="17"/>
              </w:rPr>
              <w:t>Nature of business and principal products</w:t>
            </w:r>
          </w:p>
        </w:tc>
        <w:tc>
          <w:tcPr>
            <w:tcW w:type="dxa" w:w="233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6483"/>
          </w:tcPr>
          <w:p>
            <w:pPr>
              <w:spacing w:after="50" w:before="50" w:line="252" w:lineRule="auto"/>
            </w:pPr>
            <w:r>
              <w:rPr>
                <w:sz w:val="17"/>
              </w:rPr>
              <w:t>Sector on the excluded list?</w:t>
            </w:r>
          </w:p>
        </w:tc>
        <w:tc>
          <w:tcPr>
            <w:tcW w:type="dxa" w:w="2336"/>
          </w:tcPr>
          <w:p>
            <w:pPr>
              <w:spacing w:after="50" w:before="50" w:line="252" w:lineRule="auto"/>
            </w:pPr>
            <w:r>
              <w:rPr>
                <w:sz w:val="17"/>
              </w:rPr>
              <w:t>Yes / No</w:t>
            </w:r>
          </w:p>
        </w:tc>
      </w:tr>
      <w:tr>
        <w:tc>
          <w:tcPr>
            <w:tcW w:type="dxa" w:w="850"/>
            <w:shd w:val="clear" w:color="auto" w:fill="EAF1F4"/>
          </w:tcPr>
          <w:p>
            <w:pPr>
              <w:spacing w:after="50" w:before="50" w:line="252" w:lineRule="auto"/>
            </w:pPr>
            <w:r>
              <w:rPr>
                <w:sz w:val="17"/>
              </w:rPr>
              <w:t>4</w:t>
            </w:r>
          </w:p>
        </w:tc>
        <w:tc>
          <w:tcPr>
            <w:tcW w:type="dxa" w:w="6483"/>
            <w:shd w:val="clear" w:color="auto" w:fill="EAF1F4"/>
          </w:tcPr>
          <w:p>
            <w:pPr>
              <w:spacing w:after="50" w:before="50" w:line="252" w:lineRule="auto"/>
            </w:pPr>
            <w:r>
              <w:rPr>
                <w:sz w:val="17"/>
              </w:rPr>
              <w:t>Any current regulatory action, prosecution or sanction</w:t>
            </w:r>
          </w:p>
        </w:tc>
        <w:tc>
          <w:tcPr>
            <w:tcW w:type="dxa" w:w="233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6483"/>
          </w:tcPr>
          <w:p>
            <w:pPr>
              <w:spacing w:after="50" w:before="50" w:line="252" w:lineRule="auto"/>
            </w:pPr>
            <w:r>
              <w:rPr>
                <w:sz w:val="17"/>
              </w:rPr>
              <w:t>Any dispute administered by Equator Resolution involving the Sponsor</w:t>
            </w:r>
          </w:p>
        </w:tc>
        <w:tc>
          <w:tcPr>
            <w:tcW w:type="dxa" w:w="2336"/>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6483"/>
            <w:shd w:val="clear" w:color="auto" w:fill="EAF1F4"/>
          </w:tcPr>
          <w:p>
            <w:pPr>
              <w:spacing w:after="50" w:before="50" w:line="252" w:lineRule="auto"/>
            </w:pPr>
            <w:r>
              <w:rPr>
                <w:sz w:val="17"/>
              </w:rPr>
              <w:t>Any connection to a participating institution, judge or competitor</w:t>
            </w:r>
          </w:p>
        </w:tc>
        <w:tc>
          <w:tcPr>
            <w:tcW w:type="dxa" w:w="233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6483"/>
          </w:tcPr>
          <w:p>
            <w:pPr>
              <w:spacing w:after="50" w:before="50" w:line="252" w:lineRule="auto"/>
            </w:pPr>
            <w:r>
              <w:rPr>
                <w:sz w:val="17"/>
              </w:rPr>
              <w:t>Adverse media search conducted, date and outcome</w:t>
            </w:r>
          </w:p>
        </w:tc>
        <w:tc>
          <w:tcPr>
            <w:tcW w:type="dxa" w:w="2336"/>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6483"/>
            <w:shd w:val="clear" w:color="auto" w:fill="EAF1F4"/>
          </w:tcPr>
          <w:p>
            <w:pPr>
              <w:spacing w:after="50" w:before="50" w:line="252" w:lineRule="auto"/>
            </w:pPr>
            <w:r>
              <w:rPr>
                <w:sz w:val="17"/>
              </w:rPr>
              <w:t>Host institution consulted and content with the association</w:t>
            </w:r>
          </w:p>
        </w:tc>
        <w:tc>
          <w:tcPr>
            <w:tcW w:type="dxa" w:w="233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6483"/>
          </w:tcPr>
          <w:p>
            <w:pPr>
              <w:spacing w:after="50" w:before="50" w:line="252" w:lineRule="auto"/>
            </w:pPr>
            <w:r>
              <w:rPr>
                <w:sz w:val="17"/>
              </w:rPr>
              <w:t>Any entitlement sought that would compromise clause 5</w:t>
            </w:r>
          </w:p>
        </w:tc>
        <w:tc>
          <w:tcPr>
            <w:tcW w:type="dxa" w:w="2336"/>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6483"/>
            <w:shd w:val="clear" w:color="auto" w:fill="EAF1F4"/>
          </w:tcPr>
          <w:p>
            <w:pPr>
              <w:spacing w:after="50" w:before="50" w:line="252" w:lineRule="auto"/>
            </w:pPr>
            <w:r>
              <w:rPr>
                <w:sz w:val="17"/>
              </w:rPr>
              <w:t>Recommendation</w:t>
            </w:r>
          </w:p>
        </w:tc>
        <w:tc>
          <w:tcPr>
            <w:tcW w:type="dxa" w:w="2336"/>
            <w:shd w:val="clear" w:color="auto" w:fill="EAF1F4"/>
          </w:tcPr>
          <w:p>
            <w:pPr>
              <w:spacing w:after="50" w:before="50" w:line="252" w:lineRule="auto"/>
            </w:pPr>
            <w:r>
              <w:rPr>
                <w:sz w:val="17"/>
              </w:rPr>
              <w:t>Accept / Accept with conditions / Decline</w:t>
            </w:r>
          </w:p>
        </w:tc>
      </w:tr>
    </w:tbl>
    <w:p>
      <w:pPr>
        <w:spacing w:after="80" w:before="0"/>
      </w:pPr>
    </w:p>
    <w:p>
      <w:r>
        <w:t>Screened by: [●]  Date: [●]  Approved by: [●] (per 01.5)  Date: [●]</w:t>
      </w: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564"/>
            <w:shd w:val="clear" w:color="auto" w:fill="10375C"/>
          </w:tcPr>
          <w:p>
            <w:pPr>
              <w:spacing w:after="50" w:before="50"/>
            </w:pPr>
            <w:r>
              <w:rPr>
                <w:b/>
                <w:color w:val="FFFFFF"/>
                <w:sz w:val="17"/>
              </w:rPr>
              <w:t>For the Sponsor</w:t>
            </w:r>
          </w:p>
        </w:tc>
        <w:tc>
          <w:tcPr>
            <w:tcW w:type="dxa" w:w="4903"/>
            <w:shd w:val="clear" w:color="auto" w:fill="10375C"/>
          </w:tcPr>
          <w:p>
            <w:pPr>
              <w:spacing w:after="50" w:before="50"/>
            </w:pPr>
            <w:r>
              <w:rPr>
                <w:b/>
                <w:color w:val="FFFFFF"/>
                <w:sz w:val="17"/>
              </w:rPr>
              <w:t>For Equator ADR Institute</w:t>
            </w:r>
          </w:p>
        </w:tc>
      </w:tr>
      <w:tr>
        <w:tc>
          <w:tcPr>
            <w:tcW w:type="dxa" w:w="4564"/>
          </w:tcPr>
          <w:p>
            <w:pPr>
              <w:spacing w:after="50" w:before="50" w:line="252" w:lineRule="auto"/>
            </w:pPr>
            <w:r>
              <w:rPr>
                <w:sz w:val="17"/>
              </w:rPr>
              <w:t>Signature: _______________________</w:t>
            </w:r>
          </w:p>
        </w:tc>
        <w:tc>
          <w:tcPr>
            <w:tcW w:type="dxa" w:w="4903"/>
          </w:tcPr>
          <w:p>
            <w:pPr>
              <w:spacing w:after="50" w:before="50" w:line="252" w:lineRule="auto"/>
            </w:pPr>
            <w:r>
              <w:rPr>
                <w:sz w:val="17"/>
              </w:rPr>
              <w:t>Signature: _______________________</w:t>
            </w:r>
          </w:p>
        </w:tc>
      </w:tr>
      <w:tr>
        <w:tc>
          <w:tcPr>
            <w:tcW w:type="dxa" w:w="4564"/>
            <w:shd w:val="clear" w:color="auto" w:fill="EAF1F4"/>
          </w:tcPr>
          <w:p>
            <w:pPr>
              <w:spacing w:after="50" w:before="50" w:line="252" w:lineRule="auto"/>
            </w:pPr>
            <w:r>
              <w:rPr>
                <w:sz w:val="17"/>
              </w:rPr>
              <w:t>Name and designation: [●]</w:t>
            </w:r>
          </w:p>
        </w:tc>
        <w:tc>
          <w:tcPr>
            <w:tcW w:type="dxa" w:w="4903"/>
            <w:shd w:val="clear" w:color="auto" w:fill="EAF1F4"/>
          </w:tcPr>
          <w:p>
            <w:pPr>
              <w:spacing w:after="50" w:before="50" w:line="252" w:lineRule="auto"/>
            </w:pPr>
            <w:r>
              <w:rPr>
                <w:sz w:val="17"/>
              </w:rPr>
              <w:t>Name and designation: [●]</w:t>
            </w:r>
          </w:p>
        </w:tc>
      </w:tr>
      <w:tr>
        <w:tc>
          <w:tcPr>
            <w:tcW w:type="dxa" w:w="4564"/>
          </w:tcPr>
          <w:p>
            <w:pPr>
              <w:spacing w:after="50" w:before="50" w:line="252" w:lineRule="auto"/>
            </w:pPr>
            <w:r>
              <w:rPr>
                <w:sz w:val="17"/>
              </w:rPr>
              <w:t>Date: [●]</w:t>
            </w:r>
          </w:p>
        </w:tc>
        <w:tc>
          <w:tcPr>
            <w:tcW w:type="dxa" w:w="4903"/>
          </w:tcPr>
          <w:p>
            <w:pPr>
              <w:spacing w:after="50" w:before="50" w:line="252" w:lineRule="auto"/>
            </w:pPr>
            <w:r>
              <w:rPr>
                <w:sz w:val="17"/>
              </w:rPr>
              <w:t>Date: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Sponsorship &amp; Naming Rights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DEF181-9B56-457C-A794-3A25D4E43D92}"/>
</file>

<file path=customXml/itemProps3.xml><?xml version="1.0" encoding="utf-8"?>
<ds:datastoreItem xmlns:ds="http://schemas.openxmlformats.org/officeDocument/2006/customXml" ds:itemID="{1891A437-CCAA-4040-A2C3-D62526E6CA78}"/>
</file>

<file path=customXml/itemProps4.xml><?xml version="1.0" encoding="utf-8"?>
<ds:datastoreItem xmlns:ds="http://schemas.openxmlformats.org/officeDocument/2006/customXml" ds:itemID="{893329DE-05E9-4460-8779-291F304268A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