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MOU Negotiation Playbook &amp; Clause Bank</w:t>
      </w:r>
    </w:p>
    <w:p>
      <w:pPr>
        <w:spacing w:after="280" w:line="276" w:lineRule="auto"/>
      </w:pPr>
      <w:r>
        <w:rPr>
          <w:rFonts w:ascii="Calibri" w:hAnsi="Calibri"/>
          <w:i/>
          <w:color w:val="3E6B8A"/>
          <w:sz w:val="25"/>
        </w:rPr>
        <w:t>Position, fallback and walk-away on every clause a university will ask to change — with pre-approved alternative wording</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EQ-UAP-041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 Not for external release.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How to use this playbook</w:t>
      </w:r>
    </w:p>
    <w:p>
      <w:r>
        <w:t xml:space="preserve">For each clause likely to be contested, this playbook states </w:t>
      </w:r>
      <w:r>
        <w:rPr>
          <w:b/>
        </w:rPr>
        <w:t>Equator's preferred position</w:t>
      </w:r>
      <w:r>
        <w:t xml:space="preserve">, an </w:t>
      </w:r>
      <w:r>
        <w:rPr>
          <w:b/>
        </w:rPr>
        <w:t>acceptable fallback</w:t>
      </w:r>
      <w:r>
        <w:t xml:space="preserve">, and the </w:t>
      </w:r>
      <w:r>
        <w:rPr>
          <w:b/>
        </w:rPr>
        <w:t>walk-away</w:t>
      </w:r>
      <w:r>
        <w:t xml:space="preserve"> beyond which approval must be sought under the Delegation of Authority (01.5). Pre-approved alternative wording is given so that negotiation does not require fresh drafting.</w:t>
      </w:r>
    </w:p>
    <w:p>
      <w:r>
        <w:rPr>
          <w:b/>
        </w:rPr>
        <w:t>Three rules.</w:t>
      </w:r>
    </w:p>
    <w:p>
      <w:pPr>
        <w:pStyle w:val="ListNumber"/>
      </w:pPr>
      <w:r>
        <w:rPr>
          <w:b/>
          <w:sz w:val="21"/>
        </w:rPr>
        <w:t>Concede on the schedules, hold on the body.</w:t>
      </w:r>
      <w:r>
        <w:rPr>
          <w:sz w:val="21"/>
        </w:rPr>
        <w:t xml:space="preserve"> The body of the MOU is standard across every partnership; conceding on it creates an inconsistent estate that becomes unmanageable at twenty partnerships.</w:t>
      </w:r>
    </w:p>
    <w:p>
      <w:pPr>
        <w:pStyle w:val="ListNumber"/>
      </w:pPr>
      <w:r>
        <w:rPr>
          <w:b/>
          <w:sz w:val="21"/>
        </w:rPr>
        <w:t>Never concede two things in the same breath.</w:t>
      </w:r>
      <w:r>
        <w:rPr>
          <w:sz w:val="21"/>
        </w:rPr>
        <w:t xml:space="preserve"> Trade — every concession buys something.</w:t>
      </w:r>
    </w:p>
    <w:p>
      <w:pPr>
        <w:pStyle w:val="ListNumber"/>
      </w:pPr>
      <w:r>
        <w:rPr>
          <w:b/>
          <w:sz w:val="21"/>
        </w:rPr>
        <w:t>A clause conceded once becomes the precedent asked for by the next institution.</w:t>
      </w:r>
      <w:r>
        <w:rPr>
          <w:sz w:val="21"/>
        </w:rPr>
        <w:t xml:space="preserve"> Record every deviation in the exceptions register.</w:t>
      </w:r>
    </w:p>
    <w:p>
      <w:pPr>
        <w:spacing w:before="80" w:after="160"/>
        <w:pBdr>
          <w:bottom w:val="single" w:sz="6" w:space="1" w:color="C9D6DE"/>
        </w:pBdr>
      </w:pPr>
    </w:p>
    <w:p>
      <w:pPr>
        <w:pStyle w:val="Heading1"/>
        <w:pBdr>
          <w:bottom w:val="single" w:sz="8" w:space="4" w:color="C9D6DE"/>
        </w:pBdr>
      </w:pPr>
      <w:r>
        <w:t>1. Negotiation posture by tier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201"/>
            <w:shd w:val="clear" w:color="auto" w:fill="10375C"/>
          </w:tcPr>
          <w:p>
            <w:pPr>
              <w:spacing w:after="50" w:before="50"/>
            </w:pPr>
            <w:r>
              <w:rPr>
                <w:b/>
                <w:color w:val="FFFFFF"/>
                <w:sz w:val="17"/>
              </w:rPr>
              <w:t>Tier</w:t>
            </w:r>
          </w:p>
        </w:tc>
        <w:tc>
          <w:tcPr>
            <w:tcW w:type="dxa" w:w="4037"/>
            <w:shd w:val="clear" w:color="auto" w:fill="10375C"/>
          </w:tcPr>
          <w:p>
            <w:pPr>
              <w:spacing w:after="50" w:before="50"/>
            </w:pPr>
            <w:r>
              <w:rPr>
                <w:b/>
                <w:color w:val="FFFFFF"/>
                <w:sz w:val="17"/>
              </w:rPr>
              <w:t>Posture</w:t>
            </w:r>
          </w:p>
        </w:tc>
        <w:tc>
          <w:tcPr>
            <w:tcW w:type="dxa" w:w="2550"/>
            <w:shd w:val="clear" w:color="auto" w:fill="10375C"/>
          </w:tcPr>
          <w:p>
            <w:pPr>
              <w:spacing w:after="50" w:before="50"/>
            </w:pPr>
            <w:r>
              <w:rPr>
                <w:b/>
                <w:color w:val="FFFFFF"/>
                <w:sz w:val="17"/>
              </w:rPr>
              <w:t>Who negotiates</w:t>
            </w:r>
          </w:p>
        </w:tc>
        <w:tc>
          <w:tcPr>
            <w:tcW w:type="dxa" w:w="1679"/>
            <w:shd w:val="clear" w:color="auto" w:fill="10375C"/>
          </w:tcPr>
          <w:p>
            <w:pPr>
              <w:spacing w:after="50" w:before="50"/>
            </w:pPr>
            <w:r>
              <w:rPr>
                <w:b/>
                <w:color w:val="FFFFFF"/>
                <w:sz w:val="17"/>
              </w:rPr>
              <w:t>Typical concession budget</w:t>
            </w:r>
          </w:p>
        </w:tc>
      </w:tr>
      <w:tr>
        <w:tc>
          <w:tcPr>
            <w:tcW w:type="dxa" w:w="1201"/>
          </w:tcPr>
          <w:p>
            <w:pPr>
              <w:spacing w:after="50" w:before="50" w:line="252" w:lineRule="auto"/>
            </w:pPr>
            <w:r>
              <w:rPr>
                <w:sz w:val="17"/>
              </w:rPr>
              <w:t>Tier 1 Anchor</w:t>
            </w:r>
          </w:p>
        </w:tc>
        <w:tc>
          <w:tcPr>
            <w:tcW w:type="dxa" w:w="4037"/>
          </w:tcPr>
          <w:p>
            <w:pPr>
              <w:spacing w:after="50" w:before="50" w:line="252" w:lineRule="auto"/>
            </w:pPr>
            <w:r>
              <w:rPr>
                <w:sz w:val="17"/>
              </w:rPr>
              <w:t>Collaborative; the relationship is worth more than any single clause</w:t>
            </w:r>
          </w:p>
        </w:tc>
        <w:tc>
          <w:tcPr>
            <w:tcW w:type="dxa" w:w="2550"/>
          </w:tcPr>
          <w:p>
            <w:pPr>
              <w:spacing w:after="50" w:before="50" w:line="252" w:lineRule="auto"/>
            </w:pPr>
            <w:r>
              <w:rPr>
                <w:sz w:val="17"/>
              </w:rPr>
              <w:t>Programme Director with General Counsel</w:t>
            </w:r>
          </w:p>
        </w:tc>
        <w:tc>
          <w:tcPr>
            <w:tcW w:type="dxa" w:w="1679"/>
          </w:tcPr>
          <w:p>
            <w:pPr>
              <w:spacing w:after="50" w:before="50" w:line="252" w:lineRule="auto"/>
            </w:pPr>
            <w:r>
              <w:rPr>
                <w:sz w:val="17"/>
              </w:rPr>
              <w:t>Wide, within the walk-aways</w:t>
            </w:r>
          </w:p>
        </w:tc>
      </w:tr>
      <w:tr>
        <w:tc>
          <w:tcPr>
            <w:tcW w:type="dxa" w:w="1201"/>
            <w:shd w:val="clear" w:color="auto" w:fill="EAF1F4"/>
          </w:tcPr>
          <w:p>
            <w:pPr>
              <w:spacing w:after="50" w:before="50" w:line="252" w:lineRule="auto"/>
            </w:pPr>
            <w:r>
              <w:rPr>
                <w:sz w:val="17"/>
              </w:rPr>
              <w:t>Tier 2 Programme</w:t>
            </w:r>
          </w:p>
        </w:tc>
        <w:tc>
          <w:tcPr>
            <w:tcW w:type="dxa" w:w="4037"/>
            <w:shd w:val="clear" w:color="auto" w:fill="EAF1F4"/>
          </w:tcPr>
          <w:p>
            <w:pPr>
              <w:spacing w:after="50" w:before="50" w:line="252" w:lineRule="auto"/>
            </w:pPr>
            <w:r>
              <w:rPr>
                <w:sz w:val="17"/>
              </w:rPr>
              <w:t>Standard form; accommodate in schedules</w:t>
            </w:r>
          </w:p>
        </w:tc>
        <w:tc>
          <w:tcPr>
            <w:tcW w:type="dxa" w:w="2550"/>
            <w:shd w:val="clear" w:color="auto" w:fill="EAF1F4"/>
          </w:tcPr>
          <w:p>
            <w:pPr>
              <w:spacing w:after="50" w:before="50" w:line="252" w:lineRule="auto"/>
            </w:pPr>
            <w:r>
              <w:rPr>
                <w:sz w:val="17"/>
              </w:rPr>
              <w:t>Manager BD, escalating to Director</w:t>
            </w:r>
          </w:p>
        </w:tc>
        <w:tc>
          <w:tcPr>
            <w:tcW w:type="dxa" w:w="1679"/>
            <w:shd w:val="clear" w:color="auto" w:fill="EAF1F4"/>
          </w:tcPr>
          <w:p>
            <w:pPr>
              <w:spacing w:after="50" w:before="50" w:line="252" w:lineRule="auto"/>
            </w:pPr>
            <w:r>
              <w:rPr>
                <w:sz w:val="17"/>
              </w:rPr>
              <w:t>Narrow</w:t>
            </w:r>
          </w:p>
        </w:tc>
      </w:tr>
      <w:tr>
        <w:tc>
          <w:tcPr>
            <w:tcW w:type="dxa" w:w="1201"/>
          </w:tcPr>
          <w:p>
            <w:pPr>
              <w:spacing w:after="50" w:before="50" w:line="252" w:lineRule="auto"/>
            </w:pPr>
            <w:r>
              <w:rPr>
                <w:sz w:val="17"/>
              </w:rPr>
              <w:t>Tier 3 Associate</w:t>
            </w:r>
          </w:p>
        </w:tc>
        <w:tc>
          <w:tcPr>
            <w:tcW w:type="dxa" w:w="4037"/>
          </w:tcPr>
          <w:p>
            <w:pPr>
              <w:spacing w:after="50" w:before="50" w:line="252" w:lineRule="auto"/>
            </w:pPr>
            <w:r>
              <w:rPr>
                <w:sz w:val="17"/>
              </w:rPr>
              <w:t>Take it or leave it; the form is short and free</w:t>
            </w:r>
          </w:p>
        </w:tc>
        <w:tc>
          <w:tcPr>
            <w:tcW w:type="dxa" w:w="2550"/>
          </w:tcPr>
          <w:p>
            <w:pPr>
              <w:spacing w:after="50" w:before="50" w:line="252" w:lineRule="auto"/>
            </w:pPr>
            <w:r>
              <w:rPr>
                <w:sz w:val="17"/>
              </w:rPr>
              <w:t>Manager BD</w:t>
            </w:r>
          </w:p>
        </w:tc>
        <w:tc>
          <w:tcPr>
            <w:tcW w:type="dxa" w:w="1679"/>
          </w:tcPr>
          <w:p>
            <w:pPr>
              <w:spacing w:after="50" w:before="50" w:line="252" w:lineRule="auto"/>
            </w:pPr>
            <w:r>
              <w:rPr>
                <w:sz w:val="17"/>
              </w:rPr>
              <w:t>None</w:t>
            </w:r>
          </w:p>
        </w:tc>
      </w:tr>
    </w:tbl>
    <w:p>
      <w:pPr>
        <w:spacing w:after="80" w:before="0"/>
      </w:pPr>
    </w:p>
    <w:p>
      <w:pPr>
        <w:spacing w:before="80" w:after="160"/>
        <w:pBdr>
          <w:bottom w:val="single" w:sz="6" w:space="1" w:color="C9D6DE"/>
        </w:pBdr>
      </w:pPr>
    </w:p>
    <w:p>
      <w:pPr>
        <w:pStyle w:val="Heading1"/>
        <w:pBdr>
          <w:bottom w:val="single" w:sz="8" w:space="4" w:color="C9D6DE"/>
        </w:pBdr>
      </w:pPr>
      <w:r>
        <w:t>2. Clause-by-clause positions</w:t>
      </w:r>
    </w:p>
    <w:p>
      <w:pPr>
        <w:pStyle w:val="Heading2"/>
      </w:pPr>
      <w:r>
        <w:t>2.1 Clause 5 — Term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48"/>
            <w:shd w:val="clear" w:color="auto" w:fill="10375C"/>
          </w:tcPr>
          <w:p>
            <w:pPr>
              <w:spacing w:after="50" w:before="50"/>
            </w:pPr>
          </w:p>
        </w:tc>
        <w:tc>
          <w:tcPr>
            <w:tcW w:type="dxa" w:w="7620"/>
            <w:shd w:val="clear" w:color="auto" w:fill="10375C"/>
          </w:tcPr>
          <w:p>
            <w:pPr>
              <w:spacing w:after="50" w:before="50"/>
            </w:pPr>
            <w:r>
              <w:rPr>
                <w:b/>
                <w:color w:val="FFFFFF"/>
                <w:sz w:val="17"/>
              </w:rPr>
              <w:t>Position</w:t>
            </w:r>
          </w:p>
        </w:tc>
      </w:tr>
      <w:tr>
        <w:tc>
          <w:tcPr>
            <w:tcW w:type="dxa" w:w="1848"/>
          </w:tcPr>
          <w:p>
            <w:pPr>
              <w:spacing w:after="50" w:before="50" w:line="252" w:lineRule="auto"/>
            </w:pPr>
            <w:r>
              <w:rPr>
                <w:b/>
                <w:sz w:val="17"/>
              </w:rPr>
              <w:t>Preferred</w:t>
            </w:r>
          </w:p>
        </w:tc>
        <w:tc>
          <w:tcPr>
            <w:tcW w:type="dxa" w:w="7620"/>
          </w:tcPr>
          <w:p>
            <w:pPr>
              <w:spacing w:after="50" w:before="50" w:line="252" w:lineRule="auto"/>
            </w:pPr>
            <w:r>
              <w:rPr>
                <w:sz w:val="17"/>
              </w:rPr>
              <w:t>5 years Tier 1; 3 years Tier 2; 2 years Tier 3</w:t>
            </w:r>
          </w:p>
        </w:tc>
      </w:tr>
      <w:tr>
        <w:tc>
          <w:tcPr>
            <w:tcW w:type="dxa" w:w="1848"/>
            <w:shd w:val="clear" w:color="auto" w:fill="EAF1F4"/>
          </w:tcPr>
          <w:p>
            <w:pPr>
              <w:spacing w:after="50" w:before="50" w:line="252" w:lineRule="auto"/>
            </w:pPr>
            <w:r>
              <w:rPr>
                <w:b/>
                <w:sz w:val="17"/>
              </w:rPr>
              <w:t>Fallback</w:t>
            </w:r>
          </w:p>
        </w:tc>
        <w:tc>
          <w:tcPr>
            <w:tcW w:type="dxa" w:w="7620"/>
            <w:shd w:val="clear" w:color="auto" w:fill="EAF1F4"/>
          </w:tcPr>
          <w:p>
            <w:pPr>
              <w:spacing w:after="50" w:before="50" w:line="252" w:lineRule="auto"/>
            </w:pPr>
            <w:r>
              <w:rPr>
                <w:sz w:val="17"/>
              </w:rPr>
              <w:t>3 years with a right to extend by 2 on written agreement</w:t>
            </w:r>
          </w:p>
        </w:tc>
      </w:tr>
      <w:tr>
        <w:tc>
          <w:tcPr>
            <w:tcW w:type="dxa" w:w="1848"/>
          </w:tcPr>
          <w:p>
            <w:pPr>
              <w:spacing w:after="50" w:before="50" w:line="252" w:lineRule="auto"/>
            </w:pPr>
            <w:r>
              <w:rPr>
                <w:b/>
                <w:sz w:val="17"/>
              </w:rPr>
              <w:t>Walk-away</w:t>
            </w:r>
          </w:p>
        </w:tc>
        <w:tc>
          <w:tcPr>
            <w:tcW w:type="dxa" w:w="7620"/>
          </w:tcPr>
          <w:p>
            <w:pPr>
              <w:spacing w:after="50" w:before="50" w:line="252" w:lineRule="auto"/>
            </w:pPr>
            <w:r>
              <w:rPr>
                <w:sz w:val="17"/>
              </w:rPr>
              <w:t>Below 2 years, or beyond 5 years without Board approval</w:t>
            </w:r>
          </w:p>
        </w:tc>
      </w:tr>
      <w:tr>
        <w:tc>
          <w:tcPr>
            <w:tcW w:type="dxa" w:w="1848"/>
            <w:shd w:val="clear" w:color="auto" w:fill="EAF1F4"/>
          </w:tcPr>
          <w:p>
            <w:pPr>
              <w:spacing w:after="50" w:before="50" w:line="252" w:lineRule="auto"/>
            </w:pPr>
            <w:r>
              <w:rPr>
                <w:b/>
                <w:sz w:val="17"/>
              </w:rPr>
              <w:t>Argument</w:t>
            </w:r>
          </w:p>
        </w:tc>
        <w:tc>
          <w:tcPr>
            <w:tcW w:type="dxa" w:w="7620"/>
            <w:shd w:val="clear" w:color="auto" w:fill="EAF1F4"/>
          </w:tcPr>
          <w:p>
            <w:pPr>
              <w:spacing w:after="50" w:before="50" w:line="252" w:lineRule="auto"/>
            </w:pPr>
            <w:r>
              <w:rPr>
                <w:sz w:val="17"/>
              </w:rPr>
              <w:t>A short term prevents both sides from investing. Curriculum development, credit approval and competition hosting each take a year to bed in</w:t>
            </w:r>
          </w:p>
        </w:tc>
      </w:tr>
    </w:tbl>
    <w:p>
      <w:pPr>
        <w:spacing w:after="80" w:before="0"/>
      </w:pPr>
    </w:p>
    <w:p>
      <w:pPr>
        <w:pStyle w:val="Heading2"/>
      </w:pPr>
      <w:r>
        <w:t>2.2 Clause 5.3 — Termination for convenience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89"/>
            <w:shd w:val="clear" w:color="auto" w:fill="10375C"/>
          </w:tcPr>
          <w:p>
            <w:pPr>
              <w:spacing w:after="50" w:before="50"/>
            </w:pPr>
          </w:p>
        </w:tc>
        <w:tc>
          <w:tcPr>
            <w:tcW w:type="dxa" w:w="7079"/>
            <w:shd w:val="clear" w:color="auto" w:fill="10375C"/>
          </w:tcPr>
          <w:p>
            <w:pPr>
              <w:spacing w:after="50" w:before="50"/>
            </w:pPr>
            <w:r>
              <w:rPr>
                <w:b/>
                <w:color w:val="FFFFFF"/>
                <w:sz w:val="17"/>
              </w:rPr>
              <w:t>Position</w:t>
            </w:r>
          </w:p>
        </w:tc>
      </w:tr>
      <w:tr>
        <w:tc>
          <w:tcPr>
            <w:tcW w:type="dxa" w:w="2389"/>
          </w:tcPr>
          <w:p>
            <w:pPr>
              <w:spacing w:after="50" w:before="50" w:line="252" w:lineRule="auto"/>
            </w:pPr>
            <w:r>
              <w:rPr>
                <w:b/>
                <w:sz w:val="17"/>
              </w:rPr>
              <w:t>Preferred</w:t>
            </w:r>
          </w:p>
        </w:tc>
        <w:tc>
          <w:tcPr>
            <w:tcW w:type="dxa" w:w="7079"/>
          </w:tcPr>
          <w:p>
            <w:pPr>
              <w:spacing w:after="50" w:before="50" w:line="252" w:lineRule="auto"/>
            </w:pPr>
            <w:r>
              <w:rPr>
                <w:sz w:val="17"/>
              </w:rPr>
              <w:t>90 days, expiring at the end of an academic term</w:t>
            </w:r>
          </w:p>
        </w:tc>
      </w:tr>
      <w:tr>
        <w:tc>
          <w:tcPr>
            <w:tcW w:type="dxa" w:w="2389"/>
            <w:shd w:val="clear" w:color="auto" w:fill="EAF1F4"/>
          </w:tcPr>
          <w:p>
            <w:pPr>
              <w:spacing w:after="50" w:before="50" w:line="252" w:lineRule="auto"/>
            </w:pPr>
            <w:r>
              <w:rPr>
                <w:b/>
                <w:sz w:val="17"/>
              </w:rPr>
              <w:t>Fallback</w:t>
            </w:r>
          </w:p>
        </w:tc>
        <w:tc>
          <w:tcPr>
            <w:tcW w:type="dxa" w:w="7079"/>
            <w:shd w:val="clear" w:color="auto" w:fill="EAF1F4"/>
          </w:tcPr>
          <w:p>
            <w:pPr>
              <w:spacing w:after="50" w:before="50" w:line="252" w:lineRule="auto"/>
            </w:pPr>
            <w:r>
              <w:rPr>
                <w:sz w:val="17"/>
              </w:rPr>
              <w:t>60 days, expiring at the end of a term</w:t>
            </w:r>
          </w:p>
        </w:tc>
      </w:tr>
      <w:tr>
        <w:tc>
          <w:tcPr>
            <w:tcW w:type="dxa" w:w="2389"/>
          </w:tcPr>
          <w:p>
            <w:pPr>
              <w:spacing w:after="50" w:before="50" w:line="252" w:lineRule="auto"/>
            </w:pPr>
            <w:r>
              <w:rPr>
                <w:b/>
                <w:sz w:val="17"/>
              </w:rPr>
              <w:t>Walk-away</w:t>
            </w:r>
          </w:p>
        </w:tc>
        <w:tc>
          <w:tcPr>
            <w:tcW w:type="dxa" w:w="7079"/>
          </w:tcPr>
          <w:p>
            <w:pPr>
              <w:spacing w:after="50" w:before="50" w:line="252" w:lineRule="auto"/>
            </w:pPr>
            <w:r>
              <w:rPr>
                <w:sz w:val="17"/>
              </w:rPr>
              <w:t>Termination effective mid-term, or without notice</w:t>
            </w:r>
          </w:p>
        </w:tc>
      </w:tr>
      <w:tr>
        <w:tc>
          <w:tcPr>
            <w:tcW w:type="dxa" w:w="2389"/>
            <w:shd w:val="clear" w:color="auto" w:fill="EAF1F4"/>
          </w:tcPr>
          <w:p>
            <w:pPr>
              <w:spacing w:after="50" w:before="50" w:line="252" w:lineRule="auto"/>
            </w:pPr>
            <w:r>
              <w:rPr>
                <w:b/>
                <w:sz w:val="17"/>
              </w:rPr>
              <w:t>Alternative wording</w:t>
            </w:r>
          </w:p>
        </w:tc>
        <w:tc>
          <w:tcPr>
            <w:tcW w:type="dxa" w:w="7079"/>
            <w:shd w:val="clear" w:color="auto" w:fill="EAF1F4"/>
          </w:tcPr>
          <w:p>
            <w:pPr>
              <w:spacing w:after="50" w:before="50" w:line="252" w:lineRule="auto"/>
            </w:pPr>
            <w:r>
              <w:rPr>
                <w:i/>
                <w:sz w:val="17"/>
              </w:rPr>
              <w:t>Either Party may terminate on sixty days' written notice, provided that such notice shall not take effect before the completion of any Activity then in progress or scheduled to commence within that period.</w:t>
            </w:r>
          </w:p>
        </w:tc>
      </w:tr>
    </w:tbl>
    <w:p>
      <w:pPr>
        <w:spacing w:after="80" w:before="0"/>
      </w:pPr>
    </w:p>
    <w:p>
      <w:pPr>
        <w:pStyle w:val="Heading2"/>
      </w:pPr>
      <w:r>
        <w:t>2.3 Clause 6.4 — Minimum activity commitment</w:t>
      </w:r>
    </w:p>
    <w:p>
      <w:r>
        <w:rPr>
          <w:b/>
        </w:rPr>
        <w:t>This is the clause most often resisted and the one least worth conceding.</w:t>
      </w:r>
      <w:r>
        <w:t xml:space="preserve"> It is what prevents the dormant MOU.</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86"/>
            <w:shd w:val="clear" w:color="auto" w:fill="10375C"/>
          </w:tcPr>
          <w:p>
            <w:pPr>
              <w:spacing w:after="50" w:before="50"/>
            </w:pPr>
          </w:p>
        </w:tc>
        <w:tc>
          <w:tcPr>
            <w:tcW w:type="dxa" w:w="7082"/>
            <w:shd w:val="clear" w:color="auto" w:fill="10375C"/>
          </w:tcPr>
          <w:p>
            <w:pPr>
              <w:spacing w:after="50" w:before="50"/>
            </w:pPr>
            <w:r>
              <w:rPr>
                <w:b/>
                <w:color w:val="FFFFFF"/>
                <w:sz w:val="17"/>
              </w:rPr>
              <w:t>Position</w:t>
            </w:r>
          </w:p>
        </w:tc>
      </w:tr>
      <w:tr>
        <w:tc>
          <w:tcPr>
            <w:tcW w:type="dxa" w:w="2386"/>
          </w:tcPr>
          <w:p>
            <w:pPr>
              <w:spacing w:after="50" w:before="50" w:line="252" w:lineRule="auto"/>
            </w:pPr>
            <w:r>
              <w:rPr>
                <w:b/>
                <w:sz w:val="17"/>
              </w:rPr>
              <w:t>Preferred</w:t>
            </w:r>
          </w:p>
        </w:tc>
        <w:tc>
          <w:tcPr>
            <w:tcW w:type="dxa" w:w="7082"/>
          </w:tcPr>
          <w:p>
            <w:pPr>
              <w:spacing w:after="50" w:before="50" w:line="252" w:lineRule="auto"/>
            </w:pPr>
            <w:r>
              <w:rPr>
                <w:sz w:val="17"/>
              </w:rPr>
              <w:t>Stated minimum number of Activities per year with automatic lapse after two consecutive years of shortfall</w:t>
            </w:r>
          </w:p>
        </w:tc>
      </w:tr>
      <w:tr>
        <w:tc>
          <w:tcPr>
            <w:tcW w:type="dxa" w:w="2386"/>
            <w:shd w:val="clear" w:color="auto" w:fill="EAF1F4"/>
          </w:tcPr>
          <w:p>
            <w:pPr>
              <w:spacing w:after="50" w:before="50" w:line="252" w:lineRule="auto"/>
            </w:pPr>
            <w:r>
              <w:rPr>
                <w:b/>
                <w:sz w:val="17"/>
              </w:rPr>
              <w:t>Fallback</w:t>
            </w:r>
          </w:p>
        </w:tc>
        <w:tc>
          <w:tcPr>
            <w:tcW w:type="dxa" w:w="7082"/>
            <w:shd w:val="clear" w:color="auto" w:fill="EAF1F4"/>
          </w:tcPr>
          <w:p>
            <w:pPr>
              <w:spacing w:after="50" w:before="50" w:line="252" w:lineRule="auto"/>
            </w:pPr>
            <w:r>
              <w:rPr>
                <w:sz w:val="17"/>
              </w:rPr>
              <w:t>Reduce the number, extend to three consecutive years, or convert automatic lapse into a right for either Party to terminate on thirty days' notice</w:t>
            </w:r>
          </w:p>
        </w:tc>
      </w:tr>
      <w:tr>
        <w:tc>
          <w:tcPr>
            <w:tcW w:type="dxa" w:w="2386"/>
          </w:tcPr>
          <w:p>
            <w:pPr>
              <w:spacing w:after="50" w:before="50" w:line="252" w:lineRule="auto"/>
            </w:pPr>
            <w:r>
              <w:rPr>
                <w:b/>
                <w:sz w:val="17"/>
              </w:rPr>
              <w:t>Walk-away</w:t>
            </w:r>
          </w:p>
        </w:tc>
        <w:tc>
          <w:tcPr>
            <w:tcW w:type="dxa" w:w="7082"/>
          </w:tcPr>
          <w:p>
            <w:pPr>
              <w:spacing w:after="50" w:before="50" w:line="252" w:lineRule="auto"/>
            </w:pPr>
            <w:r>
              <w:rPr>
                <w:sz w:val="17"/>
              </w:rPr>
              <w:t>Deletion of the clause entirely</w:t>
            </w:r>
          </w:p>
        </w:tc>
      </w:tr>
      <w:tr>
        <w:tc>
          <w:tcPr>
            <w:tcW w:type="dxa" w:w="2386"/>
            <w:shd w:val="clear" w:color="auto" w:fill="EAF1F4"/>
          </w:tcPr>
          <w:p>
            <w:pPr>
              <w:spacing w:after="50" w:before="50" w:line="252" w:lineRule="auto"/>
            </w:pPr>
            <w:r>
              <w:rPr>
                <w:b/>
                <w:sz w:val="17"/>
              </w:rPr>
              <w:t>Argument</w:t>
            </w:r>
          </w:p>
        </w:tc>
        <w:tc>
          <w:tcPr>
            <w:tcW w:type="dxa" w:w="7082"/>
            <w:shd w:val="clear" w:color="auto" w:fill="EAF1F4"/>
          </w:tcPr>
          <w:p>
            <w:pPr>
              <w:spacing w:after="50" w:before="50" w:line="252" w:lineRule="auto"/>
            </w:pPr>
            <w:r>
              <w:rPr>
                <w:sz w:val="17"/>
              </w:rPr>
              <w:t xml:space="preserve">Frame it as mutual and protective: </w:t>
            </w:r>
            <w:r>
              <w:rPr>
                <w:i/>
                <w:sz w:val="17"/>
              </w:rPr>
              <w:t>this clause binds us as much as you. It is how we ensure we actually deliver rather than allowing this to become a document in a file. If we fail to deliver, you get a clean exit.</w:t>
            </w:r>
            <w:r>
              <w:rPr>
                <w:sz w:val="17"/>
              </w:rPr>
              <w:t xml:space="preserve"> Universities almost always accept this framing</w:t>
            </w:r>
          </w:p>
        </w:tc>
      </w:tr>
      <w:tr>
        <w:tc>
          <w:tcPr>
            <w:tcW w:type="dxa" w:w="2386"/>
          </w:tcPr>
          <w:p>
            <w:pPr>
              <w:spacing w:after="50" w:before="50" w:line="252" w:lineRule="auto"/>
            </w:pPr>
            <w:r>
              <w:rPr>
                <w:b/>
                <w:sz w:val="17"/>
              </w:rPr>
              <w:t>Alternative wording</w:t>
            </w:r>
          </w:p>
        </w:tc>
        <w:tc>
          <w:tcPr>
            <w:tcW w:type="dxa" w:w="7082"/>
          </w:tcPr>
          <w:p>
            <w:pPr>
              <w:spacing w:after="50" w:before="50" w:line="252" w:lineRule="auto"/>
            </w:pPr>
            <w:r>
              <w:rPr>
                <w:i/>
                <w:sz w:val="17"/>
              </w:rPr>
              <w:t>Where fewer than the minimum number of Activities are conducted in two consecutive Academic Years, either Party may terminate this Memorandum on thirty days' written notice, without liability.</w:t>
            </w:r>
          </w:p>
        </w:tc>
      </w:tr>
    </w:tbl>
    <w:p>
      <w:pPr>
        <w:spacing w:after="80" w:before="0"/>
      </w:pPr>
    </w:p>
    <w:p>
      <w:pPr>
        <w:pStyle w:val="Heading2"/>
      </w:pPr>
      <w:r>
        <w:t>2.4 Clause 8.2 — Institute Materials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48"/>
            <w:shd w:val="clear" w:color="auto" w:fill="10375C"/>
          </w:tcPr>
          <w:p>
            <w:pPr>
              <w:spacing w:after="50" w:before="50"/>
            </w:pPr>
          </w:p>
        </w:tc>
        <w:tc>
          <w:tcPr>
            <w:tcW w:type="dxa" w:w="7620"/>
            <w:shd w:val="clear" w:color="auto" w:fill="10375C"/>
          </w:tcPr>
          <w:p>
            <w:pPr>
              <w:spacing w:after="50" w:before="50"/>
            </w:pPr>
            <w:r>
              <w:rPr>
                <w:b/>
                <w:color w:val="FFFFFF"/>
                <w:sz w:val="17"/>
              </w:rPr>
              <w:t>Position</w:t>
            </w:r>
          </w:p>
        </w:tc>
      </w:tr>
      <w:tr>
        <w:tc>
          <w:tcPr>
            <w:tcW w:type="dxa" w:w="1848"/>
          </w:tcPr>
          <w:p>
            <w:pPr>
              <w:spacing w:after="50" w:before="50" w:line="252" w:lineRule="auto"/>
            </w:pPr>
            <w:r>
              <w:rPr>
                <w:b/>
                <w:sz w:val="17"/>
              </w:rPr>
              <w:t>Preferred</w:t>
            </w:r>
          </w:p>
        </w:tc>
        <w:tc>
          <w:tcPr>
            <w:tcW w:type="dxa" w:w="7620"/>
          </w:tcPr>
          <w:p>
            <w:pPr>
              <w:spacing w:after="50" w:before="50" w:line="252" w:lineRule="auto"/>
            </w:pPr>
            <w:r>
              <w:rPr>
                <w:sz w:val="17"/>
              </w:rPr>
              <w:t>Institute retains all rights; University gets a use-only licence for the Term</w:t>
            </w:r>
          </w:p>
        </w:tc>
      </w:tr>
      <w:tr>
        <w:tc>
          <w:tcPr>
            <w:tcW w:type="dxa" w:w="1848"/>
            <w:shd w:val="clear" w:color="auto" w:fill="EAF1F4"/>
          </w:tcPr>
          <w:p>
            <w:pPr>
              <w:spacing w:after="50" w:before="50" w:line="252" w:lineRule="auto"/>
            </w:pPr>
            <w:r>
              <w:rPr>
                <w:b/>
                <w:sz w:val="17"/>
              </w:rPr>
              <w:t>Fallback</w:t>
            </w:r>
          </w:p>
        </w:tc>
        <w:tc>
          <w:tcPr>
            <w:tcW w:type="dxa" w:w="7620"/>
            <w:shd w:val="clear" w:color="auto" w:fill="EAF1F4"/>
          </w:tcPr>
          <w:p>
            <w:pPr>
              <w:spacing w:after="50" w:before="50" w:line="252" w:lineRule="auto"/>
            </w:pPr>
            <w:r>
              <w:rPr>
                <w:sz w:val="17"/>
              </w:rPr>
              <w:t>Licence extended to permit internal archival retention of participant workbooks after the Term, without a right to deliver the programme</w:t>
            </w:r>
          </w:p>
        </w:tc>
      </w:tr>
      <w:tr>
        <w:tc>
          <w:tcPr>
            <w:tcW w:type="dxa" w:w="1848"/>
          </w:tcPr>
          <w:p>
            <w:pPr>
              <w:spacing w:after="50" w:before="50" w:line="252" w:lineRule="auto"/>
            </w:pPr>
            <w:r>
              <w:rPr>
                <w:b/>
                <w:sz w:val="17"/>
              </w:rPr>
              <w:t>Walk-away</w:t>
            </w:r>
          </w:p>
        </w:tc>
        <w:tc>
          <w:tcPr>
            <w:tcW w:type="dxa" w:w="7620"/>
          </w:tcPr>
          <w:p>
            <w:pPr>
              <w:spacing w:after="50" w:before="50" w:line="252" w:lineRule="auto"/>
            </w:pPr>
            <w:r>
              <w:rPr>
                <w:sz w:val="17"/>
              </w:rPr>
              <w:t>Any right for the University to deliver the programme itself, to adapt the materials, or to retain them for reuse</w:t>
            </w:r>
          </w:p>
        </w:tc>
      </w:tr>
      <w:tr>
        <w:tc>
          <w:tcPr>
            <w:tcW w:type="dxa" w:w="1848"/>
            <w:shd w:val="clear" w:color="auto" w:fill="EAF1F4"/>
          </w:tcPr>
          <w:p>
            <w:pPr>
              <w:spacing w:after="50" w:before="50" w:line="252" w:lineRule="auto"/>
            </w:pPr>
            <w:r>
              <w:rPr>
                <w:b/>
                <w:sz w:val="17"/>
              </w:rPr>
              <w:t>Argument</w:t>
            </w:r>
          </w:p>
        </w:tc>
        <w:tc>
          <w:tcPr>
            <w:tcW w:type="dxa" w:w="7620"/>
            <w:shd w:val="clear" w:color="auto" w:fill="EAF1F4"/>
          </w:tcPr>
          <w:p>
            <w:pPr>
              <w:spacing w:after="50" w:before="50" w:line="252" w:lineRule="auto"/>
            </w:pPr>
            <w:r>
              <w:rPr>
                <w:sz w:val="17"/>
              </w:rPr>
              <w:t>The curriculum is the asset. If a university can deliver it without us, there is no partnership, only a one-off sale. Offer instead a paid curriculum licence, which is a revenue line (04.1 line 8)</w:t>
            </w:r>
          </w:p>
        </w:tc>
      </w:tr>
    </w:tbl>
    <w:p>
      <w:pPr>
        <w:spacing w:after="80" w:before="0"/>
      </w:pPr>
    </w:p>
    <w:p>
      <w:pPr>
        <w:pStyle w:val="Heading2"/>
      </w:pPr>
      <w:r>
        <w:t>2.5 Clause 8.4 — Foreground and joint IP</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96"/>
            <w:shd w:val="clear" w:color="auto" w:fill="10375C"/>
          </w:tcPr>
          <w:p>
            <w:pPr>
              <w:spacing w:after="50" w:before="50"/>
            </w:pPr>
          </w:p>
        </w:tc>
        <w:tc>
          <w:tcPr>
            <w:tcW w:type="dxa" w:w="7671"/>
            <w:shd w:val="clear" w:color="auto" w:fill="10375C"/>
          </w:tcPr>
          <w:p>
            <w:pPr>
              <w:spacing w:after="50" w:before="50"/>
            </w:pPr>
            <w:r>
              <w:rPr>
                <w:b/>
                <w:color w:val="FFFFFF"/>
                <w:sz w:val="17"/>
              </w:rPr>
              <w:t>Position</w:t>
            </w:r>
          </w:p>
        </w:tc>
      </w:tr>
      <w:tr>
        <w:tc>
          <w:tcPr>
            <w:tcW w:type="dxa" w:w="1796"/>
          </w:tcPr>
          <w:p>
            <w:pPr>
              <w:spacing w:after="50" w:before="50" w:line="252" w:lineRule="auto"/>
            </w:pPr>
            <w:r>
              <w:rPr>
                <w:b/>
                <w:sz w:val="17"/>
              </w:rPr>
              <w:t>Preferred</w:t>
            </w:r>
          </w:p>
        </w:tc>
        <w:tc>
          <w:tcPr>
            <w:tcW w:type="dxa" w:w="7671"/>
          </w:tcPr>
          <w:p>
            <w:pPr>
              <w:spacing w:after="50" w:before="50" w:line="252" w:lineRule="auto"/>
            </w:pPr>
            <w:r>
              <w:rPr>
                <w:sz w:val="17"/>
              </w:rPr>
              <w:t>Joint ownership in equal shares; internal academic use free; commercialisation only by consent</w:t>
            </w:r>
          </w:p>
        </w:tc>
      </w:tr>
      <w:tr>
        <w:tc>
          <w:tcPr>
            <w:tcW w:type="dxa" w:w="1796"/>
            <w:shd w:val="clear" w:color="auto" w:fill="EAF1F4"/>
          </w:tcPr>
          <w:p>
            <w:pPr>
              <w:spacing w:after="50" w:before="50" w:line="252" w:lineRule="auto"/>
            </w:pPr>
            <w:r>
              <w:rPr>
                <w:b/>
                <w:sz w:val="17"/>
              </w:rPr>
              <w:t>Fallback</w:t>
            </w:r>
          </w:p>
        </w:tc>
        <w:tc>
          <w:tcPr>
            <w:tcW w:type="dxa" w:w="7671"/>
            <w:shd w:val="clear" w:color="auto" w:fill="EAF1F4"/>
          </w:tcPr>
          <w:p>
            <w:pPr>
              <w:spacing w:after="50" w:before="50" w:line="252" w:lineRule="auto"/>
            </w:pPr>
            <w:r>
              <w:rPr>
                <w:sz w:val="17"/>
              </w:rPr>
              <w:t>Joint ownership in proportion to contribution, with a written record of contribution at the outset</w:t>
            </w:r>
          </w:p>
        </w:tc>
      </w:tr>
      <w:tr>
        <w:tc>
          <w:tcPr>
            <w:tcW w:type="dxa" w:w="1796"/>
          </w:tcPr>
          <w:p>
            <w:pPr>
              <w:spacing w:after="50" w:before="50" w:line="252" w:lineRule="auto"/>
            </w:pPr>
            <w:r>
              <w:rPr>
                <w:b/>
                <w:sz w:val="17"/>
              </w:rPr>
              <w:t>Walk-away</w:t>
            </w:r>
          </w:p>
        </w:tc>
        <w:tc>
          <w:tcPr>
            <w:tcW w:type="dxa" w:w="7671"/>
          </w:tcPr>
          <w:p>
            <w:pPr>
              <w:spacing w:after="50" w:before="50" w:line="252" w:lineRule="auto"/>
            </w:pPr>
            <w:r>
              <w:rPr>
                <w:sz w:val="17"/>
              </w:rPr>
              <w:t>University ownership of anything derived from Equator case data or Equator methodology</w:t>
            </w:r>
          </w:p>
        </w:tc>
      </w:tr>
    </w:tbl>
    <w:p>
      <w:pPr>
        <w:spacing w:after="80" w:before="0"/>
      </w:pPr>
    </w:p>
    <w:p>
      <w:pPr>
        <w:pStyle w:val="Heading2"/>
      </w:pPr>
      <w:r>
        <w:t>2.6 Clause 8.6 and Schedule G — Marks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68"/>
            <w:shd w:val="clear" w:color="auto" w:fill="10375C"/>
          </w:tcPr>
          <w:p>
            <w:pPr>
              <w:spacing w:after="50" w:before="50"/>
            </w:pPr>
          </w:p>
        </w:tc>
        <w:tc>
          <w:tcPr>
            <w:tcW w:type="dxa" w:w="7600"/>
            <w:shd w:val="clear" w:color="auto" w:fill="10375C"/>
          </w:tcPr>
          <w:p>
            <w:pPr>
              <w:spacing w:after="50" w:before="50"/>
            </w:pPr>
            <w:r>
              <w:rPr>
                <w:b/>
                <w:color w:val="FFFFFF"/>
                <w:sz w:val="17"/>
              </w:rPr>
              <w:t>Position</w:t>
            </w:r>
          </w:p>
        </w:tc>
      </w:tr>
      <w:tr>
        <w:tc>
          <w:tcPr>
            <w:tcW w:type="dxa" w:w="1868"/>
          </w:tcPr>
          <w:p>
            <w:pPr>
              <w:spacing w:after="50" w:before="50" w:line="252" w:lineRule="auto"/>
            </w:pPr>
            <w:r>
              <w:rPr>
                <w:b/>
                <w:sz w:val="17"/>
              </w:rPr>
              <w:t>Preferred</w:t>
            </w:r>
          </w:p>
        </w:tc>
        <w:tc>
          <w:tcPr>
            <w:tcW w:type="dxa" w:w="7600"/>
          </w:tcPr>
          <w:p>
            <w:pPr>
              <w:spacing w:after="50" w:before="50" w:line="252" w:lineRule="auto"/>
            </w:pPr>
            <w:r>
              <w:rPr>
                <w:sz w:val="17"/>
              </w:rPr>
              <w:t>Non-exclusive, revocable, approval-based, ceasing 30 days after termination</w:t>
            </w:r>
          </w:p>
        </w:tc>
      </w:tr>
      <w:tr>
        <w:tc>
          <w:tcPr>
            <w:tcW w:type="dxa" w:w="1868"/>
            <w:shd w:val="clear" w:color="auto" w:fill="EAF1F4"/>
          </w:tcPr>
          <w:p>
            <w:pPr>
              <w:spacing w:after="50" w:before="50" w:line="252" w:lineRule="auto"/>
            </w:pPr>
            <w:r>
              <w:rPr>
                <w:b/>
                <w:sz w:val="17"/>
              </w:rPr>
              <w:t>Fallback</w:t>
            </w:r>
          </w:p>
        </w:tc>
        <w:tc>
          <w:tcPr>
            <w:tcW w:type="dxa" w:w="7600"/>
            <w:shd w:val="clear" w:color="auto" w:fill="EAF1F4"/>
          </w:tcPr>
          <w:p>
            <w:pPr>
              <w:spacing w:after="50" w:before="50" w:line="252" w:lineRule="auto"/>
            </w:pPr>
            <w:r>
              <w:rPr>
                <w:sz w:val="17"/>
              </w:rPr>
              <w:t>Extend the post-termination removal period to 60 days for printed material already in circulation</w:t>
            </w:r>
          </w:p>
        </w:tc>
      </w:tr>
      <w:tr>
        <w:tc>
          <w:tcPr>
            <w:tcW w:type="dxa" w:w="1868"/>
          </w:tcPr>
          <w:p>
            <w:pPr>
              <w:spacing w:after="50" w:before="50" w:line="252" w:lineRule="auto"/>
            </w:pPr>
            <w:r>
              <w:rPr>
                <w:b/>
                <w:sz w:val="17"/>
              </w:rPr>
              <w:t>Walk-away</w:t>
            </w:r>
          </w:p>
        </w:tc>
        <w:tc>
          <w:tcPr>
            <w:tcW w:type="dxa" w:w="7600"/>
          </w:tcPr>
          <w:p>
            <w:pPr>
              <w:spacing w:after="50" w:before="50" w:line="252" w:lineRule="auto"/>
            </w:pPr>
            <w:r>
              <w:rPr>
                <w:sz w:val="17"/>
              </w:rPr>
              <w:t>Any perpetual right to use Equator's marks, or listing of Equator as an accrediting or affiliating body</w:t>
            </w:r>
          </w:p>
        </w:tc>
      </w:tr>
      <w:tr>
        <w:tc>
          <w:tcPr>
            <w:tcW w:type="dxa" w:w="1868"/>
            <w:shd w:val="clear" w:color="auto" w:fill="EAF1F4"/>
          </w:tcPr>
          <w:p>
            <w:pPr>
              <w:spacing w:after="50" w:before="50" w:line="252" w:lineRule="auto"/>
            </w:pPr>
            <w:r>
              <w:rPr>
                <w:b/>
                <w:sz w:val="17"/>
              </w:rPr>
              <w:t>Watch for</w:t>
            </w:r>
          </w:p>
        </w:tc>
        <w:tc>
          <w:tcPr>
            <w:tcW w:type="dxa" w:w="7600"/>
            <w:shd w:val="clear" w:color="auto" w:fill="EAF1F4"/>
          </w:tcPr>
          <w:p>
            <w:pPr>
              <w:spacing w:after="50" w:before="50" w:line="252" w:lineRule="auto"/>
            </w:pPr>
            <w:r>
              <w:rPr>
                <w:sz w:val="17"/>
              </w:rPr>
              <w:t>A university seeking to list Equator on its accreditation or affiliation collateral. This is a prohibited representation. Refuse and explain why</w:t>
            </w:r>
          </w:p>
        </w:tc>
      </w:tr>
    </w:tbl>
    <w:p>
      <w:pPr>
        <w:spacing w:after="80" w:before="0"/>
      </w:pPr>
    </w:p>
    <w:p>
      <w:pPr>
        <w:pStyle w:val="Heading2"/>
      </w:pPr>
      <w:r>
        <w:t>2.7 Clause 9 and Schedule H — Fees and revenue share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927"/>
            <w:shd w:val="clear" w:color="auto" w:fill="10375C"/>
          </w:tcPr>
          <w:p>
            <w:pPr>
              <w:spacing w:after="50" w:before="50"/>
            </w:pPr>
          </w:p>
        </w:tc>
        <w:tc>
          <w:tcPr>
            <w:tcW w:type="dxa" w:w="6541"/>
            <w:shd w:val="clear" w:color="auto" w:fill="10375C"/>
          </w:tcPr>
          <w:p>
            <w:pPr>
              <w:spacing w:after="50" w:before="50"/>
            </w:pPr>
            <w:r>
              <w:rPr>
                <w:b/>
                <w:color w:val="FFFFFF"/>
                <w:sz w:val="17"/>
              </w:rPr>
              <w:t>Position</w:t>
            </w:r>
          </w:p>
        </w:tc>
      </w:tr>
      <w:tr>
        <w:tc>
          <w:tcPr>
            <w:tcW w:type="dxa" w:w="2927"/>
          </w:tcPr>
          <w:p>
            <w:pPr>
              <w:spacing w:after="50" w:before="50" w:line="252" w:lineRule="auto"/>
            </w:pPr>
            <w:r>
              <w:rPr>
                <w:b/>
                <w:sz w:val="17"/>
              </w:rPr>
              <w:t>Preferred</w:t>
            </w:r>
          </w:p>
        </w:tc>
        <w:tc>
          <w:tcPr>
            <w:tcW w:type="dxa" w:w="6541"/>
          </w:tcPr>
          <w:p>
            <w:pPr>
              <w:spacing w:after="50" w:before="50" w:line="252" w:lineRule="auto"/>
            </w:pPr>
            <w:r>
              <w:rPr>
                <w:sz w:val="17"/>
              </w:rPr>
              <w:t>Standard split; Institute collects; settlement within 30 days</w:t>
            </w:r>
          </w:p>
        </w:tc>
      </w:tr>
      <w:tr>
        <w:tc>
          <w:tcPr>
            <w:tcW w:type="dxa" w:w="2927"/>
            <w:shd w:val="clear" w:color="auto" w:fill="EAF1F4"/>
          </w:tcPr>
          <w:p>
            <w:pPr>
              <w:spacing w:after="50" w:before="50" w:line="252" w:lineRule="auto"/>
            </w:pPr>
            <w:r>
              <w:rPr>
                <w:b/>
                <w:sz w:val="17"/>
              </w:rPr>
              <w:t>Fallback</w:t>
            </w:r>
          </w:p>
        </w:tc>
        <w:tc>
          <w:tcPr>
            <w:tcW w:type="dxa" w:w="6541"/>
            <w:shd w:val="clear" w:color="auto" w:fill="EAF1F4"/>
          </w:tcPr>
          <w:p>
            <w:pPr>
              <w:spacing w:after="50" w:before="50" w:line="252" w:lineRule="auto"/>
            </w:pPr>
            <w:r>
              <w:rPr>
                <w:sz w:val="17"/>
              </w:rPr>
              <w:t>University collects, provided it settles within 30 days, gives a statement, and grants inspection rights. Adjust the split by up to 5 points to reflect who carries collection cost and risk</w:t>
            </w:r>
          </w:p>
        </w:tc>
      </w:tr>
      <w:tr>
        <w:tc>
          <w:tcPr>
            <w:tcW w:type="dxa" w:w="2927"/>
          </w:tcPr>
          <w:p>
            <w:pPr>
              <w:spacing w:after="50" w:before="50" w:line="252" w:lineRule="auto"/>
            </w:pPr>
            <w:r>
              <w:rPr>
                <w:b/>
                <w:sz w:val="17"/>
              </w:rPr>
              <w:t>Walk-away</w:t>
            </w:r>
          </w:p>
        </w:tc>
        <w:tc>
          <w:tcPr>
            <w:tcW w:type="dxa" w:w="6541"/>
          </w:tcPr>
          <w:p>
            <w:pPr>
              <w:spacing w:after="50" w:before="50" w:line="252" w:lineRule="auto"/>
            </w:pPr>
            <w:r>
              <w:rPr>
                <w:sz w:val="17"/>
              </w:rPr>
              <w:t>A split varying by more than 10 points without Programme Board approval; settlement beyond 45 days; no inspection right; set-off against unrelated claims</w:t>
            </w:r>
          </w:p>
        </w:tc>
      </w:tr>
      <w:tr>
        <w:tc>
          <w:tcPr>
            <w:tcW w:type="dxa" w:w="2927"/>
            <w:shd w:val="clear" w:color="auto" w:fill="EAF1F4"/>
          </w:tcPr>
          <w:p>
            <w:pPr>
              <w:spacing w:after="50" w:before="50" w:line="252" w:lineRule="auto"/>
            </w:pPr>
            <w:r>
              <w:rPr>
                <w:b/>
                <w:sz w:val="17"/>
              </w:rPr>
              <w:t>Argument for Equator collecting</w:t>
            </w:r>
          </w:p>
        </w:tc>
        <w:tc>
          <w:tcPr>
            <w:tcW w:type="dxa" w:w="6541"/>
            <w:shd w:val="clear" w:color="auto" w:fill="EAF1F4"/>
          </w:tcPr>
          <w:p>
            <w:pPr>
              <w:spacing w:after="50" w:before="50" w:line="252" w:lineRule="auto"/>
            </w:pPr>
            <w:r>
              <w:rPr>
                <w:sz w:val="17"/>
              </w:rPr>
              <w:t>We carry the refund policy, the registration system and the data protection obligation. It is cleaner and faster for both</w:t>
            </w:r>
          </w:p>
        </w:tc>
      </w:tr>
    </w:tbl>
    <w:p>
      <w:pPr>
        <w:spacing w:after="80" w:before="0"/>
      </w:pPr>
    </w:p>
    <w:p>
      <w:pPr>
        <w:pStyle w:val="Heading2"/>
      </w:pPr>
      <w:r>
        <w:t>2.8 Clause 14.2 — No qualification represented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48"/>
            <w:shd w:val="clear" w:color="auto" w:fill="10375C"/>
          </w:tcPr>
          <w:p>
            <w:pPr>
              <w:spacing w:after="50" w:before="50"/>
            </w:pPr>
          </w:p>
        </w:tc>
        <w:tc>
          <w:tcPr>
            <w:tcW w:type="dxa" w:w="7620"/>
            <w:shd w:val="clear" w:color="auto" w:fill="10375C"/>
          </w:tcPr>
          <w:p>
            <w:pPr>
              <w:spacing w:after="50" w:before="50"/>
            </w:pPr>
            <w:r>
              <w:rPr>
                <w:b/>
                <w:color w:val="FFFFFF"/>
                <w:sz w:val="17"/>
              </w:rPr>
              <w:t>Position</w:t>
            </w:r>
          </w:p>
        </w:tc>
      </w:tr>
      <w:tr>
        <w:tc>
          <w:tcPr>
            <w:tcW w:type="dxa" w:w="1848"/>
          </w:tcPr>
          <w:p>
            <w:pPr>
              <w:spacing w:after="50" w:before="50" w:line="252" w:lineRule="auto"/>
            </w:pPr>
            <w:r>
              <w:rPr>
                <w:b/>
                <w:sz w:val="17"/>
              </w:rPr>
              <w:t>Preferred</w:t>
            </w:r>
          </w:p>
        </w:tc>
        <w:tc>
          <w:tcPr>
            <w:tcW w:type="dxa" w:w="7620"/>
          </w:tcPr>
          <w:p>
            <w:pPr>
              <w:spacing w:after="50" w:before="50" w:line="252" w:lineRule="auto"/>
            </w:pPr>
            <w:r>
              <w:rPr>
                <w:sz w:val="17"/>
              </w:rPr>
              <w:t>As drafted, in full</w:t>
            </w:r>
          </w:p>
        </w:tc>
      </w:tr>
      <w:tr>
        <w:tc>
          <w:tcPr>
            <w:tcW w:type="dxa" w:w="1848"/>
            <w:shd w:val="clear" w:color="auto" w:fill="EAF1F4"/>
          </w:tcPr>
          <w:p>
            <w:pPr>
              <w:spacing w:after="50" w:before="50" w:line="252" w:lineRule="auto"/>
            </w:pPr>
            <w:r>
              <w:rPr>
                <w:b/>
                <w:sz w:val="17"/>
              </w:rPr>
              <w:t>Fallback</w:t>
            </w:r>
          </w:p>
        </w:tc>
        <w:tc>
          <w:tcPr>
            <w:tcW w:type="dxa" w:w="7620"/>
            <w:shd w:val="clear" w:color="auto" w:fill="EAF1F4"/>
          </w:tcPr>
          <w:p>
            <w:pPr>
              <w:spacing w:after="50" w:before="50" w:line="252" w:lineRule="auto"/>
            </w:pPr>
            <w:r>
              <w:rPr>
                <w:sz w:val="17"/>
              </w:rPr>
              <w:t>None</w:t>
            </w:r>
          </w:p>
        </w:tc>
      </w:tr>
      <w:tr>
        <w:tc>
          <w:tcPr>
            <w:tcW w:type="dxa" w:w="1848"/>
          </w:tcPr>
          <w:p>
            <w:pPr>
              <w:spacing w:after="50" w:before="50" w:line="252" w:lineRule="auto"/>
            </w:pPr>
            <w:r>
              <w:rPr>
                <w:b/>
                <w:sz w:val="17"/>
              </w:rPr>
              <w:t>Walk-away</w:t>
            </w:r>
          </w:p>
        </w:tc>
        <w:tc>
          <w:tcPr>
            <w:tcW w:type="dxa" w:w="7620"/>
          </w:tcPr>
          <w:p>
            <w:pPr>
              <w:spacing w:after="50" w:before="50" w:line="252" w:lineRule="auto"/>
            </w:pPr>
            <w:r>
              <w:rPr>
                <w:b/>
                <w:sz w:val="17"/>
              </w:rPr>
              <w:t>Any dilution.</w:t>
            </w:r>
            <w:r>
              <w:rPr>
                <w:sz w:val="17"/>
              </w:rPr>
              <w:t xml:space="preserve"> This clause is a non-delegable prohibition under 01.5 section 6</w:t>
            </w:r>
          </w:p>
        </w:tc>
      </w:tr>
      <w:tr>
        <w:tc>
          <w:tcPr>
            <w:tcW w:type="dxa" w:w="1848"/>
            <w:shd w:val="clear" w:color="auto" w:fill="EAF1F4"/>
          </w:tcPr>
          <w:p>
            <w:pPr>
              <w:spacing w:after="50" w:before="50" w:line="252" w:lineRule="auto"/>
            </w:pPr>
            <w:r>
              <w:rPr>
                <w:b/>
                <w:sz w:val="17"/>
              </w:rPr>
              <w:t>Argument</w:t>
            </w:r>
          </w:p>
        </w:tc>
        <w:tc>
          <w:tcPr>
            <w:tcW w:type="dxa" w:w="7620"/>
            <w:shd w:val="clear" w:color="auto" w:fill="EAF1F4"/>
          </w:tcPr>
          <w:p>
            <w:pPr>
              <w:spacing w:after="50" w:before="50" w:line="252" w:lineRule="auto"/>
            </w:pPr>
            <w:r>
              <w:rPr>
                <w:sz w:val="17"/>
              </w:rPr>
              <w:t>It protects the University at least as much as Equator. A university that represents a certificate as a recognised qualification exposes itself</w:t>
            </w:r>
          </w:p>
        </w:tc>
      </w:tr>
    </w:tbl>
    <w:p>
      <w:pPr>
        <w:spacing w:after="80" w:before="0"/>
      </w:pPr>
    </w:p>
    <w:p>
      <w:pPr>
        <w:pStyle w:val="Heading2"/>
      </w:pPr>
      <w:r>
        <w:t>2.9 Clause 14.4 — Limitation of liability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68"/>
            <w:shd w:val="clear" w:color="auto" w:fill="10375C"/>
          </w:tcPr>
          <w:p>
            <w:pPr>
              <w:spacing w:after="50" w:before="50"/>
            </w:pPr>
          </w:p>
        </w:tc>
        <w:tc>
          <w:tcPr>
            <w:tcW w:type="dxa" w:w="7600"/>
            <w:shd w:val="clear" w:color="auto" w:fill="10375C"/>
          </w:tcPr>
          <w:p>
            <w:pPr>
              <w:spacing w:after="50" w:before="50"/>
            </w:pPr>
            <w:r>
              <w:rPr>
                <w:b/>
                <w:color w:val="FFFFFF"/>
                <w:sz w:val="17"/>
              </w:rPr>
              <w:t>Position</w:t>
            </w:r>
          </w:p>
        </w:tc>
      </w:tr>
      <w:tr>
        <w:tc>
          <w:tcPr>
            <w:tcW w:type="dxa" w:w="1868"/>
          </w:tcPr>
          <w:p>
            <w:pPr>
              <w:spacing w:after="50" w:before="50" w:line="252" w:lineRule="auto"/>
            </w:pPr>
            <w:r>
              <w:rPr>
                <w:b/>
                <w:sz w:val="17"/>
              </w:rPr>
              <w:t>Preferred</w:t>
            </w:r>
          </w:p>
        </w:tc>
        <w:tc>
          <w:tcPr>
            <w:tcW w:type="dxa" w:w="7600"/>
          </w:tcPr>
          <w:p>
            <w:pPr>
              <w:spacing w:after="50" w:before="50" w:line="252" w:lineRule="auto"/>
            </w:pPr>
            <w:r>
              <w:rPr>
                <w:sz w:val="17"/>
              </w:rPr>
              <w:t>Greater of fees in the preceding 12 months or a stated cap; no indirect loss</w:t>
            </w:r>
          </w:p>
        </w:tc>
      </w:tr>
      <w:tr>
        <w:tc>
          <w:tcPr>
            <w:tcW w:type="dxa" w:w="1868"/>
            <w:shd w:val="clear" w:color="auto" w:fill="EAF1F4"/>
          </w:tcPr>
          <w:p>
            <w:pPr>
              <w:spacing w:after="50" w:before="50" w:line="252" w:lineRule="auto"/>
            </w:pPr>
            <w:r>
              <w:rPr>
                <w:b/>
                <w:sz w:val="17"/>
              </w:rPr>
              <w:t>Fallback</w:t>
            </w:r>
          </w:p>
        </w:tc>
        <w:tc>
          <w:tcPr>
            <w:tcW w:type="dxa" w:w="7600"/>
            <w:shd w:val="clear" w:color="auto" w:fill="EAF1F4"/>
          </w:tcPr>
          <w:p>
            <w:pPr>
              <w:spacing w:after="50" w:before="50" w:line="252" w:lineRule="auto"/>
            </w:pPr>
            <w:r>
              <w:rPr>
                <w:sz w:val="17"/>
              </w:rPr>
              <w:t>Raise the stated cap; accept a mutual cap at a higher figure</w:t>
            </w:r>
          </w:p>
        </w:tc>
      </w:tr>
      <w:tr>
        <w:tc>
          <w:tcPr>
            <w:tcW w:type="dxa" w:w="1868"/>
          </w:tcPr>
          <w:p>
            <w:pPr>
              <w:spacing w:after="50" w:before="50" w:line="252" w:lineRule="auto"/>
            </w:pPr>
            <w:r>
              <w:rPr>
                <w:b/>
                <w:sz w:val="17"/>
              </w:rPr>
              <w:t>Walk-away</w:t>
            </w:r>
          </w:p>
        </w:tc>
        <w:tc>
          <w:tcPr>
            <w:tcW w:type="dxa" w:w="7600"/>
          </w:tcPr>
          <w:p>
            <w:pPr>
              <w:spacing w:after="50" w:before="50" w:line="252" w:lineRule="auto"/>
            </w:pPr>
            <w:r>
              <w:rPr>
                <w:sz w:val="17"/>
              </w:rPr>
              <w:t>Uncapped liability; any indemnity without limit; removal of the carve-out for confidentiality, data, safeguarding and bribery</w:t>
            </w:r>
          </w:p>
        </w:tc>
      </w:tr>
      <w:tr>
        <w:tc>
          <w:tcPr>
            <w:tcW w:type="dxa" w:w="1868"/>
            <w:shd w:val="clear" w:color="auto" w:fill="EAF1F4"/>
          </w:tcPr>
          <w:p>
            <w:pPr>
              <w:spacing w:after="50" w:before="50" w:line="252" w:lineRule="auto"/>
            </w:pPr>
            <w:r>
              <w:rPr>
                <w:b/>
                <w:sz w:val="17"/>
              </w:rPr>
              <w:t>Watch for</w:t>
            </w:r>
          </w:p>
        </w:tc>
        <w:tc>
          <w:tcPr>
            <w:tcW w:type="dxa" w:w="7600"/>
            <w:shd w:val="clear" w:color="auto" w:fill="EAF1F4"/>
          </w:tcPr>
          <w:p>
            <w:pPr>
              <w:spacing w:after="50" w:before="50" w:line="252" w:lineRule="auto"/>
            </w:pPr>
            <w:r>
              <w:rPr>
                <w:sz w:val="17"/>
              </w:rPr>
              <w:t>Public universities occasionally propose uncapped indemnity as standard. Point to the mutuality of the clause and to the modest consideration involved</w:t>
            </w:r>
          </w:p>
        </w:tc>
      </w:tr>
    </w:tbl>
    <w:p>
      <w:pPr>
        <w:spacing w:after="80" w:before="0"/>
      </w:pPr>
    </w:p>
    <w:p>
      <w:pPr>
        <w:pStyle w:val="Heading2"/>
      </w:pPr>
      <w:r>
        <w:t>2.10 Clause 15 — Insurance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07"/>
            <w:shd w:val="clear" w:color="auto" w:fill="10375C"/>
          </w:tcPr>
          <w:p>
            <w:pPr>
              <w:spacing w:after="50" w:before="50"/>
            </w:pPr>
          </w:p>
        </w:tc>
        <w:tc>
          <w:tcPr>
            <w:tcW w:type="dxa" w:w="7661"/>
            <w:shd w:val="clear" w:color="auto" w:fill="10375C"/>
          </w:tcPr>
          <w:p>
            <w:pPr>
              <w:spacing w:after="50" w:before="50"/>
            </w:pPr>
            <w:r>
              <w:rPr>
                <w:b/>
                <w:color w:val="FFFFFF"/>
                <w:sz w:val="17"/>
              </w:rPr>
              <w:t>Position</w:t>
            </w:r>
          </w:p>
        </w:tc>
      </w:tr>
      <w:tr>
        <w:tc>
          <w:tcPr>
            <w:tcW w:type="dxa" w:w="1807"/>
          </w:tcPr>
          <w:p>
            <w:pPr>
              <w:spacing w:after="50" w:before="50" w:line="252" w:lineRule="auto"/>
            </w:pPr>
            <w:r>
              <w:rPr>
                <w:b/>
                <w:sz w:val="17"/>
              </w:rPr>
              <w:t>Preferred</w:t>
            </w:r>
          </w:p>
        </w:tc>
        <w:tc>
          <w:tcPr>
            <w:tcW w:type="dxa" w:w="7661"/>
          </w:tcPr>
          <w:p>
            <w:pPr>
              <w:spacing w:after="50" w:before="50" w:line="252" w:lineRule="auto"/>
            </w:pPr>
            <w:r>
              <w:rPr>
                <w:sz w:val="17"/>
              </w:rPr>
              <w:t>Stated limits, evidence on request</w:t>
            </w:r>
          </w:p>
        </w:tc>
      </w:tr>
      <w:tr>
        <w:tc>
          <w:tcPr>
            <w:tcW w:type="dxa" w:w="1807"/>
            <w:shd w:val="clear" w:color="auto" w:fill="EAF1F4"/>
          </w:tcPr>
          <w:p>
            <w:pPr>
              <w:spacing w:after="50" w:before="50" w:line="252" w:lineRule="auto"/>
            </w:pPr>
            <w:r>
              <w:rPr>
                <w:b/>
                <w:sz w:val="17"/>
              </w:rPr>
              <w:t>Fallback</w:t>
            </w:r>
          </w:p>
        </w:tc>
        <w:tc>
          <w:tcPr>
            <w:tcW w:type="dxa" w:w="7661"/>
            <w:shd w:val="clear" w:color="auto" w:fill="EAF1F4"/>
          </w:tcPr>
          <w:p>
            <w:pPr>
              <w:spacing w:after="50" w:before="50" w:line="252" w:lineRule="auto"/>
            </w:pPr>
            <w:r>
              <w:rPr>
                <w:sz w:val="17"/>
              </w:rPr>
              <w:t>Increase limits for a specific high-attendance event, at the University's cost if the increase is material</w:t>
            </w:r>
          </w:p>
        </w:tc>
      </w:tr>
      <w:tr>
        <w:tc>
          <w:tcPr>
            <w:tcW w:type="dxa" w:w="1807"/>
          </w:tcPr>
          <w:p>
            <w:pPr>
              <w:spacing w:after="50" w:before="50" w:line="252" w:lineRule="auto"/>
            </w:pPr>
            <w:r>
              <w:rPr>
                <w:b/>
                <w:sz w:val="17"/>
              </w:rPr>
              <w:t>Walk-away</w:t>
            </w:r>
          </w:p>
        </w:tc>
        <w:tc>
          <w:tcPr>
            <w:tcW w:type="dxa" w:w="7661"/>
          </w:tcPr>
          <w:p>
            <w:pPr>
              <w:spacing w:after="50" w:before="50" w:line="252" w:lineRule="auto"/>
            </w:pPr>
            <w:r>
              <w:rPr>
                <w:sz w:val="17"/>
              </w:rPr>
              <w:t>A requirement to name the University as an additional insured without checking the policy; any limit not supported by the policy in force</w:t>
            </w:r>
          </w:p>
        </w:tc>
      </w:tr>
      <w:tr>
        <w:tc>
          <w:tcPr>
            <w:tcW w:type="dxa" w:w="1807"/>
            <w:shd w:val="clear" w:color="auto" w:fill="EAF1F4"/>
          </w:tcPr>
          <w:p>
            <w:pPr>
              <w:spacing w:after="50" w:before="50" w:line="252" w:lineRule="auto"/>
            </w:pPr>
            <w:r>
              <w:rPr>
                <w:b/>
                <w:sz w:val="17"/>
              </w:rPr>
              <w:t>Action</w:t>
            </w:r>
          </w:p>
        </w:tc>
        <w:tc>
          <w:tcPr>
            <w:tcW w:type="dxa" w:w="7661"/>
            <w:shd w:val="clear" w:color="auto" w:fill="EAF1F4"/>
          </w:tcPr>
          <w:p>
            <w:pPr>
              <w:spacing w:after="50" w:before="50" w:line="252" w:lineRule="auto"/>
            </w:pPr>
            <w:r>
              <w:rPr>
                <w:sz w:val="17"/>
              </w:rPr>
              <w:t>Never state a limit that has not been verified against the policy</w:t>
            </w:r>
          </w:p>
        </w:tc>
      </w:tr>
    </w:tbl>
    <w:p>
      <w:pPr>
        <w:spacing w:after="80" w:before="0"/>
      </w:pPr>
    </w:p>
    <w:p>
      <w:pPr>
        <w:pStyle w:val="Heading2"/>
      </w:pPr>
      <w:r>
        <w:t>2.11 Clause 18 — Dispute resolution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48"/>
            <w:shd w:val="clear" w:color="auto" w:fill="10375C"/>
          </w:tcPr>
          <w:p>
            <w:pPr>
              <w:spacing w:after="50" w:before="50"/>
            </w:pPr>
          </w:p>
        </w:tc>
        <w:tc>
          <w:tcPr>
            <w:tcW w:type="dxa" w:w="7620"/>
            <w:shd w:val="clear" w:color="auto" w:fill="10375C"/>
          </w:tcPr>
          <w:p>
            <w:pPr>
              <w:spacing w:after="50" w:before="50"/>
            </w:pPr>
            <w:r>
              <w:rPr>
                <w:b/>
                <w:color w:val="FFFFFF"/>
                <w:sz w:val="17"/>
              </w:rPr>
              <w:t>Position</w:t>
            </w:r>
          </w:p>
        </w:tc>
      </w:tr>
      <w:tr>
        <w:tc>
          <w:tcPr>
            <w:tcW w:type="dxa" w:w="1848"/>
          </w:tcPr>
          <w:p>
            <w:pPr>
              <w:spacing w:after="50" w:before="50" w:line="252" w:lineRule="auto"/>
            </w:pPr>
            <w:r>
              <w:rPr>
                <w:b/>
                <w:sz w:val="17"/>
              </w:rPr>
              <w:t>Preferred</w:t>
            </w:r>
          </w:p>
        </w:tc>
        <w:tc>
          <w:tcPr>
            <w:tcW w:type="dxa" w:w="7620"/>
          </w:tcPr>
          <w:p>
            <w:pPr>
              <w:spacing w:after="50" w:before="50" w:line="252" w:lineRule="auto"/>
            </w:pPr>
            <w:r>
              <w:rPr>
                <w:sz w:val="17"/>
              </w:rPr>
              <w:t>Escalation, then mediation, then arbitration; seat at Equator's city</w:t>
            </w:r>
          </w:p>
        </w:tc>
      </w:tr>
      <w:tr>
        <w:tc>
          <w:tcPr>
            <w:tcW w:type="dxa" w:w="1848"/>
            <w:shd w:val="clear" w:color="auto" w:fill="EAF1F4"/>
          </w:tcPr>
          <w:p>
            <w:pPr>
              <w:spacing w:after="50" w:before="50" w:line="252" w:lineRule="auto"/>
            </w:pPr>
            <w:r>
              <w:rPr>
                <w:b/>
                <w:sz w:val="17"/>
              </w:rPr>
              <w:t>Fallback</w:t>
            </w:r>
          </w:p>
        </w:tc>
        <w:tc>
          <w:tcPr>
            <w:tcW w:type="dxa" w:w="7620"/>
            <w:shd w:val="clear" w:color="auto" w:fill="EAF1F4"/>
          </w:tcPr>
          <w:p>
            <w:pPr>
              <w:spacing w:after="50" w:before="50" w:line="252" w:lineRule="auto"/>
            </w:pPr>
            <w:r>
              <w:rPr>
                <w:sz w:val="17"/>
              </w:rPr>
              <w:t>Seat at the University's city; or a neutral third city</w:t>
            </w:r>
          </w:p>
        </w:tc>
      </w:tr>
      <w:tr>
        <w:tc>
          <w:tcPr>
            <w:tcW w:type="dxa" w:w="1848"/>
          </w:tcPr>
          <w:p>
            <w:pPr>
              <w:spacing w:after="50" w:before="50" w:line="252" w:lineRule="auto"/>
            </w:pPr>
            <w:r>
              <w:rPr>
                <w:b/>
                <w:sz w:val="17"/>
              </w:rPr>
              <w:t>Walk-away</w:t>
            </w:r>
          </w:p>
        </w:tc>
        <w:tc>
          <w:tcPr>
            <w:tcW w:type="dxa" w:w="7620"/>
          </w:tcPr>
          <w:p>
            <w:pPr>
              <w:spacing w:after="50" w:before="50" w:line="252" w:lineRule="auto"/>
            </w:pPr>
            <w:r>
              <w:rPr>
                <w:sz w:val="17"/>
              </w:rPr>
              <w:t>Removal of the mediation step; court jurisdiction only, without escalation</w:t>
            </w:r>
          </w:p>
        </w:tc>
      </w:tr>
      <w:tr>
        <w:tc>
          <w:tcPr>
            <w:tcW w:type="dxa" w:w="1848"/>
            <w:shd w:val="clear" w:color="auto" w:fill="EAF1F4"/>
          </w:tcPr>
          <w:p>
            <w:pPr>
              <w:spacing w:after="50" w:before="50" w:line="252" w:lineRule="auto"/>
            </w:pPr>
            <w:r>
              <w:rPr>
                <w:b/>
                <w:sz w:val="17"/>
              </w:rPr>
              <w:t>Argument</w:t>
            </w:r>
          </w:p>
        </w:tc>
        <w:tc>
          <w:tcPr>
            <w:tcW w:type="dxa" w:w="7620"/>
            <w:shd w:val="clear" w:color="auto" w:fill="EAF1F4"/>
          </w:tcPr>
          <w:p>
            <w:pPr>
              <w:spacing w:after="50" w:before="50" w:line="252" w:lineRule="auto"/>
            </w:pPr>
            <w:r>
              <w:rPr>
                <w:i/>
                <w:sz w:val="17"/>
              </w:rPr>
              <w:t>We are both institutions that teach mediation. A dispute resolution clause that went straight to court would be difficult to explain to our students.</w:t>
            </w:r>
            <w:r>
              <w:rPr>
                <w:sz w:val="17"/>
              </w:rPr>
              <w:t xml:space="preserve"> This argument works</w:t>
            </w:r>
          </w:p>
        </w:tc>
      </w:tr>
    </w:tbl>
    <w:p>
      <w:pPr>
        <w:spacing w:after="80" w:before="0"/>
      </w:pPr>
    </w:p>
    <w:p>
      <w:pPr>
        <w:pStyle w:val="Heading2"/>
      </w:pPr>
      <w:r>
        <w:t>2.12 Exclusivity — usually raised outside the drafting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48"/>
            <w:shd w:val="clear" w:color="auto" w:fill="10375C"/>
          </w:tcPr>
          <w:p>
            <w:pPr>
              <w:spacing w:after="50" w:before="50"/>
            </w:pPr>
          </w:p>
        </w:tc>
        <w:tc>
          <w:tcPr>
            <w:tcW w:type="dxa" w:w="7620"/>
            <w:shd w:val="clear" w:color="auto" w:fill="10375C"/>
          </w:tcPr>
          <w:p>
            <w:pPr>
              <w:spacing w:after="50" w:before="50"/>
            </w:pPr>
            <w:r>
              <w:rPr>
                <w:b/>
                <w:color w:val="FFFFFF"/>
                <w:sz w:val="17"/>
              </w:rPr>
              <w:t>Position</w:t>
            </w:r>
          </w:p>
        </w:tc>
      </w:tr>
      <w:tr>
        <w:tc>
          <w:tcPr>
            <w:tcW w:type="dxa" w:w="1848"/>
          </w:tcPr>
          <w:p>
            <w:pPr>
              <w:spacing w:after="50" w:before="50" w:line="252" w:lineRule="auto"/>
            </w:pPr>
            <w:r>
              <w:rPr>
                <w:b/>
                <w:sz w:val="17"/>
              </w:rPr>
              <w:t>Preferred</w:t>
            </w:r>
          </w:p>
        </w:tc>
        <w:tc>
          <w:tcPr>
            <w:tcW w:type="dxa" w:w="7620"/>
          </w:tcPr>
          <w:p>
            <w:pPr>
              <w:spacing w:after="50" w:before="50" w:line="252" w:lineRule="auto"/>
            </w:pPr>
            <w:r>
              <w:rPr>
                <w:sz w:val="17"/>
              </w:rPr>
              <w:t>None</w:t>
            </w:r>
          </w:p>
        </w:tc>
      </w:tr>
      <w:tr>
        <w:tc>
          <w:tcPr>
            <w:tcW w:type="dxa" w:w="1848"/>
            <w:shd w:val="clear" w:color="auto" w:fill="EAF1F4"/>
          </w:tcPr>
          <w:p>
            <w:pPr>
              <w:spacing w:after="50" w:before="50" w:line="252" w:lineRule="auto"/>
            </w:pPr>
            <w:r>
              <w:rPr>
                <w:b/>
                <w:sz w:val="17"/>
              </w:rPr>
              <w:t>Fallback</w:t>
            </w:r>
          </w:p>
        </w:tc>
        <w:tc>
          <w:tcPr>
            <w:tcW w:type="dxa" w:w="7620"/>
            <w:shd w:val="clear" w:color="auto" w:fill="EAF1F4"/>
          </w:tcPr>
          <w:p>
            <w:pPr>
              <w:spacing w:after="50" w:before="50" w:line="252" w:lineRule="auto"/>
            </w:pPr>
            <w:r>
              <w:rPr>
                <w:sz w:val="17"/>
              </w:rPr>
              <w:t>Narrow, time-limited and subject-specific: exclusivity as host of the national competition in a named State for a named period; or a commitment not to establish a co-branded ADR Laboratory with another institution in the same city during the Term</w:t>
            </w:r>
          </w:p>
        </w:tc>
      </w:tr>
      <w:tr>
        <w:tc>
          <w:tcPr>
            <w:tcW w:type="dxa" w:w="1848"/>
          </w:tcPr>
          <w:p>
            <w:pPr>
              <w:spacing w:after="50" w:before="50" w:line="252" w:lineRule="auto"/>
            </w:pPr>
            <w:r>
              <w:rPr>
                <w:b/>
                <w:sz w:val="17"/>
              </w:rPr>
              <w:t>Walk-away</w:t>
            </w:r>
          </w:p>
        </w:tc>
        <w:tc>
          <w:tcPr>
            <w:tcW w:type="dxa" w:w="7620"/>
          </w:tcPr>
          <w:p>
            <w:pPr>
              <w:spacing w:after="50" w:before="50" w:line="252" w:lineRule="auto"/>
            </w:pPr>
            <w:r>
              <w:rPr>
                <w:sz w:val="17"/>
              </w:rPr>
              <w:t>Any general exclusivity; any exclusivity over training delivery in a State; any exclusivity exceeding the Term</w:t>
            </w:r>
          </w:p>
        </w:tc>
      </w:tr>
      <w:tr>
        <w:tc>
          <w:tcPr>
            <w:tcW w:type="dxa" w:w="1848"/>
            <w:shd w:val="clear" w:color="auto" w:fill="EAF1F4"/>
          </w:tcPr>
          <w:p>
            <w:pPr>
              <w:spacing w:after="50" w:before="50" w:line="252" w:lineRule="auto"/>
            </w:pPr>
            <w:r>
              <w:rPr>
                <w:b/>
                <w:sz w:val="17"/>
              </w:rPr>
              <w:t>Approval</w:t>
            </w:r>
          </w:p>
        </w:tc>
        <w:tc>
          <w:tcPr>
            <w:tcW w:type="dxa" w:w="7620"/>
            <w:shd w:val="clear" w:color="auto" w:fill="EAF1F4"/>
          </w:tcPr>
          <w:p>
            <w:pPr>
              <w:spacing w:after="50" w:before="50" w:line="252" w:lineRule="auto"/>
            </w:pPr>
            <w:r>
              <w:rPr>
                <w:sz w:val="17"/>
              </w:rPr>
              <w:t>Programme Board, always</w:t>
            </w:r>
          </w:p>
        </w:tc>
      </w:tr>
    </w:tbl>
    <w:p>
      <w:pPr>
        <w:spacing w:after="80" w:before="0"/>
      </w:pPr>
    </w:p>
    <w:p>
      <w:pPr>
        <w:pStyle w:val="Heading2"/>
      </w:pPr>
      <w:r>
        <w:t>2.13 Stamp duty and costs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18"/>
            <w:shd w:val="clear" w:color="auto" w:fill="10375C"/>
          </w:tcPr>
          <w:p>
            <w:pPr>
              <w:spacing w:after="50" w:before="50"/>
            </w:pPr>
          </w:p>
        </w:tc>
        <w:tc>
          <w:tcPr>
            <w:tcW w:type="dxa" w:w="7750"/>
            <w:shd w:val="clear" w:color="auto" w:fill="10375C"/>
          </w:tcPr>
          <w:p>
            <w:pPr>
              <w:spacing w:after="50" w:before="50"/>
            </w:pPr>
            <w:r>
              <w:rPr>
                <w:b/>
                <w:color w:val="FFFFFF"/>
                <w:sz w:val="17"/>
              </w:rPr>
              <w:t>Position</w:t>
            </w:r>
          </w:p>
        </w:tc>
      </w:tr>
      <w:tr>
        <w:tc>
          <w:tcPr>
            <w:tcW w:type="dxa" w:w="1718"/>
          </w:tcPr>
          <w:p>
            <w:pPr>
              <w:spacing w:after="50" w:before="50" w:line="252" w:lineRule="auto"/>
            </w:pPr>
            <w:r>
              <w:rPr>
                <w:b/>
                <w:sz w:val="17"/>
              </w:rPr>
              <w:t>Preferred</w:t>
            </w:r>
          </w:p>
        </w:tc>
        <w:tc>
          <w:tcPr>
            <w:tcW w:type="dxa" w:w="7750"/>
          </w:tcPr>
          <w:p>
            <w:pPr>
              <w:spacing w:after="50" w:before="50" w:line="252" w:lineRule="auto"/>
            </w:pPr>
            <w:r>
              <w:rPr>
                <w:sz w:val="17"/>
              </w:rPr>
              <w:t>Each bears own costs; stamp duty as agreed</w:t>
            </w:r>
          </w:p>
        </w:tc>
      </w:tr>
      <w:tr>
        <w:tc>
          <w:tcPr>
            <w:tcW w:type="dxa" w:w="1718"/>
            <w:shd w:val="clear" w:color="auto" w:fill="EAF1F4"/>
          </w:tcPr>
          <w:p>
            <w:pPr>
              <w:spacing w:after="50" w:before="50" w:line="252" w:lineRule="auto"/>
            </w:pPr>
            <w:r>
              <w:rPr>
                <w:b/>
                <w:sz w:val="17"/>
              </w:rPr>
              <w:t>Fallback</w:t>
            </w:r>
          </w:p>
        </w:tc>
        <w:tc>
          <w:tcPr>
            <w:tcW w:type="dxa" w:w="7750"/>
            <w:shd w:val="clear" w:color="auto" w:fill="EAF1F4"/>
          </w:tcPr>
          <w:p>
            <w:pPr>
              <w:spacing w:after="50" w:before="50" w:line="252" w:lineRule="auto"/>
            </w:pPr>
            <w:r>
              <w:rPr>
                <w:sz w:val="17"/>
              </w:rPr>
              <w:t>Equator bears stamp duty where modest and where it unlocks execution</w:t>
            </w:r>
          </w:p>
        </w:tc>
      </w:tr>
      <w:tr>
        <w:tc>
          <w:tcPr>
            <w:tcW w:type="dxa" w:w="1718"/>
          </w:tcPr>
          <w:p>
            <w:pPr>
              <w:spacing w:after="50" w:before="50" w:line="252" w:lineRule="auto"/>
            </w:pPr>
            <w:r>
              <w:rPr>
                <w:b/>
                <w:sz w:val="17"/>
              </w:rPr>
              <w:t>Action</w:t>
            </w:r>
          </w:p>
        </w:tc>
        <w:tc>
          <w:tcPr>
            <w:tcW w:type="dxa" w:w="7750"/>
          </w:tcPr>
          <w:p>
            <w:pPr>
              <w:spacing w:after="50" w:before="50" w:line="252" w:lineRule="auto"/>
            </w:pPr>
            <w:r>
              <w:rPr>
                <w:sz w:val="17"/>
              </w:rPr>
              <w:t xml:space="preserve">Confirm the State position before quoting. </w:t>
            </w:r>
            <w:r>
              <w:rPr>
                <w:b/>
                <w:sz w:val="17"/>
              </w:rPr>
              <w:t>[verify]</w:t>
            </w:r>
          </w:p>
        </w:tc>
      </w:tr>
    </w:tbl>
    <w:p>
      <w:pPr>
        <w:spacing w:after="80" w:before="0"/>
      </w:pPr>
    </w:p>
    <w:p>
      <w:pPr>
        <w:spacing w:before="80" w:after="160"/>
        <w:pBdr>
          <w:bottom w:val="single" w:sz="6" w:space="1" w:color="C9D6DE"/>
        </w:pBdr>
      </w:pPr>
    </w:p>
    <w:p>
      <w:pPr>
        <w:pStyle w:val="Heading1"/>
        <w:pBdr>
          <w:bottom w:val="single" w:sz="8" w:space="4" w:color="C9D6DE"/>
        </w:pBdr>
      </w:pPr>
      <w:r>
        <w:t>3. Clause bank — pre-approved alternative wording</w:t>
      </w:r>
    </w:p>
    <w:p>
      <w:pPr>
        <w:pStyle w:val="Heading2"/>
      </w:pPr>
      <w:r>
        <w:t>3.1 Softened minimum activity</w:t>
      </w:r>
    </w:p>
    <w:p>
      <w:r>
        <w:rPr>
          <w:i/>
        </w:rPr>
        <w:t>The Parties shall endeavour to conduct not fewer than [●] Activities in each Academic Year. Where fewer are conducted, the Nodal Officers shall meet within twenty-one days to agree a recovery plan. Where the minimum is not met in two consecutive Academic Years, either Party may terminate on thirty days' written notice without liability.</w:t>
      </w:r>
    </w:p>
    <w:p>
      <w:pPr>
        <w:pStyle w:val="Heading2"/>
      </w:pPr>
      <w:r>
        <w:t>3.2 Mutual non-solicitation, narrowed</w:t>
      </w:r>
    </w:p>
    <w:p>
      <w:r>
        <w:rPr>
          <w:i/>
        </w:rPr>
        <w:t>During the Term and for six months thereafter, neither Party shall directly solicit for employment any employee of the other who has been substantially engaged in an Activity, save through a publicly advertised recruitment process. This clause does not restrict the recruitment of students, interns or alumni of the University by the Institute or by Equator Resolution.</w:t>
      </w:r>
    </w:p>
    <w:p>
      <w:pPr>
        <w:pStyle w:val="Heading2"/>
      </w:pPr>
      <w:r>
        <w:t>3.3 Narrow exclusivity</w:t>
      </w:r>
    </w:p>
    <w:p>
      <w:r>
        <w:rPr>
          <w:i/>
        </w:rPr>
        <w:t>During the Term, the Institute shall not establish a co-branded alternative dispute resolution laboratory or centre with any other higher education institution located within the municipal limits of [●]. This clause confers no other exclusivity, and does not restrict the Institute from delivering training, competitions or any other Activity with any institution.</w:t>
      </w:r>
    </w:p>
    <w:p>
      <w:pPr>
        <w:pStyle w:val="Heading2"/>
      </w:pPr>
      <w:r>
        <w:t>3.4 Publication review, protecting academic freedom</w:t>
      </w:r>
    </w:p>
    <w:p>
      <w:r>
        <w:rPr>
          <w:i/>
        </w:rPr>
        <w:t>The Institute shall be given thirty days to review any manuscript drawing on its data or materials, solely to verify that no confidential or identifying information is disclosed. The Institute shall not have the right to require the alteration or suppression of any finding, conclusion or opinion on the ground that it is unfavourable to the Institute.</w:t>
      </w:r>
    </w:p>
    <w:p>
      <w:pPr>
        <w:pStyle w:val="Heading2"/>
      </w:pPr>
      <w:r>
        <w:t>3.5 Public university variant — governing law and jurisdiction</w:t>
      </w:r>
    </w:p>
    <w:p>
      <w:r>
        <w:rPr>
          <w:i/>
        </w:rPr>
        <w:t>This Memorandum is governed by the laws of India. Subject to clause 18, the courts at [●], being the place at which the University has its principal seat, shall have exclusive jurisdiction.</w:t>
      </w:r>
    </w:p>
    <w:p>
      <w:pPr>
        <w:pStyle w:val="Heading2"/>
      </w:pPr>
      <w:r>
        <w:t>3.6 Fee escalation</w:t>
      </w:r>
    </w:p>
    <w:p>
      <w:r>
        <w:rPr>
          <w:i/>
        </w:rPr>
        <w:t>Fees shall be reviewed annually and may be revised by the Institute on sixty days' written notice, effective from the commencement of the next Academic Year, provided that any revision shall not exceed [●]% in any year and shall not apply to Activities already recorded in an agreed Activity Calendar.</w:t>
      </w:r>
    </w:p>
    <w:p>
      <w:pPr>
        <w:pStyle w:val="Heading2"/>
      </w:pPr>
      <w:r>
        <w:t>3.7 Where the University insists on collecting participant fees</w:t>
      </w:r>
    </w:p>
    <w:p>
      <w:r>
        <w:rPr>
          <w:i/>
        </w:rPr>
        <w:t>The University shall collect participant fees as collecting agent for the Institute in respect of the Institute's share, shall hold that share to the account of the Institute, shall not apply it in set-off against any other claim, and shall remit it within thirty days of completion of the programme together with a statement showing gross collections, refunds, participant numbers and the computation. The Institute may inspect the relevant records on fourteen days' notice, not more than twice in an Academic Year.</w:t>
      </w:r>
    </w:p>
    <w:p>
      <w:pPr>
        <w:pStyle w:val="Heading2"/>
      </w:pPr>
      <w:r>
        <w:t>3.8 Additional insured, where insisted upon</w:t>
      </w:r>
    </w:p>
    <w:p>
      <w:r>
        <w:rPr>
          <w:i/>
        </w:rPr>
        <w:t>Subject to the terms of the policy in force and to the insurer's agreement, the Institute shall use reasonable endeavours to procure that the University is noted as an additional insured in respect of the public liability policy, for Activities conducted on University premises. Nothing in this clause extends the Institute's liability beyond clause 14.4.</w:t>
      </w:r>
    </w:p>
    <w:p>
      <w:pPr>
        <w:pStyle w:val="Heading2"/>
      </w:pPr>
      <w:r>
        <w:t>3.9 Force majeure with rescheduling preference</w:t>
      </w:r>
    </w:p>
    <w:p>
      <w:r>
        <w:rPr>
          <w:i/>
        </w:rPr>
        <w:t>Where an Activity cannot proceed by reason of a force majeure event, the Parties shall reschedule it rather than cancel it, to a date falling within twelve months, and no cancellation charge shall arise. Where rescheduling is not practicable, each Party shall bear its own non-recoverable costs.</w:t>
      </w:r>
    </w:p>
    <w:p>
      <w:pPr>
        <w:pStyle w:val="Heading2"/>
      </w:pPr>
      <w:r>
        <w:t>3.10 Data — where the University insists it is a joint fiduciary</w:t>
      </w:r>
    </w:p>
    <w:p>
      <w:r>
        <w:rPr>
          <w:i/>
        </w:rPr>
        <w:t>In respect of [●], the Parties act as joint Data Fiduciaries. They shall record in writing, before processing commences, their respective responsibilities for the discharge of obligations under the Digital Personal Data Protection Act, 2023 and the Rules made under it, including the giving of notice, the obtaining and recording of consent, the handling of Data Principal requests, and the notification of personal data breaches. Each Party shall remain responsible for the acts and omissions of its own personnel.</w:t>
      </w:r>
    </w:p>
    <w:p>
      <w:pPr>
        <w:spacing w:before="80" w:after="160"/>
        <w:pBdr>
          <w:bottom w:val="single" w:sz="6" w:space="1" w:color="C9D6DE"/>
        </w:pBdr>
      </w:pPr>
    </w:p>
    <w:p>
      <w:pPr>
        <w:pStyle w:val="Heading1"/>
        <w:pBdr>
          <w:bottom w:val="single" w:sz="8" w:space="4" w:color="C9D6DE"/>
        </w:pBdr>
      </w:pPr>
      <w:r>
        <w:t>4. Deviation register</w:t>
      </w:r>
    </w:p>
    <w:p>
      <w:r>
        <w:t>Every departure from the standard form is recorded here and reported to the Programme Board quarterly.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1158"/>
            <w:shd w:val="clear" w:color="auto" w:fill="10375C"/>
          </w:tcPr>
          <w:p>
            <w:pPr>
              <w:spacing w:after="50" w:before="50"/>
            </w:pPr>
            <w:r>
              <w:rPr>
                <w:b/>
                <w:color w:val="FFFFFF"/>
                <w:sz w:val="17"/>
              </w:rPr>
              <w:t>#</w:t>
            </w:r>
          </w:p>
        </w:tc>
        <w:tc>
          <w:tcPr>
            <w:tcW w:type="dxa" w:w="1419"/>
            <w:shd w:val="clear" w:color="auto" w:fill="10375C"/>
          </w:tcPr>
          <w:p>
            <w:pPr>
              <w:spacing w:after="50" w:before="50"/>
            </w:pPr>
            <w:r>
              <w:rPr>
                <w:b/>
                <w:color w:val="FFFFFF"/>
                <w:sz w:val="17"/>
              </w:rPr>
              <w:t>Institution</w:t>
            </w:r>
          </w:p>
        </w:tc>
        <w:tc>
          <w:tcPr>
            <w:tcW w:type="dxa" w:w="1158"/>
            <w:shd w:val="clear" w:color="auto" w:fill="10375C"/>
          </w:tcPr>
          <w:p>
            <w:pPr>
              <w:spacing w:after="50" w:before="50"/>
            </w:pPr>
            <w:r>
              <w:rPr>
                <w:b/>
                <w:color w:val="FFFFFF"/>
                <w:sz w:val="17"/>
              </w:rPr>
              <w:t>Clause</w:t>
            </w:r>
          </w:p>
        </w:tc>
        <w:tc>
          <w:tcPr>
            <w:tcW w:type="dxa" w:w="1998"/>
            <w:shd w:val="clear" w:color="auto" w:fill="10375C"/>
          </w:tcPr>
          <w:p>
            <w:pPr>
              <w:spacing w:after="50" w:before="50"/>
            </w:pPr>
            <w:r>
              <w:rPr>
                <w:b/>
                <w:color w:val="FFFFFF"/>
                <w:sz w:val="17"/>
              </w:rPr>
              <w:t>Deviation agreed</w:t>
            </w:r>
          </w:p>
        </w:tc>
        <w:tc>
          <w:tcPr>
            <w:tcW w:type="dxa" w:w="1158"/>
            <w:shd w:val="clear" w:color="auto" w:fill="10375C"/>
          </w:tcPr>
          <w:p>
            <w:pPr>
              <w:spacing w:after="50" w:before="50"/>
            </w:pPr>
            <w:r>
              <w:rPr>
                <w:b/>
                <w:color w:val="FFFFFF"/>
                <w:sz w:val="17"/>
              </w:rPr>
              <w:t>Reason</w:t>
            </w:r>
          </w:p>
        </w:tc>
        <w:tc>
          <w:tcPr>
            <w:tcW w:type="dxa" w:w="1419"/>
            <w:shd w:val="clear" w:color="auto" w:fill="10375C"/>
          </w:tcPr>
          <w:p>
            <w:pPr>
              <w:spacing w:after="50" w:before="50"/>
            </w:pPr>
            <w:r>
              <w:rPr>
                <w:b/>
                <w:color w:val="FFFFFF"/>
                <w:sz w:val="17"/>
              </w:rPr>
              <w:t>Approved by</w:t>
            </w:r>
          </w:p>
        </w:tc>
        <w:tc>
          <w:tcPr>
            <w:tcW w:type="dxa" w:w="1158"/>
            <w:shd w:val="clear" w:color="auto" w:fill="10375C"/>
          </w:tcPr>
          <w:p>
            <w:pPr>
              <w:spacing w:after="50" w:before="50"/>
            </w:pPr>
            <w:r>
              <w:rPr>
                <w:b/>
                <w:color w:val="FFFFFF"/>
                <w:sz w:val="17"/>
              </w:rPr>
              <w:t>Date</w:t>
            </w:r>
          </w:p>
        </w:tc>
      </w:tr>
      <w:tr>
        <w:tc>
          <w:tcPr>
            <w:tcW w:type="dxa" w:w="1158"/>
          </w:tcPr>
          <w:p>
            <w:pPr>
              <w:spacing w:after="50" w:before="50" w:line="252" w:lineRule="auto"/>
            </w:pPr>
            <w:r>
              <w:rPr>
                <w:sz w:val="17"/>
              </w:rPr>
              <w:t>1</w:t>
            </w:r>
          </w:p>
        </w:tc>
        <w:tc>
          <w:tcPr>
            <w:tcW w:type="dxa" w:w="1419"/>
          </w:tcPr>
          <w:p>
            <w:pPr>
              <w:spacing w:after="50" w:before="50" w:line="252" w:lineRule="auto"/>
            </w:pPr>
            <w:r>
              <w:rPr>
                <w:sz w:val="17"/>
              </w:rPr>
              <w:t>[●]</w:t>
            </w:r>
          </w:p>
        </w:tc>
        <w:tc>
          <w:tcPr>
            <w:tcW w:type="dxa" w:w="1158"/>
          </w:tcPr>
          <w:p>
            <w:pPr>
              <w:spacing w:after="50" w:before="50" w:line="252" w:lineRule="auto"/>
            </w:pPr>
            <w:r>
              <w:rPr>
                <w:sz w:val="17"/>
              </w:rPr>
              <w:t>[●]</w:t>
            </w:r>
          </w:p>
        </w:tc>
        <w:tc>
          <w:tcPr>
            <w:tcW w:type="dxa" w:w="1998"/>
          </w:tcPr>
          <w:p>
            <w:pPr>
              <w:spacing w:after="50" w:before="50" w:line="252" w:lineRule="auto"/>
            </w:pPr>
            <w:r>
              <w:rPr>
                <w:sz w:val="17"/>
              </w:rPr>
              <w:t>[●]</w:t>
            </w:r>
          </w:p>
        </w:tc>
        <w:tc>
          <w:tcPr>
            <w:tcW w:type="dxa" w:w="1158"/>
          </w:tcPr>
          <w:p>
            <w:pPr>
              <w:spacing w:after="50" w:before="50" w:line="252" w:lineRule="auto"/>
            </w:pPr>
            <w:r>
              <w:rPr>
                <w:sz w:val="17"/>
              </w:rPr>
              <w:t>[●]</w:t>
            </w:r>
          </w:p>
        </w:tc>
        <w:tc>
          <w:tcPr>
            <w:tcW w:type="dxa" w:w="1419"/>
          </w:tcPr>
          <w:p>
            <w:pPr>
              <w:spacing w:after="50" w:before="50" w:line="252" w:lineRule="auto"/>
            </w:pPr>
            <w:r>
              <w:rPr>
                <w:sz w:val="17"/>
              </w:rPr>
              <w:t>[●]</w:t>
            </w:r>
          </w:p>
        </w:tc>
        <w:tc>
          <w:tcPr>
            <w:tcW w:type="dxa" w:w="1158"/>
          </w:tcPr>
          <w:p>
            <w:pPr>
              <w:spacing w:after="50" w:before="50" w:line="252" w:lineRule="auto"/>
            </w:pPr>
            <w:r>
              <w:rPr>
                <w:sz w:val="17"/>
              </w:rPr>
              <w:t>[●]</w:t>
            </w:r>
          </w:p>
        </w:tc>
      </w:tr>
      <w:tr>
        <w:tc>
          <w:tcPr>
            <w:tcW w:type="dxa" w:w="1158"/>
            <w:shd w:val="clear" w:color="auto" w:fill="EAF1F4"/>
          </w:tcPr>
          <w:p>
            <w:pPr>
              <w:spacing w:after="50" w:before="50" w:line="252" w:lineRule="auto"/>
            </w:pPr>
            <w:r>
              <w:rPr>
                <w:sz w:val="17"/>
              </w:rPr>
              <w:t>2</w:t>
            </w:r>
          </w:p>
        </w:tc>
        <w:tc>
          <w:tcPr>
            <w:tcW w:type="dxa" w:w="1419"/>
            <w:shd w:val="clear" w:color="auto" w:fill="EAF1F4"/>
          </w:tcPr>
          <w:p>
            <w:pPr>
              <w:spacing w:after="50" w:before="50" w:line="252" w:lineRule="auto"/>
            </w:pPr>
          </w:p>
        </w:tc>
        <w:tc>
          <w:tcPr>
            <w:tcW w:type="dxa" w:w="1158"/>
            <w:shd w:val="clear" w:color="auto" w:fill="EAF1F4"/>
          </w:tcPr>
          <w:p>
            <w:pPr>
              <w:spacing w:after="50" w:before="50" w:line="252" w:lineRule="auto"/>
            </w:pPr>
          </w:p>
        </w:tc>
        <w:tc>
          <w:tcPr>
            <w:tcW w:type="dxa" w:w="1998"/>
            <w:shd w:val="clear" w:color="auto" w:fill="EAF1F4"/>
          </w:tcPr>
          <w:p>
            <w:pPr>
              <w:spacing w:after="50" w:before="50" w:line="252" w:lineRule="auto"/>
            </w:pPr>
          </w:p>
        </w:tc>
        <w:tc>
          <w:tcPr>
            <w:tcW w:type="dxa" w:w="1158"/>
            <w:shd w:val="clear" w:color="auto" w:fill="EAF1F4"/>
          </w:tcPr>
          <w:p>
            <w:pPr>
              <w:spacing w:after="50" w:before="50" w:line="252" w:lineRule="auto"/>
            </w:pPr>
          </w:p>
        </w:tc>
        <w:tc>
          <w:tcPr>
            <w:tcW w:type="dxa" w:w="1419"/>
            <w:shd w:val="clear" w:color="auto" w:fill="EAF1F4"/>
          </w:tcPr>
          <w:p>
            <w:pPr>
              <w:spacing w:after="50" w:before="50" w:line="252" w:lineRule="auto"/>
            </w:pPr>
          </w:p>
        </w:tc>
        <w:tc>
          <w:tcPr>
            <w:tcW w:type="dxa" w:w="1158"/>
            <w:shd w:val="clear" w:color="auto" w:fill="EAF1F4"/>
          </w:tcPr>
          <w:p>
            <w:pPr>
              <w:spacing w:after="50" w:before="50" w:line="252" w:lineRule="auto"/>
            </w:pPr>
          </w:p>
        </w:tc>
      </w:tr>
      <w:tr>
        <w:tc>
          <w:tcPr>
            <w:tcW w:type="dxa" w:w="1158"/>
          </w:tcPr>
          <w:p>
            <w:pPr>
              <w:spacing w:after="50" w:before="50" w:line="252" w:lineRule="auto"/>
            </w:pPr>
            <w:r>
              <w:rPr>
                <w:sz w:val="17"/>
              </w:rPr>
              <w:t>3</w:t>
            </w:r>
          </w:p>
        </w:tc>
        <w:tc>
          <w:tcPr>
            <w:tcW w:type="dxa" w:w="1419"/>
          </w:tcPr>
          <w:p>
            <w:pPr>
              <w:spacing w:after="50" w:before="50" w:line="252" w:lineRule="auto"/>
            </w:pPr>
          </w:p>
        </w:tc>
        <w:tc>
          <w:tcPr>
            <w:tcW w:type="dxa" w:w="1158"/>
          </w:tcPr>
          <w:p>
            <w:pPr>
              <w:spacing w:after="50" w:before="50" w:line="252" w:lineRule="auto"/>
            </w:pPr>
          </w:p>
        </w:tc>
        <w:tc>
          <w:tcPr>
            <w:tcW w:type="dxa" w:w="1998"/>
          </w:tcPr>
          <w:p>
            <w:pPr>
              <w:spacing w:after="50" w:before="50" w:line="252" w:lineRule="auto"/>
            </w:pPr>
          </w:p>
        </w:tc>
        <w:tc>
          <w:tcPr>
            <w:tcW w:type="dxa" w:w="1158"/>
          </w:tcPr>
          <w:p>
            <w:pPr>
              <w:spacing w:after="50" w:before="50" w:line="252" w:lineRule="auto"/>
            </w:pPr>
          </w:p>
        </w:tc>
        <w:tc>
          <w:tcPr>
            <w:tcW w:type="dxa" w:w="1419"/>
          </w:tcPr>
          <w:p>
            <w:pPr>
              <w:spacing w:after="50" w:before="50" w:line="252" w:lineRule="auto"/>
            </w:pPr>
          </w:p>
        </w:tc>
        <w:tc>
          <w:tcPr>
            <w:tcW w:type="dxa" w:w="1158"/>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5. Signals to walk away</w:t>
      </w:r>
    </w:p>
    <w:p>
      <w:r>
        <w:t>Negotiation should stop, and the institution should be declined under L-17, where:</w:t>
      </w:r>
    </w:p>
    <w:p>
      <w:pPr>
        <w:pStyle w:val="ListNumber"/>
      </w:pPr>
      <w:r>
        <w:rPr>
          <w:sz w:val="21"/>
        </w:rPr>
        <w:t>the institution insists on deleting clause 14.2 or on any representation of recognition;</w:t>
      </w:r>
    </w:p>
    <w:p>
      <w:pPr>
        <w:pStyle w:val="ListNumber"/>
      </w:pPr>
      <w:r>
        <w:rPr>
          <w:sz w:val="21"/>
        </w:rPr>
        <w:t>the institution requires uncapped liability or an unlimited indemnity;</w:t>
      </w:r>
    </w:p>
    <w:p>
      <w:pPr>
        <w:pStyle w:val="ListNumber"/>
      </w:pPr>
      <w:r>
        <w:rPr>
          <w:sz w:val="21"/>
        </w:rPr>
        <w:t>the institution requires a right to deliver Equator's curriculum independently;</w:t>
      </w:r>
    </w:p>
    <w:p>
      <w:pPr>
        <w:pStyle w:val="ListNumber"/>
      </w:pPr>
      <w:r>
        <w:rPr>
          <w:sz w:val="21"/>
        </w:rPr>
        <w:t>the institution requires general exclusivity;</w:t>
      </w:r>
    </w:p>
    <w:p>
      <w:pPr>
        <w:pStyle w:val="ListNumber"/>
      </w:pPr>
      <w:r>
        <w:rPr>
          <w:sz w:val="21"/>
        </w:rPr>
        <w:t>the institution requires a placement guarantee in any form;</w:t>
      </w:r>
    </w:p>
    <w:p>
      <w:pPr>
        <w:pStyle w:val="ListNumber"/>
      </w:pPr>
      <w:r>
        <w:rPr>
          <w:sz w:val="21"/>
        </w:rPr>
        <w:t xml:space="preserve">legal review has run beyond </w:t>
      </w:r>
      <w:r>
        <w:rPr>
          <w:b/>
          <w:sz w:val="21"/>
        </w:rPr>
        <w:t>120 days</w:t>
      </w:r>
      <w:r>
        <w:rPr>
          <w:sz w:val="21"/>
        </w:rPr>
        <w:t xml:space="preserve"> with no material progress;</w:t>
      </w:r>
    </w:p>
    <w:p>
      <w:pPr>
        <w:pStyle w:val="ListNumber"/>
      </w:pPr>
      <w:r>
        <w:rPr>
          <w:sz w:val="21"/>
        </w:rPr>
        <w:t>the champion has left and no successor has emerged; or</w:t>
      </w:r>
    </w:p>
    <w:p>
      <w:pPr>
        <w:pStyle w:val="ListNumber"/>
      </w:pPr>
      <w:r>
        <w:rPr>
          <w:sz w:val="21"/>
        </w:rPr>
        <w:t>the terms sought would, if precedent, be unworkable across the estate.</w:t>
      </w:r>
    </w:p>
    <w:p>
      <w:r>
        <w:t>Declining on these grounds is not a failure. A partnership signed on these terms costs more than it earns.</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EQ-UAP-041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MOU Negotiation Playbook &amp; Clause Bank</w:t>
    </w:r>
    <w:r>
      <w:rPr>
        <w:rFonts w:ascii="Calibri" w:hAnsi="Calibri"/>
        <w:color w:val="595959"/>
        <w:sz w:val="16"/>
      </w:rPr>
      <w:tab/>
      <w:t>Confidential — Internal (Strictly). Not for external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A0EF063-E348-42C3-AC30-B8B979268C97}"/>
</file>

<file path=customXml/itemProps3.xml><?xml version="1.0" encoding="utf-8"?>
<ds:datastoreItem xmlns:ds="http://schemas.openxmlformats.org/officeDocument/2006/customXml" ds:itemID="{CABC199E-40CD-486B-AD45-E29B6724BA17}"/>
</file>

<file path=customXml/itemProps4.xml><?xml version="1.0" encoding="utf-8"?>
<ds:datastoreItem xmlns:ds="http://schemas.openxmlformats.org/officeDocument/2006/customXml" ds:itemID="{738E0D8C-B432-4DA7-9882-6A792FA2055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