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Tier 3 Letter Agreement</w:t>
      </w:r>
    </w:p>
    <w:p>
      <w:pPr>
        <w:spacing w:after="280" w:line="276" w:lineRule="auto"/>
      </w:pPr>
      <w:r>
        <w:rPr>
          <w:rFonts w:ascii="Calibri" w:hAnsi="Calibri"/>
          <w:i/>
          <w:color w:val="3E6B8A"/>
          <w:sz w:val="25"/>
        </w:rPr>
        <w:t>A one-page associate partnership. No money either way, no schedules, no negotiation.</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EQ-UAP-112</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Contracting</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Contract template</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Why this exists</w:t>
      </w:r>
    </w:p>
    <w:p>
      <w:r>
        <w:t>The Master MOU runs to eighteen pages. For a Tier 3 partnership generating ₹87,500 of revenue and requiring three person-days a year, eighteen pages of legal review is friction that loses conversions and consumes counsel time on both sides.</w:t>
      </w:r>
    </w:p>
    <w:p>
      <w:r>
        <w:rPr>
          <w:b/>
        </w:rPr>
        <w:t>This letter is the whole agreement for Tier 3.</w:t>
      </w:r>
      <w:r>
        <w:t xml:space="preserve"> It is deliberately one page. It is not negotiated — an institution that wants to amend it is asking for Tier 2, and should be offered the Master MOU instead.</w:t>
      </w:r>
    </w:p>
    <w:p>
      <w:r>
        <w:rPr>
          <w:b/>
        </w:rPr>
        <w:t>Use it for:</w:t>
      </w:r>
      <w:r>
        <w:t xml:space="preserve"> competitions, webinars, guest lectures, social media cooperation and general association, where </w:t>
      </w:r>
      <w:r>
        <w:rPr>
          <w:b/>
        </w:rPr>
        <w:t>no fee passes in either direction</w:t>
      </w:r>
      <w:r>
        <w:t xml:space="preserve"> and no campus facility or student data is committed.</w:t>
      </w:r>
    </w:p>
    <w:p>
      <w:r>
        <w:rPr>
          <w:b/>
        </w:rPr>
        <w:t>Do not use it where:</w:t>
      </w:r>
      <w:r>
        <w:t xml:space="preserve"> any payment arises; any programme is delivered for a fee; any personal data is shared; any facility is committed; academic credit is contemplated; or exclusivity is sought. All of those require the Master MOU.</w:t>
      </w:r>
    </w:p>
    <w:p>
      <w:pPr>
        <w:spacing w:before="80" w:after="160"/>
        <w:pBdr>
          <w:bottom w:val="single" w:sz="6" w:space="1" w:color="C9D6DE"/>
        </w:pBdr>
      </w:pPr>
    </w:p>
    <w:p>
      <w:r>
        <w:br w:type="page"/>
      </w:r>
    </w:p>
    <w:p>
      <w:r>
        <w:rPr>
          <w:i/>
        </w:rPr>
        <w:t>On Equator ADR Institute letterhead</w:t>
      </w:r>
    </w:p>
    <w:p>
      <w:r>
        <w:t>Ref: [●]  ·  Date: [●]</w:t>
      </w:r>
    </w:p>
    <w:p>
      <w:r>
        <w:t>The Registrar</w:t>
      </w:r>
    </w:p>
    <w:p>
      <w:r>
        <w:t>[●]</w:t>
      </w:r>
    </w:p>
    <w:p>
      <w:r>
        <w:t>[●]</w:t>
      </w:r>
    </w:p>
    <w:p>
      <w:r>
        <w:rPr>
          <w:b/>
        </w:rPr>
        <w:t>Subject: Associate Partnership — Equator ADR Institute</w:t>
      </w:r>
    </w:p>
    <w:p>
      <w:r>
        <w:t>Respected Sir / Madam,</w:t>
      </w:r>
    </w:p>
    <w:p>
      <w:r>
        <w:t xml:space="preserve">We are glad to record an Associate Partnership between </w:t>
      </w:r>
      <w:r>
        <w:rPr>
          <w:b/>
        </w:rPr>
        <w:t>[●]</w:t>
      </w:r>
      <w:r>
        <w:t xml:space="preserve"> (</w:t>
      </w:r>
      <w:r>
        <w:rPr>
          <w:b/>
        </w:rPr>
        <w:t>the Institution</w:t>
      </w:r>
      <w:r>
        <w:t xml:space="preserve">) and </w:t>
      </w:r>
      <w:r>
        <w:rPr>
          <w:b/>
        </w:rPr>
        <w:t>Equator ADR Institute</w:t>
      </w:r>
      <w:r>
        <w:t xml:space="preserve"> (</w:t>
      </w:r>
      <w:r>
        <w:rPr>
          <w:b/>
        </w:rPr>
        <w:t>the Institute</w:t>
      </w:r>
      <w:r>
        <w:t>), the academic arm of Equator Resolution, in the field of alternative dispute resolution.</w:t>
      </w:r>
    </w:p>
    <w:p>
      <w:r>
        <w:rPr>
          <w:b/>
        </w:rPr>
        <w:t>1. What we will do.</w:t>
      </w:r>
      <w:r>
        <w:t xml:space="preserve"> The Institute will (a) admit the Institution's students to its national webinar programme at no charge; (b) admit the Institution's teams to Equator competitions on the same terms as any other institution; (c) deliver one guest lecture of up to 90 minutes on the Institution's campus in each academic year, at no charge, on a date agreed between us; (d) make available its Campus Mediation Cell toolkit; and (e) provide up to two curriculum consultation sessions each year.</w:t>
      </w:r>
    </w:p>
    <w:p>
      <w:r>
        <w:rPr>
          <w:b/>
        </w:rPr>
        <w:t>2. What the Institution will do.</w:t>
      </w:r>
      <w:r>
        <w:t xml:space="preserve"> The Institution will (a) name one contact person for this partnership; (b) communicate Equator's programmes and competitions to its students; and (c) provide a room and a date for the guest lecture.</w:t>
      </w:r>
    </w:p>
    <w:p>
      <w:r>
        <w:rPr>
          <w:b/>
        </w:rPr>
        <w:t>3. No payment.</w:t>
      </w:r>
      <w:r>
        <w:t xml:space="preserve"> Neither institution will pay the other anything under this letter. Any paid programme, training, coaching, advisory service or event will be the subject of a separate written agreement, and nothing here obliges either of us to enter into one.</w:t>
      </w:r>
    </w:p>
    <w:p>
      <w:r>
        <w:rPr>
          <w:b/>
        </w:rPr>
        <w:t>4. Names and marks.</w:t>
      </w:r>
      <w:r>
        <w:t xml:space="preserve"> Each of us may state factually that the other is a partner, and may use the other's name and logo for that purpose, in the form supplied and without alteration. Any other use needs written approval. Neither of us will suggest that the Institute accredits, affiliates or approves the Institution, or that any Equator certificate is a degree, diploma or statutory qualification, or that any student is assured of employment or a placement.</w:t>
      </w:r>
    </w:p>
    <w:p>
      <w:r>
        <w:rPr>
          <w:b/>
        </w:rPr>
        <w:t>5. Personal data.</w:t>
      </w:r>
      <w:r>
        <w:t xml:space="preserve"> Neither of us will transfer personal data to the other under this letter. Students who register for a webinar, a competition or any Equator programme do so directly with the Institute, under its own notice and consent, and the Institute is responsible for that data.</w:t>
      </w:r>
    </w:p>
    <w:p>
      <w:r>
        <w:rPr>
          <w:b/>
        </w:rPr>
        <w:t>6. Confidentiality.</w:t>
      </w:r>
      <w:r>
        <w:t xml:space="preserve"> Each of us will keep confidential any non-public information the other shares, and will not use it for any other purpose. This obligation continues for three years after this letter ends. Anything relating to a live mediation is additionally protected by the Mediation Act, 2023 and that obligation is permanent.</w:t>
      </w:r>
    </w:p>
    <w:p>
      <w:r>
        <w:rPr>
          <w:b/>
        </w:rPr>
        <w:t>7. Nothing binding, with three exceptions.</w:t>
      </w:r>
      <w:r>
        <w:t xml:space="preserve"> This letter records a co-operative understanding and is not intended to create legally enforceable obligations, </w:t>
      </w:r>
      <w:r>
        <w:rPr>
          <w:b/>
        </w:rPr>
        <w:t>save for paragraphs 4, 5 and 6</w:t>
      </w:r>
      <w:r>
        <w:t>, which are binding on both of us.</w:t>
      </w:r>
    </w:p>
    <w:p>
      <w:r>
        <w:rPr>
          <w:b/>
        </w:rPr>
        <w:t>8. How it ends.</w:t>
      </w:r>
      <w:r>
        <w:t xml:space="preserve"> This letter runs for </w:t>
      </w:r>
      <w:r>
        <w:rPr>
          <w:b/>
        </w:rPr>
        <w:t>two years</w:t>
      </w:r>
      <w:r>
        <w:t xml:space="preserve"> from the date above. Either of us may end it at any time by written notice, without giving a reason and without liability. When it ends, each of us will stop using the other's name and marks and will remove them from our websites and materials within thirty days. Anything already arranged — a competition entry accepted, a lecture booked, a certificate issued — stands.</w:t>
      </w:r>
    </w:p>
    <w:p>
      <w:r>
        <w:rPr>
          <w:b/>
        </w:rPr>
        <w:t>9. Not exclusive.</w:t>
      </w:r>
      <w:r>
        <w:t xml:space="preserve"> Neither of us is restricted from working with anyone else.</w:t>
      </w:r>
    </w:p>
    <w:p>
      <w:r>
        <w:rPr>
          <w:b/>
        </w:rPr>
        <w:t>10. Law.</w:t>
      </w:r>
      <w:r>
        <w:t xml:space="preserve"> This letter is governed by the laws of India, and the courts at [●] have jurisdiction over paragraphs 4, 5 and 6.</w:t>
      </w:r>
    </w:p>
    <w:p>
      <w:r>
        <w:t>If this reflects the Institution's understanding, we should be grateful if you would sign and return the enclosed copy. We look forward to working with you.</w:t>
      </w:r>
    </w:p>
    <w:p>
      <w:r>
        <w:t>With respect,</w:t>
      </w:r>
    </w:p>
    <w:p>
      <w:r>
        <w:t>_______________________</w:t>
      </w:r>
    </w:p>
    <w:p>
      <w:r>
        <w:rPr>
          <w:b/>
        </w:rPr>
        <w:t>[●]</w:t>
      </w:r>
    </w:p>
    <w:p>
      <w:r>
        <w:t>Programme Director — Academic Partnerships</w:t>
      </w:r>
    </w:p>
    <w:p>
      <w:r>
        <w:t>Equator ADR Institute</w:t>
      </w:r>
    </w:p>
    <w:p>
      <w:r>
        <w:t>[●] · [●]</w:t>
      </w:r>
    </w:p>
    <w:p>
      <w:pPr>
        <w:spacing w:before="80" w:after="160"/>
        <w:pBdr>
          <w:bottom w:val="single" w:sz="6" w:space="1" w:color="C9D6DE"/>
        </w:pBdr>
      </w:pPr>
    </w:p>
    <w:p>
      <w:r>
        <w:rPr>
          <w:b/>
        </w:rPr>
        <w:t>Accepted for and on behalf of [●]</w:t>
      </w:r>
    </w:p>
    <w:p>
      <w:r>
        <w:t>Signature: _______________________  Name: [●]  Designation: [●]  Date: [●]  Seal:</w:t>
      </w:r>
    </w:p>
    <w:p>
      <w:r>
        <w:rPr>
          <w:b/>
        </w:rPr>
        <w:t>Contact person nominated by the Institution:</w:t>
      </w:r>
      <w:r>
        <w:t xml:space="preserve"> Name [●] · Designation [●] · Email [●] · Telephone [●]</w:t>
      </w:r>
    </w:p>
    <w:p>
      <w:r>
        <w:rPr>
          <w:b/>
        </w:rPr>
        <w:t>Contact person nominated by the Institute:</w:t>
      </w:r>
      <w:r>
        <w:t xml:space="preserve"> [●]</w:t>
      </w:r>
    </w:p>
    <w:p>
      <w:pPr>
        <w:spacing w:before="80" w:after="160"/>
        <w:pBdr>
          <w:bottom w:val="single" w:sz="6" w:space="1" w:color="C9D6DE"/>
        </w:pBdr>
      </w:pPr>
    </w:p>
    <w:p>
      <w:r>
        <w:br w:type="page"/>
      </w:r>
    </w:p>
    <w:p>
      <w:pPr>
        <w:pStyle w:val="Heading1"/>
        <w:pBdr>
          <w:bottom w:val="single" w:sz="8" w:space="4" w:color="C9D6DE"/>
        </w:pBdr>
      </w:pPr>
      <w:r>
        <w:t>Notes for internal use — remove before issue</w:t>
      </w:r>
    </w:p>
    <w:p>
      <w:pPr>
        <w:pStyle w:val="Heading2"/>
      </w:pPr>
      <w:r>
        <w:t>Issue checklist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61"/>
            <w:shd w:val="clear" w:color="auto" w:fill="10375C"/>
          </w:tcPr>
          <w:p>
            <w:pPr>
              <w:spacing w:after="50" w:before="50"/>
            </w:pPr>
            <w:r>
              <w:rPr>
                <w:b/>
                <w:color w:val="FFFFFF"/>
                <w:sz w:val="17"/>
              </w:rPr>
              <w:t>☐</w:t>
            </w:r>
          </w:p>
        </w:tc>
        <w:tc>
          <w:tcPr>
            <w:tcW w:type="dxa" w:w="8607"/>
            <w:shd w:val="clear" w:color="auto" w:fill="10375C"/>
          </w:tcPr>
          <w:p>
            <w:pPr>
              <w:spacing w:after="50" w:before="50"/>
            </w:pPr>
            <w:r>
              <w:rPr>
                <w:b/>
                <w:color w:val="FFFFFF"/>
                <w:sz w:val="17"/>
              </w:rPr>
              <w:t>Item</w:t>
            </w:r>
          </w:p>
        </w:tc>
      </w:tr>
      <w:tr>
        <w:tc>
          <w:tcPr>
            <w:tcW w:type="dxa" w:w="861"/>
          </w:tcPr>
          <w:p>
            <w:pPr>
              <w:spacing w:after="50" w:before="50" w:line="252" w:lineRule="auto"/>
            </w:pPr>
            <w:r>
              <w:rPr>
                <w:sz w:val="17"/>
              </w:rPr>
              <w:t>☐</w:t>
            </w:r>
          </w:p>
        </w:tc>
        <w:tc>
          <w:tcPr>
            <w:tcW w:type="dxa" w:w="8607"/>
          </w:tcPr>
          <w:p>
            <w:pPr>
              <w:spacing w:after="50" w:before="50" w:line="252" w:lineRule="auto"/>
            </w:pPr>
            <w:r>
              <w:rPr>
                <w:sz w:val="17"/>
              </w:rPr>
              <w:t>Institution scored on P-01 and confirmed at Tier 3</w:t>
            </w:r>
          </w:p>
        </w:tc>
      </w:tr>
      <w:tr>
        <w:tc>
          <w:tcPr>
            <w:tcW w:type="dxa" w:w="861"/>
            <w:shd w:val="clear" w:color="auto" w:fill="EAF1F4"/>
          </w:tcPr>
          <w:p>
            <w:pPr>
              <w:spacing w:after="50" w:before="50" w:line="252" w:lineRule="auto"/>
            </w:pPr>
            <w:r>
              <w:rPr>
                <w:sz w:val="17"/>
              </w:rPr>
              <w:t>☐</w:t>
            </w:r>
          </w:p>
        </w:tc>
        <w:tc>
          <w:tcPr>
            <w:tcW w:type="dxa" w:w="8607"/>
            <w:shd w:val="clear" w:color="auto" w:fill="EAF1F4"/>
          </w:tcPr>
          <w:p>
            <w:pPr>
              <w:spacing w:after="50" w:before="50" w:line="252" w:lineRule="auto"/>
            </w:pPr>
            <w:r>
              <w:rPr>
                <w:sz w:val="17"/>
              </w:rPr>
              <w:t>No fee arises in either direction — if one does, use the Master MOU</w:t>
            </w:r>
          </w:p>
        </w:tc>
      </w:tr>
      <w:tr>
        <w:tc>
          <w:tcPr>
            <w:tcW w:type="dxa" w:w="861"/>
          </w:tcPr>
          <w:p>
            <w:pPr>
              <w:spacing w:after="50" w:before="50" w:line="252" w:lineRule="auto"/>
            </w:pPr>
            <w:r>
              <w:rPr>
                <w:sz w:val="17"/>
              </w:rPr>
              <w:t>☐</w:t>
            </w:r>
          </w:p>
        </w:tc>
        <w:tc>
          <w:tcPr>
            <w:tcW w:type="dxa" w:w="8607"/>
          </w:tcPr>
          <w:p>
            <w:pPr>
              <w:spacing w:after="50" w:before="50" w:line="252" w:lineRule="auto"/>
            </w:pPr>
            <w:r>
              <w:rPr>
                <w:sz w:val="17"/>
              </w:rPr>
              <w:t>No personal data will be shared — if it will, use the Master MOU and the Data Addendum</w:t>
            </w:r>
          </w:p>
        </w:tc>
      </w:tr>
      <w:tr>
        <w:tc>
          <w:tcPr>
            <w:tcW w:type="dxa" w:w="861"/>
            <w:shd w:val="clear" w:color="auto" w:fill="EAF1F4"/>
          </w:tcPr>
          <w:p>
            <w:pPr>
              <w:spacing w:after="50" w:before="50" w:line="252" w:lineRule="auto"/>
            </w:pPr>
            <w:r>
              <w:rPr>
                <w:sz w:val="17"/>
              </w:rPr>
              <w:t>☐</w:t>
            </w:r>
          </w:p>
        </w:tc>
        <w:tc>
          <w:tcPr>
            <w:tcW w:type="dxa" w:w="8607"/>
            <w:shd w:val="clear" w:color="auto" w:fill="EAF1F4"/>
          </w:tcPr>
          <w:p>
            <w:pPr>
              <w:spacing w:after="50" w:before="50" w:line="252" w:lineRule="auto"/>
            </w:pPr>
            <w:r>
              <w:rPr>
                <w:sz w:val="17"/>
              </w:rPr>
              <w:t>No campus facility committed beyond a room for the guest lecture</w:t>
            </w:r>
          </w:p>
        </w:tc>
      </w:tr>
      <w:tr>
        <w:tc>
          <w:tcPr>
            <w:tcW w:type="dxa" w:w="861"/>
          </w:tcPr>
          <w:p>
            <w:pPr>
              <w:spacing w:after="50" w:before="50" w:line="252" w:lineRule="auto"/>
            </w:pPr>
            <w:r>
              <w:rPr>
                <w:sz w:val="17"/>
              </w:rPr>
              <w:t>☐</w:t>
            </w:r>
          </w:p>
        </w:tc>
        <w:tc>
          <w:tcPr>
            <w:tcW w:type="dxa" w:w="8607"/>
          </w:tcPr>
          <w:p>
            <w:pPr>
              <w:spacing w:after="50" w:before="50" w:line="252" w:lineRule="auto"/>
            </w:pPr>
            <w:r>
              <w:rPr>
                <w:sz w:val="17"/>
              </w:rPr>
              <w:t>No exclusivity sought or offered</w:t>
            </w:r>
          </w:p>
        </w:tc>
      </w:tr>
      <w:tr>
        <w:tc>
          <w:tcPr>
            <w:tcW w:type="dxa" w:w="861"/>
            <w:shd w:val="clear" w:color="auto" w:fill="EAF1F4"/>
          </w:tcPr>
          <w:p>
            <w:pPr>
              <w:spacing w:after="50" w:before="50" w:line="252" w:lineRule="auto"/>
            </w:pPr>
            <w:r>
              <w:rPr>
                <w:sz w:val="17"/>
              </w:rPr>
              <w:t>☐</w:t>
            </w:r>
          </w:p>
        </w:tc>
        <w:tc>
          <w:tcPr>
            <w:tcW w:type="dxa" w:w="8607"/>
            <w:shd w:val="clear" w:color="auto" w:fill="EAF1F4"/>
          </w:tcPr>
          <w:p>
            <w:pPr>
              <w:spacing w:after="50" w:before="50" w:line="252" w:lineRule="auto"/>
            </w:pPr>
            <w:r>
              <w:rPr>
                <w:sz w:val="17"/>
              </w:rPr>
              <w:t>Signed by the Programme Director under 01.5</w:t>
            </w:r>
          </w:p>
        </w:tc>
      </w:tr>
      <w:tr>
        <w:tc>
          <w:tcPr>
            <w:tcW w:type="dxa" w:w="861"/>
          </w:tcPr>
          <w:p>
            <w:pPr>
              <w:spacing w:after="50" w:before="50" w:line="252" w:lineRule="auto"/>
            </w:pPr>
            <w:r>
              <w:rPr>
                <w:sz w:val="17"/>
              </w:rPr>
              <w:t>☐</w:t>
            </w:r>
          </w:p>
        </w:tc>
        <w:tc>
          <w:tcPr>
            <w:tcW w:type="dxa" w:w="8607"/>
          </w:tcPr>
          <w:p>
            <w:pPr>
              <w:spacing w:after="50" w:before="50" w:line="252" w:lineRule="auto"/>
            </w:pPr>
            <w:r>
              <w:rPr>
                <w:sz w:val="17"/>
              </w:rPr>
              <w:t>Contact persons named on both sides</w:t>
            </w:r>
          </w:p>
        </w:tc>
      </w:tr>
      <w:tr>
        <w:tc>
          <w:tcPr>
            <w:tcW w:type="dxa" w:w="861"/>
            <w:shd w:val="clear" w:color="auto" w:fill="EAF1F4"/>
          </w:tcPr>
          <w:p>
            <w:pPr>
              <w:spacing w:after="50" w:before="50" w:line="252" w:lineRule="auto"/>
            </w:pPr>
            <w:r>
              <w:rPr>
                <w:sz w:val="17"/>
              </w:rPr>
              <w:t>☐</w:t>
            </w:r>
          </w:p>
        </w:tc>
        <w:tc>
          <w:tcPr>
            <w:tcW w:type="dxa" w:w="8607"/>
            <w:shd w:val="clear" w:color="auto" w:fill="EAF1F4"/>
          </w:tcPr>
          <w:p>
            <w:pPr>
              <w:spacing w:after="50" w:before="50" w:line="252" w:lineRule="auto"/>
            </w:pPr>
            <w:r>
              <w:rPr>
                <w:sz w:val="17"/>
              </w:rPr>
              <w:t>Two-year expiry diarised</w:t>
            </w:r>
          </w:p>
        </w:tc>
      </w:tr>
      <w:tr>
        <w:tc>
          <w:tcPr>
            <w:tcW w:type="dxa" w:w="861"/>
          </w:tcPr>
          <w:p>
            <w:pPr>
              <w:spacing w:after="50" w:before="50" w:line="252" w:lineRule="auto"/>
            </w:pPr>
            <w:r>
              <w:rPr>
                <w:sz w:val="17"/>
              </w:rPr>
              <w:t>☐</w:t>
            </w:r>
          </w:p>
        </w:tc>
        <w:tc>
          <w:tcPr>
            <w:tcW w:type="dxa" w:w="8607"/>
          </w:tcPr>
          <w:p>
            <w:pPr>
              <w:spacing w:after="50" w:before="50" w:line="252" w:lineRule="auto"/>
            </w:pPr>
            <w:r>
              <w:rPr>
                <w:sz w:val="17"/>
              </w:rPr>
              <w:t>CRM record created; status Active — Tier 3</w:t>
            </w:r>
          </w:p>
        </w:tc>
      </w:tr>
      <w:tr>
        <w:tc>
          <w:tcPr>
            <w:tcW w:type="dxa" w:w="861"/>
            <w:shd w:val="clear" w:color="auto" w:fill="EAF1F4"/>
          </w:tcPr>
          <w:p>
            <w:pPr>
              <w:spacing w:after="50" w:before="50" w:line="252" w:lineRule="auto"/>
            </w:pPr>
            <w:r>
              <w:rPr>
                <w:sz w:val="17"/>
              </w:rPr>
              <w:t>☐</w:t>
            </w:r>
          </w:p>
        </w:tc>
        <w:tc>
          <w:tcPr>
            <w:tcW w:type="dxa" w:w="8607"/>
            <w:shd w:val="clear" w:color="auto" w:fill="EAF1F4"/>
          </w:tcPr>
          <w:p>
            <w:pPr>
              <w:spacing w:after="50" w:before="50" w:line="252" w:lineRule="auto"/>
            </w:pPr>
            <w:r>
              <w:rPr>
                <w:b/>
                <w:sz w:val="17"/>
              </w:rPr>
              <w:t>Membership offer diarised for month 4</w:t>
            </w:r>
            <w:r>
              <w:rPr>
                <w:sz w:val="17"/>
              </w:rPr>
              <w:t xml:space="preserve"> (04.8)</w:t>
            </w:r>
          </w:p>
        </w:tc>
      </w:tr>
    </w:tbl>
    <w:p>
      <w:pPr>
        <w:spacing w:after="80" w:before="0"/>
      </w:pPr>
    </w:p>
    <w:p>
      <w:pPr>
        <w:pStyle w:val="Heading2"/>
      </w:pPr>
      <w:r>
        <w:t>If the institution wants to amend it</w:t>
      </w:r>
    </w:p>
    <w:p>
      <w:r>
        <w:t>They are asking for Tier 2. Reply:</w:t>
      </w:r>
    </w:p>
    <w:p>
      <w:pPr>
        <w:spacing w:before="140" w:after="140"/>
        <w:ind w:left="198" w:right="113"/>
        <w:shd w:val="clear" w:color="auto" w:fill="EAF1F4"/>
        <w:pBdr>
          <w:left w:val="single" w:sz="18" w:space="6" w:color="0E7C7B"/>
        </w:pBdr>
      </w:pPr>
      <w:r>
        <w:rPr>
          <w:i/>
          <w:sz w:val="19"/>
        </w:rPr>
        <w:t>We keep the associate letter deliberately short and we do not vary it, because it carries no financial commitment on either side and we would rather not spend your counsel's time on it. If there are terms you would want addressed, that usually means a fuller collaboration is the right structure, and we would be glad to send our standard Memorandum of Understanding instead.</w:t>
      </w:r>
    </w:p>
    <w:p>
      <w:r>
        <w:rPr>
          <w:b/>
        </w:rPr>
        <w:t>Exception.</w:t>
      </w:r>
      <w:r>
        <w:t xml:space="preserve"> Where a public institution's own rules require specific wording — a governing law provision, an audit clause, an anti-corruption clause — the Programme Director may accept it with General Counsel's confirmation, and it is recorded on P-20.</w:t>
      </w:r>
    </w:p>
    <w:p>
      <w:pPr>
        <w:pStyle w:val="Heading2"/>
      </w:pPr>
      <w:r>
        <w:t>The upgrade path</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5028"/>
            <w:shd w:val="clear" w:color="auto" w:fill="10375C"/>
          </w:tcPr>
          <w:p>
            <w:pPr>
              <w:spacing w:after="50" w:before="50"/>
            </w:pPr>
            <w:r>
              <w:rPr>
                <w:b/>
                <w:color w:val="FFFFFF"/>
                <w:sz w:val="17"/>
              </w:rPr>
              <w:t>Trigger</w:t>
            </w:r>
          </w:p>
        </w:tc>
        <w:tc>
          <w:tcPr>
            <w:tcW w:type="dxa" w:w="4440"/>
            <w:shd w:val="clear" w:color="auto" w:fill="10375C"/>
          </w:tcPr>
          <w:p>
            <w:pPr>
              <w:spacing w:after="50" w:before="50"/>
            </w:pPr>
            <w:r>
              <w:rPr>
                <w:b/>
                <w:color w:val="FFFFFF"/>
                <w:sz w:val="17"/>
              </w:rPr>
              <w:t>Action</w:t>
            </w:r>
          </w:p>
        </w:tc>
      </w:tr>
      <w:tr>
        <w:tc>
          <w:tcPr>
            <w:tcW w:type="dxa" w:w="5028"/>
          </w:tcPr>
          <w:p>
            <w:pPr>
              <w:spacing w:after="50" w:before="50" w:line="252" w:lineRule="auto"/>
            </w:pPr>
            <w:r>
              <w:rPr>
                <w:sz w:val="17"/>
              </w:rPr>
              <w:t>Institution buys any paid programme</w:t>
            </w:r>
          </w:p>
        </w:tc>
        <w:tc>
          <w:tcPr>
            <w:tcW w:type="dxa" w:w="4440"/>
          </w:tcPr>
          <w:p>
            <w:pPr>
              <w:spacing w:after="50" w:before="50" w:line="252" w:lineRule="auto"/>
            </w:pPr>
            <w:r>
              <w:rPr>
                <w:sz w:val="17"/>
              </w:rPr>
              <w:t>Offer membership (04.8) at the point of the second purchase</w:t>
            </w:r>
          </w:p>
        </w:tc>
      </w:tr>
      <w:tr>
        <w:tc>
          <w:tcPr>
            <w:tcW w:type="dxa" w:w="5028"/>
            <w:shd w:val="clear" w:color="auto" w:fill="EAF1F4"/>
          </w:tcPr>
          <w:p>
            <w:pPr>
              <w:spacing w:after="50" w:before="50" w:line="252" w:lineRule="auto"/>
            </w:pPr>
            <w:r>
              <w:rPr>
                <w:sz w:val="17"/>
              </w:rPr>
              <w:t>Institution enters two or more competitions in a year</w:t>
            </w:r>
          </w:p>
        </w:tc>
        <w:tc>
          <w:tcPr>
            <w:tcW w:type="dxa" w:w="4440"/>
            <w:shd w:val="clear" w:color="auto" w:fill="EAF1F4"/>
          </w:tcPr>
          <w:p>
            <w:pPr>
              <w:spacing w:after="50" w:before="50" w:line="252" w:lineRule="auto"/>
            </w:pPr>
            <w:r>
              <w:rPr>
                <w:sz w:val="17"/>
              </w:rPr>
              <w:t>Offer membership</w:t>
            </w:r>
          </w:p>
        </w:tc>
      </w:tr>
      <w:tr>
        <w:tc>
          <w:tcPr>
            <w:tcW w:type="dxa" w:w="5028"/>
          </w:tcPr>
          <w:p>
            <w:pPr>
              <w:spacing w:after="50" w:before="50" w:line="252" w:lineRule="auto"/>
            </w:pPr>
            <w:r>
              <w:rPr>
                <w:sz w:val="17"/>
              </w:rPr>
              <w:t>A champion emerges</w:t>
            </w:r>
          </w:p>
        </w:tc>
        <w:tc>
          <w:tcPr>
            <w:tcW w:type="dxa" w:w="4440"/>
          </w:tcPr>
          <w:p>
            <w:pPr>
              <w:spacing w:after="50" w:before="50" w:line="252" w:lineRule="auto"/>
            </w:pPr>
            <w:r>
              <w:rPr>
                <w:sz w:val="17"/>
              </w:rPr>
              <w:t>Re-score on P-01; if Tier 2, offer the Master MOU</w:t>
            </w:r>
          </w:p>
        </w:tc>
      </w:tr>
      <w:tr>
        <w:tc>
          <w:tcPr>
            <w:tcW w:type="dxa" w:w="5028"/>
            <w:shd w:val="clear" w:color="auto" w:fill="EAF1F4"/>
          </w:tcPr>
          <w:p>
            <w:pPr>
              <w:spacing w:after="50" w:before="50" w:line="252" w:lineRule="auto"/>
            </w:pPr>
            <w:r>
              <w:rPr>
                <w:sz w:val="17"/>
              </w:rPr>
              <w:t>Institution requests academic credit, an MOU for internships, or a facility</w:t>
            </w:r>
          </w:p>
        </w:tc>
        <w:tc>
          <w:tcPr>
            <w:tcW w:type="dxa" w:w="4440"/>
            <w:shd w:val="clear" w:color="auto" w:fill="EAF1F4"/>
          </w:tcPr>
          <w:p>
            <w:pPr>
              <w:spacing w:after="50" w:before="50" w:line="252" w:lineRule="auto"/>
            </w:pPr>
            <w:r>
              <w:rPr>
                <w:sz w:val="17"/>
              </w:rPr>
              <w:t>Master MOU with the relevant schedules</w:t>
            </w:r>
          </w:p>
        </w:tc>
      </w:tr>
      <w:tr>
        <w:tc>
          <w:tcPr>
            <w:tcW w:type="dxa" w:w="5028"/>
          </w:tcPr>
          <w:p>
            <w:pPr>
              <w:spacing w:after="50" w:before="50" w:line="252" w:lineRule="auto"/>
            </w:pPr>
            <w:r>
              <w:rPr>
                <w:sz w:val="17"/>
              </w:rPr>
              <w:t>Two years elapse with no activity</w:t>
            </w:r>
          </w:p>
        </w:tc>
        <w:tc>
          <w:tcPr>
            <w:tcW w:type="dxa" w:w="4440"/>
          </w:tcPr>
          <w:p>
            <w:pPr>
              <w:spacing w:after="50" w:before="50" w:line="252" w:lineRule="auto"/>
            </w:pPr>
            <w:r>
              <w:rPr>
                <w:sz w:val="17"/>
              </w:rPr>
              <w:t>Let it lapse. Do not chase</w:t>
            </w: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EQ-UAP-112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Tier 3 Letter Agreement</w:t>
    </w:r>
    <w:r>
      <w:rPr>
        <w:rFonts w:ascii="Calibri" w:hAnsi="Calibri"/>
        <w:color w:val="595959"/>
        <w:sz w:val="16"/>
      </w:rPr>
      <w:tab/>
      <w:t>Confidential — Contract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C7B4AF4-D800-416D-BD36-3DFB6C3E9D5A}"/>
</file>

<file path=customXml/itemProps3.xml><?xml version="1.0" encoding="utf-8"?>
<ds:datastoreItem xmlns:ds="http://schemas.openxmlformats.org/officeDocument/2006/customXml" ds:itemID="{5A4A712B-884F-436E-ACCC-82C40294E486}"/>
</file>

<file path=customXml/itemProps4.xml><?xml version="1.0" encoding="utf-8"?>
<ds:datastoreItem xmlns:ds="http://schemas.openxmlformats.org/officeDocument/2006/customXml" ds:itemID="{F6810967-23EE-4A95-860C-BD02CE3A978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