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Institutional Membership Agreement</w:t>
      </w:r>
    </w:p>
    <w:p>
      <w:pPr>
        <w:spacing w:after="280" w:line="276" w:lineRule="auto"/>
      </w:pPr>
      <w:r>
        <w:rPr>
          <w:rFonts w:ascii="Calibri" w:hAnsi="Calibri"/>
          <w:i/>
          <w:color w:val="3E6B8A"/>
          <w:sz w:val="25"/>
        </w:rPr>
        <w:t>Standard form for annual institutional membership — inclusions, fee, utilisation and renewal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EQ-UAP-113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INSTITUTIONAL MEMBERSHIP AGREEMENT</w:t>
      </w:r>
    </w:p>
    <w:p>
      <w:r>
        <w:rPr>
          <w:b/>
        </w:rPr>
        <w:t>Dated [●]</w:t>
      </w:r>
    </w:p>
    <w:p>
      <w:r>
        <w:rPr>
          <w:b/>
        </w:rPr>
        <w:t>BETWEEN</w:t>
      </w:r>
      <w:r>
        <w:t xml:space="preserve"> </w:t>
      </w:r>
      <w:r>
        <w:rPr>
          <w:b/>
        </w:rPr>
        <w:t>[●]</w:t>
      </w:r>
      <w:r>
        <w:t>, a [●] having its office at [●] (</w:t>
      </w:r>
      <w:r>
        <w:rPr>
          <w:b/>
        </w:rPr>
        <w:t>the Member</w:t>
      </w:r>
      <w:r>
        <w:t xml:space="preserve">) </w:t>
      </w:r>
      <w:r>
        <w:rPr>
          <w:b/>
        </w:rPr>
        <w:t>AND</w:t>
      </w:r>
      <w:r>
        <w:t xml:space="preserve"> </w:t>
      </w:r>
      <w:r>
        <w:rPr>
          <w:b/>
        </w:rPr>
        <w:t>Equator ADR Institute</w:t>
      </w:r>
      <w:r>
        <w:t>, [●] (</w:t>
      </w:r>
      <w:r>
        <w:rPr>
          <w:b/>
        </w:rPr>
        <w:t>the Institute</w:t>
      </w:r>
      <w:r>
        <w:t>).</w:t>
      </w:r>
    </w:p>
    <w:p>
      <w:pPr>
        <w:spacing w:before="80" w:after="160"/>
        <w:pBdr>
          <w:bottom w:val="single" w:sz="6" w:space="1" w:color="C9D6DE"/>
        </w:pBdr>
      </w:pPr>
    </w:p>
    <w:p>
      <w:pPr>
        <w:pStyle w:val="Heading2"/>
      </w:pPr>
      <w:r>
        <w:t>1. Membership</w:t>
      </w:r>
    </w:p>
    <w:p>
      <w:r>
        <w:rPr>
          <w:b/>
        </w:rPr>
        <w:t>1.1</w:t>
      </w:r>
      <w:r>
        <w:t xml:space="preserve"> The Institute admits the Member to </w:t>
      </w:r>
      <w:r>
        <w:rPr>
          <w:b/>
        </w:rPr>
        <w:t>Equator Institutional Membership</w:t>
      </w:r>
      <w:r>
        <w:t xml:space="preserve"> for a period of </w:t>
      </w:r>
      <w:r>
        <w:rPr>
          <w:b/>
        </w:rPr>
        <w:t>twelve months</w:t>
      </w:r>
      <w:r>
        <w:t xml:space="preserve"> commencing on </w:t>
      </w:r>
      <w:r>
        <w:rPr>
          <w:b/>
        </w:rPr>
        <w:t>[●]</w:t>
      </w:r>
      <w:r>
        <w:t xml:space="preserve"> (</w:t>
      </w:r>
      <w:r>
        <w:rPr>
          <w:b/>
        </w:rPr>
        <w:t>the Membership Year</w:t>
      </w:r>
      <w:r>
        <w:t>).</w:t>
      </w:r>
    </w:p>
    <w:p>
      <w:r>
        <w:rPr>
          <w:b/>
        </w:rPr>
        <w:t>1.2</w:t>
      </w:r>
      <w:r>
        <w:t xml:space="preserve"> Membership is institutional. It extends to all students enrolled at, and all faculty employed by, the Member at the campus or campuses listed in Schedule 1, and to no other person or campus.</w:t>
      </w:r>
    </w:p>
    <w:p>
      <w:r>
        <w:rPr>
          <w:b/>
        </w:rPr>
        <w:t>1.3</w:t>
      </w:r>
      <w:r>
        <w:t xml:space="preserve"> Membership is personal to the Member and is not transferable or assignable.</w:t>
      </w:r>
    </w:p>
    <w:p>
      <w:pPr>
        <w:spacing w:before="80" w:after="160"/>
        <w:pBdr>
          <w:bottom w:val="single" w:sz="6" w:space="1" w:color="C9D6DE"/>
        </w:pBdr>
      </w:pPr>
    </w:p>
    <w:p>
      <w:pPr>
        <w:pStyle w:val="Heading2"/>
      </w:pPr>
      <w:r>
        <w:t>2. Inclusions</w:t>
      </w:r>
    </w:p>
    <w:p>
      <w:r>
        <w:t>During the Membership Year the Institute shall provide: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6728"/>
            <w:shd w:val="clear" w:color="auto" w:fill="10375C"/>
          </w:tcPr>
          <w:p>
            <w:pPr>
              <w:spacing w:after="50" w:before="50"/>
            </w:pPr>
            <w:r>
              <w:rPr>
                <w:b/>
                <w:color w:val="FFFFFF"/>
                <w:sz w:val="17"/>
              </w:rPr>
              <w:t>Inclusion</w:t>
            </w:r>
          </w:p>
        </w:tc>
        <w:tc>
          <w:tcPr>
            <w:tcW w:type="dxa" w:w="2067"/>
            <w:shd w:val="clear" w:color="auto" w:fill="10375C"/>
          </w:tcPr>
          <w:p>
            <w:pPr>
              <w:spacing w:after="50" w:before="50"/>
            </w:pPr>
            <w:r>
              <w:rPr>
                <w:b/>
                <w:color w:val="FFFFFF"/>
                <w:sz w:val="17"/>
              </w:rPr>
              <w:t>Quantity</w:t>
            </w:r>
          </w:p>
        </w:tc>
      </w:tr>
      <w:tr>
        <w:tc>
          <w:tcPr>
            <w:tcW w:type="dxa" w:w="850"/>
          </w:tcPr>
          <w:p>
            <w:pPr>
              <w:spacing w:after="50" w:before="50" w:line="252" w:lineRule="auto"/>
            </w:pPr>
            <w:r>
              <w:rPr>
                <w:sz w:val="17"/>
              </w:rPr>
              <w:t>1</w:t>
            </w:r>
          </w:p>
        </w:tc>
        <w:tc>
          <w:tcPr>
            <w:tcW w:type="dxa" w:w="6728"/>
          </w:tcPr>
          <w:p>
            <w:pPr>
              <w:spacing w:after="50" w:before="50" w:line="252" w:lineRule="auto"/>
            </w:pPr>
            <w:r>
              <w:rPr>
                <w:sz w:val="17"/>
              </w:rPr>
              <w:t>Access to the Institute's national webinar programme for all enrolled students and faculty</w:t>
            </w:r>
          </w:p>
        </w:tc>
        <w:tc>
          <w:tcPr>
            <w:tcW w:type="dxa" w:w="2067"/>
          </w:tcPr>
          <w:p>
            <w:pPr>
              <w:spacing w:after="50" w:before="50" w:line="252" w:lineRule="auto"/>
            </w:pPr>
            <w:r>
              <w:rPr>
                <w:sz w:val="17"/>
              </w:rPr>
              <w:t>Unlimited</w:t>
            </w:r>
          </w:p>
        </w:tc>
      </w:tr>
      <w:tr>
        <w:tc>
          <w:tcPr>
            <w:tcW w:type="dxa" w:w="850"/>
            <w:shd w:val="clear" w:color="auto" w:fill="EAF1F4"/>
          </w:tcPr>
          <w:p>
            <w:pPr>
              <w:spacing w:after="50" w:before="50" w:line="252" w:lineRule="auto"/>
            </w:pPr>
            <w:r>
              <w:rPr>
                <w:sz w:val="17"/>
              </w:rPr>
              <w:t>2</w:t>
            </w:r>
          </w:p>
        </w:tc>
        <w:tc>
          <w:tcPr>
            <w:tcW w:type="dxa" w:w="6728"/>
            <w:shd w:val="clear" w:color="auto" w:fill="EAF1F4"/>
          </w:tcPr>
          <w:p>
            <w:pPr>
              <w:spacing w:after="50" w:before="50" w:line="252" w:lineRule="auto"/>
            </w:pPr>
            <w:r>
              <w:rPr>
                <w:sz w:val="17"/>
              </w:rPr>
              <w:t>Institutional workshop from the published catalogue, half day, delivered at the Member's campus</w:t>
            </w:r>
          </w:p>
        </w:tc>
        <w:tc>
          <w:tcPr>
            <w:tcW w:type="dxa" w:w="2067"/>
            <w:shd w:val="clear" w:color="auto" w:fill="EAF1F4"/>
          </w:tcPr>
          <w:p>
            <w:pPr>
              <w:spacing w:after="50" w:before="50" w:line="252" w:lineRule="auto"/>
            </w:pPr>
            <w:r>
              <w:rPr>
                <w:b/>
                <w:sz w:val="17"/>
              </w:rPr>
              <w:t>One</w:t>
            </w:r>
          </w:p>
        </w:tc>
      </w:tr>
      <w:tr>
        <w:tc>
          <w:tcPr>
            <w:tcW w:type="dxa" w:w="850"/>
          </w:tcPr>
          <w:p>
            <w:pPr>
              <w:spacing w:after="50" w:before="50" w:line="252" w:lineRule="auto"/>
            </w:pPr>
            <w:r>
              <w:rPr>
                <w:sz w:val="17"/>
              </w:rPr>
              <w:t>3</w:t>
            </w:r>
          </w:p>
        </w:tc>
        <w:tc>
          <w:tcPr>
            <w:tcW w:type="dxa" w:w="6728"/>
          </w:tcPr>
          <w:p>
            <w:pPr>
              <w:spacing w:after="50" w:before="50" w:line="252" w:lineRule="auto"/>
            </w:pPr>
            <w:r>
              <w:rPr>
                <w:sz w:val="17"/>
              </w:rPr>
              <w:t>Team entries to any Equator competition, registration fee waived</w:t>
            </w:r>
          </w:p>
        </w:tc>
        <w:tc>
          <w:tcPr>
            <w:tcW w:type="dxa" w:w="2067"/>
          </w:tcPr>
          <w:p>
            <w:pPr>
              <w:spacing w:after="50" w:before="50" w:line="252" w:lineRule="auto"/>
            </w:pPr>
            <w:r>
              <w:rPr>
                <w:b/>
                <w:sz w:val="17"/>
              </w:rPr>
              <w:t>Two</w:t>
            </w:r>
          </w:p>
        </w:tc>
      </w:tr>
      <w:tr>
        <w:tc>
          <w:tcPr>
            <w:tcW w:type="dxa" w:w="850"/>
            <w:shd w:val="clear" w:color="auto" w:fill="EAF1F4"/>
          </w:tcPr>
          <w:p>
            <w:pPr>
              <w:spacing w:after="50" w:before="50" w:line="252" w:lineRule="auto"/>
            </w:pPr>
            <w:r>
              <w:rPr>
                <w:sz w:val="17"/>
              </w:rPr>
              <w:t>4</w:t>
            </w:r>
          </w:p>
        </w:tc>
        <w:tc>
          <w:tcPr>
            <w:tcW w:type="dxa" w:w="6728"/>
            <w:shd w:val="clear" w:color="auto" w:fill="EAF1F4"/>
          </w:tcPr>
          <w:p>
            <w:pPr>
              <w:spacing w:after="50" w:before="50" w:line="252" w:lineRule="auto"/>
            </w:pPr>
            <w:r>
              <w:rPr>
                <w:sz w:val="17"/>
              </w:rPr>
              <w:t>Guest lecture of up to 90 minutes at the Member's campus</w:t>
            </w:r>
          </w:p>
        </w:tc>
        <w:tc>
          <w:tcPr>
            <w:tcW w:type="dxa" w:w="2067"/>
            <w:shd w:val="clear" w:color="auto" w:fill="EAF1F4"/>
          </w:tcPr>
          <w:p>
            <w:pPr>
              <w:spacing w:after="50" w:before="50" w:line="252" w:lineRule="auto"/>
            </w:pPr>
            <w:r>
              <w:rPr>
                <w:b/>
                <w:sz w:val="17"/>
              </w:rPr>
              <w:t>One</w:t>
            </w:r>
          </w:p>
        </w:tc>
      </w:tr>
      <w:tr>
        <w:tc>
          <w:tcPr>
            <w:tcW w:type="dxa" w:w="850"/>
          </w:tcPr>
          <w:p>
            <w:pPr>
              <w:spacing w:after="50" w:before="50" w:line="252" w:lineRule="auto"/>
            </w:pPr>
            <w:r>
              <w:rPr>
                <w:sz w:val="17"/>
              </w:rPr>
              <w:t>5</w:t>
            </w:r>
          </w:p>
        </w:tc>
        <w:tc>
          <w:tcPr>
            <w:tcW w:type="dxa" w:w="6728"/>
          </w:tcPr>
          <w:p>
            <w:pPr>
              <w:spacing w:after="50" w:before="50" w:line="252" w:lineRule="auto"/>
            </w:pPr>
            <w:r>
              <w:rPr>
                <w:sz w:val="17"/>
              </w:rPr>
              <w:t>Curriculum consultation sessions</w:t>
            </w:r>
          </w:p>
        </w:tc>
        <w:tc>
          <w:tcPr>
            <w:tcW w:type="dxa" w:w="2067"/>
          </w:tcPr>
          <w:p>
            <w:pPr>
              <w:spacing w:after="50" w:before="50" w:line="252" w:lineRule="auto"/>
            </w:pPr>
            <w:r>
              <w:rPr>
                <w:b/>
                <w:sz w:val="17"/>
              </w:rPr>
              <w:t>Two</w:t>
            </w:r>
          </w:p>
        </w:tc>
      </w:tr>
      <w:tr>
        <w:tc>
          <w:tcPr>
            <w:tcW w:type="dxa" w:w="850"/>
            <w:shd w:val="clear" w:color="auto" w:fill="EAF1F4"/>
          </w:tcPr>
          <w:p>
            <w:pPr>
              <w:spacing w:after="50" w:before="50" w:line="252" w:lineRule="auto"/>
            </w:pPr>
            <w:r>
              <w:rPr>
                <w:sz w:val="17"/>
              </w:rPr>
              <w:t>6</w:t>
            </w:r>
          </w:p>
        </w:tc>
        <w:tc>
          <w:tcPr>
            <w:tcW w:type="dxa" w:w="6728"/>
            <w:shd w:val="clear" w:color="auto" w:fill="EAF1F4"/>
          </w:tcPr>
          <w:p>
            <w:pPr>
              <w:spacing w:after="50" w:before="50" w:line="252" w:lineRule="auto"/>
            </w:pPr>
            <w:r>
              <w:rPr>
                <w:sz w:val="17"/>
              </w:rPr>
              <w:t>Access for enrolled students to the Institute's student platform environment, containing no live case data</w:t>
            </w:r>
          </w:p>
        </w:tc>
        <w:tc>
          <w:tcPr>
            <w:tcW w:type="dxa" w:w="2067"/>
            <w:shd w:val="clear" w:color="auto" w:fill="EAF1F4"/>
          </w:tcPr>
          <w:p>
            <w:pPr>
              <w:spacing w:after="50" w:before="50" w:line="252" w:lineRule="auto"/>
            </w:pPr>
            <w:r>
              <w:rPr>
                <w:sz w:val="17"/>
              </w:rPr>
              <w:t>For the Membership Year</w:t>
            </w:r>
          </w:p>
        </w:tc>
      </w:tr>
      <w:tr>
        <w:tc>
          <w:tcPr>
            <w:tcW w:type="dxa" w:w="850"/>
          </w:tcPr>
          <w:p>
            <w:pPr>
              <w:spacing w:after="50" w:before="50" w:line="252" w:lineRule="auto"/>
            </w:pPr>
            <w:r>
              <w:rPr>
                <w:sz w:val="17"/>
              </w:rPr>
              <w:t>7</w:t>
            </w:r>
          </w:p>
        </w:tc>
        <w:tc>
          <w:tcPr>
            <w:tcW w:type="dxa" w:w="6728"/>
          </w:tcPr>
          <w:p>
            <w:pPr>
              <w:spacing w:after="50" w:before="50" w:line="252" w:lineRule="auto"/>
            </w:pPr>
            <w:r>
              <w:rPr>
                <w:sz w:val="17"/>
              </w:rPr>
              <w:t xml:space="preserve">Priority internship consideration for nominated students — a guaranteed full review of each application, </w:t>
            </w:r>
            <w:r>
              <w:rPr>
                <w:b/>
                <w:sz w:val="17"/>
              </w:rPr>
              <w:t>not a guaranteed placement</w:t>
            </w:r>
          </w:p>
        </w:tc>
        <w:tc>
          <w:tcPr>
            <w:tcW w:type="dxa" w:w="2067"/>
          </w:tcPr>
          <w:p>
            <w:pPr>
              <w:spacing w:after="50" w:before="50" w:line="252" w:lineRule="auto"/>
            </w:pPr>
            <w:r>
              <w:rPr>
                <w:b/>
                <w:sz w:val="17"/>
              </w:rPr>
              <w:t>Five</w:t>
            </w:r>
            <w:r>
              <w:rPr>
                <w:sz w:val="17"/>
              </w:rPr>
              <w:t xml:space="preserve"> nominations</w:t>
            </w:r>
          </w:p>
        </w:tc>
      </w:tr>
      <w:tr>
        <w:tc>
          <w:tcPr>
            <w:tcW w:type="dxa" w:w="850"/>
            <w:shd w:val="clear" w:color="auto" w:fill="EAF1F4"/>
          </w:tcPr>
          <w:p>
            <w:pPr>
              <w:spacing w:after="50" w:before="50" w:line="252" w:lineRule="auto"/>
            </w:pPr>
            <w:r>
              <w:rPr>
                <w:sz w:val="17"/>
              </w:rPr>
              <w:t>8</w:t>
            </w:r>
          </w:p>
        </w:tc>
        <w:tc>
          <w:tcPr>
            <w:tcW w:type="dxa" w:w="6728"/>
            <w:shd w:val="clear" w:color="auto" w:fill="EAF1F4"/>
          </w:tcPr>
          <w:p>
            <w:pPr>
              <w:spacing w:after="50" w:before="50" w:line="252" w:lineRule="auto"/>
            </w:pPr>
            <w:r>
              <w:rPr>
                <w:sz w:val="17"/>
              </w:rPr>
              <w:t>Discount on every other programme in the Institute's published catalogue</w:t>
            </w:r>
          </w:p>
        </w:tc>
        <w:tc>
          <w:tcPr>
            <w:tcW w:type="dxa" w:w="2067"/>
            <w:shd w:val="clear" w:color="auto" w:fill="EAF1F4"/>
          </w:tcPr>
          <w:p>
            <w:pPr>
              <w:spacing w:after="50" w:before="50" w:line="252" w:lineRule="auto"/>
            </w:pPr>
            <w:r>
              <w:rPr>
                <w:b/>
                <w:sz w:val="17"/>
              </w:rPr>
              <w:t>10%</w:t>
            </w:r>
          </w:p>
        </w:tc>
      </w:tr>
      <w:tr>
        <w:tc>
          <w:tcPr>
            <w:tcW w:type="dxa" w:w="850"/>
          </w:tcPr>
          <w:p>
            <w:pPr>
              <w:spacing w:after="50" w:before="50" w:line="252" w:lineRule="auto"/>
            </w:pPr>
            <w:r>
              <w:rPr>
                <w:sz w:val="17"/>
              </w:rPr>
              <w:t>9</w:t>
            </w:r>
          </w:p>
        </w:tc>
        <w:tc>
          <w:tcPr>
            <w:tcW w:type="dxa" w:w="6728"/>
          </w:tcPr>
          <w:p>
            <w:pPr>
              <w:spacing w:after="50" w:before="50" w:line="252" w:lineRule="auto"/>
            </w:pPr>
            <w:r>
              <w:rPr>
                <w:sz w:val="17"/>
              </w:rPr>
              <w:t>Certificate verification access</w:t>
            </w:r>
          </w:p>
        </w:tc>
        <w:tc>
          <w:tcPr>
            <w:tcW w:type="dxa" w:w="2067"/>
          </w:tcPr>
          <w:p>
            <w:pPr>
              <w:spacing w:after="50" w:before="50" w:line="252" w:lineRule="auto"/>
            </w:pPr>
            <w:r>
              <w:rPr>
                <w:sz w:val="17"/>
              </w:rPr>
              <w:t>Unlimited</w:t>
            </w:r>
          </w:p>
        </w:tc>
      </w:tr>
      <w:tr>
        <w:tc>
          <w:tcPr>
            <w:tcW w:type="dxa" w:w="850"/>
            <w:shd w:val="clear" w:color="auto" w:fill="EAF1F4"/>
          </w:tcPr>
          <w:p>
            <w:pPr>
              <w:spacing w:after="50" w:before="50" w:line="252" w:lineRule="auto"/>
            </w:pPr>
            <w:r>
              <w:rPr>
                <w:sz w:val="17"/>
              </w:rPr>
              <w:t>10</w:t>
            </w:r>
          </w:p>
        </w:tc>
        <w:tc>
          <w:tcPr>
            <w:tcW w:type="dxa" w:w="6728"/>
            <w:shd w:val="clear" w:color="auto" w:fill="EAF1F4"/>
          </w:tcPr>
          <w:p>
            <w:pPr>
              <w:spacing w:after="50" w:before="50" w:line="252" w:lineRule="auto"/>
            </w:pPr>
            <w:r>
              <w:rPr>
                <w:sz w:val="17"/>
              </w:rPr>
              <w:t xml:space="preserve">Use of the mark </w:t>
            </w:r>
            <w:r>
              <w:rPr>
                <w:i/>
                <w:sz w:val="17"/>
              </w:rPr>
              <w:t>Equator Member Institution</w:t>
            </w:r>
            <w:r>
              <w:rPr>
                <w:sz w:val="17"/>
              </w:rPr>
              <w:t>, on the terms in clause 7</w:t>
            </w:r>
          </w:p>
        </w:tc>
        <w:tc>
          <w:tcPr>
            <w:tcW w:type="dxa" w:w="2067"/>
            <w:shd w:val="clear" w:color="auto" w:fill="EAF1F4"/>
          </w:tcPr>
          <w:p>
            <w:pPr>
              <w:spacing w:after="50" w:before="50" w:line="252" w:lineRule="auto"/>
            </w:pPr>
            <w:r>
              <w:rPr>
                <w:sz w:val="17"/>
              </w:rPr>
              <w:t>For the Membership Year</w:t>
            </w:r>
          </w:p>
        </w:tc>
      </w:tr>
      <w:tr>
        <w:tc>
          <w:tcPr>
            <w:tcW w:type="dxa" w:w="850"/>
          </w:tcPr>
          <w:p>
            <w:pPr>
              <w:spacing w:after="50" w:before="50" w:line="252" w:lineRule="auto"/>
            </w:pPr>
            <w:r>
              <w:rPr>
                <w:sz w:val="17"/>
              </w:rPr>
              <w:t>11</w:t>
            </w:r>
          </w:p>
        </w:tc>
        <w:tc>
          <w:tcPr>
            <w:tcW w:type="dxa" w:w="6728"/>
          </w:tcPr>
          <w:p>
            <w:pPr>
              <w:spacing w:after="50" w:before="50" w:line="252" w:lineRule="auto"/>
            </w:pPr>
            <w:r>
              <w:rPr>
                <w:sz w:val="17"/>
              </w:rPr>
              <w:t>A named contact at the Institute, with a response undertaking of two working days</w:t>
            </w:r>
          </w:p>
        </w:tc>
        <w:tc>
          <w:tcPr>
            <w:tcW w:type="dxa" w:w="2067"/>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6728"/>
            <w:shd w:val="clear" w:color="auto" w:fill="EAF1F4"/>
          </w:tcPr>
          <w:p>
            <w:pPr>
              <w:spacing w:after="50" w:before="50" w:line="252" w:lineRule="auto"/>
            </w:pPr>
            <w:r>
              <w:rPr>
                <w:sz w:val="17"/>
              </w:rPr>
              <w:t>Annual activity report in a form usable for the Member's own institutional documentation</w:t>
            </w:r>
          </w:p>
        </w:tc>
        <w:tc>
          <w:tcPr>
            <w:tcW w:type="dxa" w:w="2067"/>
            <w:shd w:val="clear" w:color="auto" w:fill="EAF1F4"/>
          </w:tcPr>
          <w:p>
            <w:pPr>
              <w:spacing w:after="50" w:before="50" w:line="252" w:lineRule="auto"/>
            </w:pPr>
            <w:r>
              <w:rPr>
                <w:b/>
                <w:sz w:val="17"/>
              </w:rPr>
              <w:t>One</w:t>
            </w:r>
          </w:p>
        </w:tc>
      </w:tr>
    </w:tbl>
    <w:p>
      <w:pPr>
        <w:spacing w:after="80" w:before="0"/>
      </w:pPr>
    </w:p>
    <w:p>
      <w:r>
        <w:rPr>
          <w:b/>
        </w:rPr>
        <w:t>2.1 Quantities are fixed.</w:t>
      </w:r>
      <w:r>
        <w:t xml:space="preserve"> Inclusions 2, 3, 4, 5, 7 and 12 are stated as numbers. Anything beyond them is available at the Institute's published rates, less the discount at inclusion 8.</w:t>
      </w:r>
    </w:p>
    <w:p>
      <w:r>
        <w:rPr>
          <w:b/>
        </w:rPr>
        <w:t>2.2 No carry-forward.</w:t>
      </w:r>
      <w:r>
        <w:t xml:space="preserve"> An inclusion not used within the Membership Year lapses and is not carried forward, refunded or exchanged.</w:t>
      </w:r>
    </w:p>
    <w:p>
      <w:r>
        <w:rPr>
          <w:b/>
        </w:rPr>
        <w:t>2.3 Scheduling.</w:t>
      </w:r>
      <w:r>
        <w:t xml:space="preserve"> The workshop and the guest lecture shall be scheduled on dates agreed between the parties. </w:t>
      </w:r>
      <w:r>
        <w:rPr>
          <w:b/>
        </w:rPr>
        <w:t>The Institute shall notify the Member at month nine of any inclusion not yet used.</w:t>
      </w:r>
      <w:r>
        <w:t xml:space="preserve"> The Member is responsible for requesting them in time.</w:t>
      </w:r>
    </w:p>
    <w:p>
      <w:r>
        <w:rPr>
          <w:b/>
        </w:rPr>
        <w:t>2.4 Delivery location.</w:t>
      </w:r>
      <w:r>
        <w:t xml:space="preserve"> The workshop and guest lecture are delivered at the campus in Schedule 1. Where that campus is outside the Institute's trainer catchment, the Institute may deliver online or at a regional session, or may agree an additional travel charge in writing.</w:t>
      </w:r>
    </w:p>
    <w:p>
      <w:pPr>
        <w:spacing w:before="80" w:after="160"/>
        <w:pBdr>
          <w:bottom w:val="single" w:sz="6" w:space="1" w:color="C9D6DE"/>
        </w:pBdr>
      </w:pPr>
    </w:p>
    <w:p>
      <w:pPr>
        <w:pStyle w:val="Heading2"/>
      </w:pPr>
      <w:r>
        <w:t>3. What is not included</w:t>
      </w:r>
    </w:p>
    <w:p>
      <w:r>
        <w:t xml:space="preserve">Certificate courses; Faculty Development Programmes; full-day workshops; competition coaching; residential schools; institutional advisory retainers; competition hosting; supply of external committee members; and any bespoke content development. </w:t>
      </w:r>
      <w:r>
        <w:rPr>
          <w:b/>
        </w:rPr>
        <w:t>All are available to the Member at the discount in inclusion 8.</w:t>
      </w:r>
    </w:p>
    <w:p>
      <w:pPr>
        <w:spacing w:before="80" w:after="160"/>
        <w:pBdr>
          <w:bottom w:val="single" w:sz="6" w:space="1" w:color="C9D6DE"/>
        </w:pBdr>
      </w:pPr>
    </w:p>
    <w:p>
      <w:pPr>
        <w:pStyle w:val="Heading2"/>
      </w:pPr>
      <w:r>
        <w:t>4. Fee and payment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78"/>
            <w:shd w:val="clear" w:color="auto" w:fill="10375C"/>
          </w:tcPr>
          <w:p>
            <w:pPr>
              <w:spacing w:after="50" w:before="50"/>
            </w:pPr>
            <w:r>
              <w:rPr>
                <w:b/>
                <w:color w:val="FFFFFF"/>
                <w:sz w:val="17"/>
              </w:rPr>
              <w:t>Item</w:t>
            </w:r>
          </w:p>
        </w:tc>
        <w:tc>
          <w:tcPr>
            <w:tcW w:type="dxa" w:w="7290"/>
            <w:shd w:val="clear" w:color="auto" w:fill="10375C"/>
          </w:tcPr>
          <w:p>
            <w:pPr>
              <w:spacing w:after="50" w:before="50"/>
            </w:pPr>
            <w:r>
              <w:rPr>
                <w:b/>
                <w:color w:val="FFFFFF"/>
                <w:sz w:val="17"/>
              </w:rPr>
              <w:t>Position</w:t>
            </w:r>
          </w:p>
        </w:tc>
      </w:tr>
      <w:tr>
        <w:tc>
          <w:tcPr>
            <w:tcW w:type="dxa" w:w="2178"/>
          </w:tcPr>
          <w:p>
            <w:pPr>
              <w:spacing w:after="50" w:before="50" w:line="252" w:lineRule="auto"/>
            </w:pPr>
            <w:r>
              <w:rPr>
                <w:sz w:val="17"/>
              </w:rPr>
              <w:t>Annual membership fee</w:t>
            </w:r>
          </w:p>
        </w:tc>
        <w:tc>
          <w:tcPr>
            <w:tcW w:type="dxa" w:w="7290"/>
          </w:tcPr>
          <w:p>
            <w:pPr>
              <w:spacing w:after="50" w:before="50" w:line="252" w:lineRule="auto"/>
            </w:pPr>
            <w:r>
              <w:rPr>
                <w:b/>
                <w:sz w:val="17"/>
              </w:rPr>
              <w:t>₹[●]</w:t>
            </w:r>
            <w:r>
              <w:rPr>
                <w:sz w:val="17"/>
              </w:rPr>
              <w:t>, exclusive of applicable taxes</w:t>
            </w:r>
          </w:p>
        </w:tc>
      </w:tr>
      <w:tr>
        <w:tc>
          <w:tcPr>
            <w:tcW w:type="dxa" w:w="2178"/>
            <w:shd w:val="clear" w:color="auto" w:fill="EAF1F4"/>
          </w:tcPr>
          <w:p>
            <w:pPr>
              <w:spacing w:after="50" w:before="50" w:line="252" w:lineRule="auto"/>
            </w:pPr>
            <w:r>
              <w:rPr>
                <w:sz w:val="17"/>
              </w:rPr>
              <w:t>Payable</w:t>
            </w:r>
          </w:p>
        </w:tc>
        <w:tc>
          <w:tcPr>
            <w:tcW w:type="dxa" w:w="7290"/>
            <w:shd w:val="clear" w:color="auto" w:fill="EAF1F4"/>
          </w:tcPr>
          <w:p>
            <w:pPr>
              <w:spacing w:after="50" w:before="50" w:line="252" w:lineRule="auto"/>
            </w:pPr>
            <w:r>
              <w:rPr>
                <w:sz w:val="17"/>
              </w:rPr>
              <w:t xml:space="preserve">Annually </w:t>
            </w:r>
            <w:r>
              <w:rPr>
                <w:b/>
                <w:sz w:val="17"/>
              </w:rPr>
              <w:t>in advance</w:t>
            </w:r>
            <w:r>
              <w:rPr>
                <w:sz w:val="17"/>
              </w:rPr>
              <w:t>, within 30 days of invoice</w:t>
            </w:r>
          </w:p>
        </w:tc>
      </w:tr>
      <w:tr>
        <w:tc>
          <w:tcPr>
            <w:tcW w:type="dxa" w:w="2178"/>
          </w:tcPr>
          <w:p>
            <w:pPr>
              <w:spacing w:after="50" w:before="50" w:line="252" w:lineRule="auto"/>
            </w:pPr>
            <w:r>
              <w:rPr>
                <w:sz w:val="17"/>
              </w:rPr>
              <w:t>Commencement</w:t>
            </w:r>
          </w:p>
        </w:tc>
        <w:tc>
          <w:tcPr>
            <w:tcW w:type="dxa" w:w="7290"/>
          </w:tcPr>
          <w:p>
            <w:pPr>
              <w:spacing w:after="50" w:before="50" w:line="252" w:lineRule="auto"/>
            </w:pPr>
            <w:r>
              <w:rPr>
                <w:b/>
                <w:sz w:val="17"/>
              </w:rPr>
              <w:t>Membership does not commence until the fee is received</w:t>
            </w:r>
          </w:p>
        </w:tc>
      </w:tr>
      <w:tr>
        <w:tc>
          <w:tcPr>
            <w:tcW w:type="dxa" w:w="2178"/>
            <w:shd w:val="clear" w:color="auto" w:fill="EAF1F4"/>
          </w:tcPr>
          <w:p>
            <w:pPr>
              <w:spacing w:after="50" w:before="50" w:line="252" w:lineRule="auto"/>
            </w:pPr>
            <w:r>
              <w:rPr>
                <w:sz w:val="17"/>
              </w:rPr>
              <w:t>Taxes</w:t>
            </w:r>
          </w:p>
        </w:tc>
        <w:tc>
          <w:tcPr>
            <w:tcW w:type="dxa" w:w="7290"/>
            <w:shd w:val="clear" w:color="auto" w:fill="EAF1F4"/>
          </w:tcPr>
          <w:p>
            <w:pPr>
              <w:spacing w:after="50" w:before="50" w:line="252" w:lineRule="auto"/>
            </w:pPr>
            <w:r>
              <w:rPr>
                <w:sz w:val="17"/>
              </w:rPr>
              <w:t>Charged in addition at the prevailing rate</w:t>
            </w:r>
          </w:p>
        </w:tc>
      </w:tr>
      <w:tr>
        <w:tc>
          <w:tcPr>
            <w:tcW w:type="dxa" w:w="2178"/>
          </w:tcPr>
          <w:p>
            <w:pPr>
              <w:spacing w:after="50" w:before="50" w:line="252" w:lineRule="auto"/>
            </w:pPr>
            <w:r>
              <w:rPr>
                <w:sz w:val="17"/>
              </w:rPr>
              <w:t>Withholding</w:t>
            </w:r>
          </w:p>
        </w:tc>
        <w:tc>
          <w:tcPr>
            <w:tcW w:type="dxa" w:w="7290"/>
          </w:tcPr>
          <w:p>
            <w:pPr>
              <w:spacing w:after="50" w:before="50" w:line="252" w:lineRule="auto"/>
            </w:pPr>
            <w:r>
              <w:rPr>
                <w:sz w:val="17"/>
              </w:rPr>
              <w:t>To be deducted as required by law, with the certificate furnished within the statutory period</w:t>
            </w:r>
          </w:p>
        </w:tc>
      </w:tr>
      <w:tr>
        <w:tc>
          <w:tcPr>
            <w:tcW w:type="dxa" w:w="2178"/>
            <w:shd w:val="clear" w:color="auto" w:fill="EAF1F4"/>
          </w:tcPr>
          <w:p>
            <w:pPr>
              <w:spacing w:after="50" w:before="50" w:line="252" w:lineRule="auto"/>
            </w:pPr>
            <w:r>
              <w:rPr>
                <w:sz w:val="17"/>
              </w:rPr>
              <w:t>Purchase order</w:t>
            </w:r>
          </w:p>
        </w:tc>
        <w:tc>
          <w:tcPr>
            <w:tcW w:type="dxa" w:w="7290"/>
            <w:shd w:val="clear" w:color="auto" w:fill="EAF1F4"/>
          </w:tcPr>
          <w:p>
            <w:pPr>
              <w:spacing w:after="50" w:before="50" w:line="252" w:lineRule="auto"/>
            </w:pPr>
            <w:r>
              <w:rPr>
                <w:sz w:val="17"/>
              </w:rPr>
              <w:t>Where required, to be issued within 15 days of this Agreement</w:t>
            </w:r>
          </w:p>
        </w:tc>
      </w:tr>
    </w:tbl>
    <w:p>
      <w:pPr>
        <w:spacing w:after="80" w:before="0"/>
      </w:pPr>
    </w:p>
    <w:p>
      <w:r>
        <w:rPr>
          <w:b/>
        </w:rPr>
        <w:t>4.1</w:t>
      </w:r>
      <w:r>
        <w:t xml:space="preserve"> The fee is not refundable in whole or in part, save under clause 8.2.</w:t>
      </w:r>
    </w:p>
    <w:p>
      <w:pPr>
        <w:spacing w:before="80" w:after="160"/>
        <w:pBdr>
          <w:bottom w:val="single" w:sz="6" w:space="1" w:color="C9D6DE"/>
        </w:pBdr>
      </w:pPr>
    </w:p>
    <w:p>
      <w:pPr>
        <w:pStyle w:val="Heading2"/>
      </w:pPr>
      <w:r>
        <w:t>5. Renewal</w:t>
      </w:r>
    </w:p>
    <w:p>
      <w:r>
        <w:rPr>
          <w:b/>
        </w:rPr>
        <w:t>5.1</w:t>
      </w:r>
      <w:r>
        <w:t xml:space="preserve"> Membership does </w:t>
      </w:r>
      <w:r>
        <w:rPr>
          <w:b/>
        </w:rPr>
        <w:t>not</w:t>
      </w:r>
      <w:r>
        <w:t xml:space="preserve"> renew automatically.</w:t>
      </w:r>
    </w:p>
    <w:p>
      <w:r>
        <w:rPr>
          <w:b/>
        </w:rPr>
        <w:t>5.2</w:t>
      </w:r>
      <w:r>
        <w:t xml:space="preserve"> The Institute shall issue a renewal notice not less than </w:t>
      </w:r>
      <w:r>
        <w:rPr>
          <w:b/>
        </w:rPr>
        <w:t>sixty days</w:t>
      </w:r>
      <w:r>
        <w:t xml:space="preserve"> before expiry, with a utilisation report for the Membership Year.</w:t>
      </w:r>
    </w:p>
    <w:p>
      <w:r>
        <w:rPr>
          <w:b/>
        </w:rPr>
        <w:t>5.3</w:t>
      </w:r>
      <w:r>
        <w:t xml:space="preserve"> Renewal is effected by written acceptance and payment. The Institute may revise the fee on renewal, on the notice at clause 5.2.</w:t>
      </w:r>
    </w:p>
    <w:p>
      <w:pPr>
        <w:spacing w:before="80" w:after="160"/>
        <w:pBdr>
          <w:bottom w:val="single" w:sz="6" w:space="1" w:color="C9D6DE"/>
        </w:pBdr>
      </w:pPr>
    </w:p>
    <w:p>
      <w:pPr>
        <w:pStyle w:val="Heading2"/>
      </w:pPr>
      <w:r>
        <w:t>6. The Member's obligations</w:t>
      </w:r>
    </w:p>
    <w:p>
      <w:r>
        <w:t>The Member shall: name a contact person; communicate the Institute's programmes and competitions to its students and faculty; provide a suitable room for the workshop and the guest lecture; give the Institute reasonable access for documentation, subject to consent; and use the Institute's name and marks only as permitted.</w:t>
      </w:r>
    </w:p>
    <w:p>
      <w:pPr>
        <w:spacing w:before="80" w:after="160"/>
        <w:pBdr>
          <w:bottom w:val="single" w:sz="6" w:space="1" w:color="C9D6DE"/>
        </w:pBdr>
      </w:pPr>
    </w:p>
    <w:p>
      <w:pPr>
        <w:pStyle w:val="Heading2"/>
      </w:pPr>
      <w:r>
        <w:t>7. Names and marks</w:t>
      </w:r>
    </w:p>
    <w:p>
      <w:r>
        <w:rPr>
          <w:b/>
        </w:rPr>
        <w:t>7.1</w:t>
      </w:r>
      <w:r>
        <w:t xml:space="preserve"> Each party grants the other a non-exclusive, non-transferable, revocable, royalty-free licence to use its name and marks solely to state factually that the Member is an Equator Member Institution, for the Membership Year.</w:t>
      </w:r>
    </w:p>
    <w:p>
      <w:r>
        <w:rPr>
          <w:b/>
        </w:rPr>
        <w:t>7.2</w:t>
      </w:r>
      <w:r>
        <w:t xml:space="preserve"> Marks shall be used in the form supplied, without alteration.</w:t>
      </w:r>
    </w:p>
    <w:p>
      <w:r>
        <w:rPr>
          <w:b/>
        </w:rPr>
        <w:t>7.3</w:t>
      </w:r>
      <w:r>
        <w:t xml:space="preserve"> Neither party shall state or imply that: the Institute accredits, affiliates or approves the Member; any Institute certificate is a degree, diploma or statutory qualification; any Institute certification is accredited, recognised or approved by the Mediation Council of India or by any Government authority; or that any student is assured of employment or placement.</w:t>
      </w:r>
    </w:p>
    <w:p>
      <w:r>
        <w:rPr>
          <w:b/>
        </w:rPr>
        <w:t>7.4</w:t>
      </w:r>
      <w:r>
        <w:t xml:space="preserve"> On expiry or termination, all use ceases within </w:t>
      </w:r>
      <w:r>
        <w:rPr>
          <w:b/>
        </w:rPr>
        <w:t>thirty days</w:t>
      </w:r>
      <w:r>
        <w:t>, including removal from websites, social media and printed materials.</w:t>
      </w:r>
    </w:p>
    <w:p>
      <w:pPr>
        <w:spacing w:before="80" w:after="160"/>
        <w:pBdr>
          <w:bottom w:val="single" w:sz="6" w:space="1" w:color="C9D6DE"/>
        </w:pBdr>
      </w:pPr>
    </w:p>
    <w:p>
      <w:pPr>
        <w:pStyle w:val="Heading2"/>
      </w:pPr>
      <w:r>
        <w:t>8. Term and termination</w:t>
      </w:r>
    </w:p>
    <w:p>
      <w:r>
        <w:rPr>
          <w:b/>
        </w:rPr>
        <w:t>8.1</w:t>
      </w:r>
      <w:r>
        <w:t xml:space="preserve"> This Agreement runs for the Membership Year.</w:t>
      </w:r>
    </w:p>
    <w:p>
      <w:r>
        <w:rPr>
          <w:b/>
        </w:rPr>
        <w:t>8.2</w:t>
      </w:r>
      <w:r>
        <w:t xml:space="preserve"> Either party may terminate for material breach not remedied within thirty days of written notice. Where the Institute terminates for its own convenience, it shall refund the fee for the unexpired portion of the Membership Year, apportioned by month. </w:t>
      </w:r>
      <w:r>
        <w:rPr>
          <w:b/>
        </w:rPr>
        <w:t>No refund arises where the Member terminates or where the Institute terminates for the Member's breach.</w:t>
      </w:r>
    </w:p>
    <w:p>
      <w:r>
        <w:rPr>
          <w:b/>
        </w:rPr>
        <w:t>8.3</w:t>
      </w:r>
      <w:r>
        <w:t xml:space="preserve"> On expiry or termination: certificates already issued remain valid; competition entries already accepted stand; students retain webinar access to the end of the current term; platform access ceases within thirty days; and marks cease to be used per clause 7.4.</w:t>
      </w:r>
    </w:p>
    <w:p>
      <w:pPr>
        <w:spacing w:before="80" w:after="160"/>
        <w:pBdr>
          <w:bottom w:val="single" w:sz="6" w:space="1" w:color="C9D6DE"/>
        </w:pBdr>
      </w:pPr>
    </w:p>
    <w:p>
      <w:pPr>
        <w:pStyle w:val="Heading2"/>
      </w:pPr>
      <w:r>
        <w:t>9. Personal data</w:t>
      </w:r>
    </w:p>
    <w:p>
      <w:r>
        <w:rPr>
          <w:b/>
        </w:rPr>
        <w:t>9.1</w:t>
      </w:r>
      <w:r>
        <w:t xml:space="preserve"> Students and faculty register for webinars, competitions, platform access and programmes </w:t>
      </w:r>
      <w:r>
        <w:rPr>
          <w:b/>
        </w:rPr>
        <w:t>directly with the Institute</w:t>
      </w:r>
      <w:r>
        <w:t>, under the Institute's own notice and consent. The Member does not transfer personal data to the Institute under this Agreement.</w:t>
      </w:r>
    </w:p>
    <w:p>
      <w:r>
        <w:rPr>
          <w:b/>
        </w:rPr>
        <w:t>9.2</w:t>
      </w:r>
      <w:r>
        <w:t xml:space="preserve"> Where any personal data is nonetheless to be shared — for example a list of nominated students under inclusion 7 — it shall be shared only with the individual's consent and only to the extent necessary, and each party shall comply with the Digital Personal Data Protection Act, 2023 and the Rules made under it.</w:t>
      </w:r>
    </w:p>
    <w:p>
      <w:r>
        <w:rPr>
          <w:b/>
        </w:rPr>
        <w:t>9.3</w:t>
      </w:r>
      <w:r>
        <w:t xml:space="preserve"> Each party shall notify the other </w:t>
      </w:r>
      <w:r>
        <w:rPr>
          <w:b/>
        </w:rPr>
        <w:t>within twenty-four hours</w:t>
      </w:r>
      <w:r>
        <w:t xml:space="preserve"> of any personal data breach affecting data connected to this Agreement.</w:t>
      </w:r>
    </w:p>
    <w:p>
      <w:pPr>
        <w:spacing w:before="80" w:after="160"/>
        <w:pBdr>
          <w:bottom w:val="single" w:sz="6" w:space="1" w:color="C9D6DE"/>
        </w:pBdr>
      </w:pPr>
    </w:p>
    <w:p>
      <w:pPr>
        <w:pStyle w:val="Heading2"/>
      </w:pPr>
      <w:r>
        <w:t>10. General</w:t>
      </w:r>
    </w:p>
    <w:p>
      <w:r>
        <w:rPr>
          <w:b/>
        </w:rPr>
        <w:t>10.1 Confidentiality.</w:t>
      </w:r>
      <w:r>
        <w:t xml:space="preserve"> Each party shall keep confidential the other's non-public information, including the fee, and shall use it only for this Agreement. This survives for three years.</w:t>
      </w:r>
    </w:p>
    <w:p>
      <w:r>
        <w:rPr>
          <w:b/>
        </w:rPr>
        <w:t>10.2 No exclusivity.</w:t>
      </w:r>
      <w:r>
        <w:t xml:space="preserve"> Neither party is restricted from dealing with any other person.</w:t>
      </w:r>
    </w:p>
    <w:p>
      <w:r>
        <w:rPr>
          <w:b/>
        </w:rPr>
        <w:t>10.3 Relationship.</w:t>
      </w:r>
      <w:r>
        <w:t xml:space="preserve"> The parties are independent. Nothing creates a partnership, agency or employment relationship.</w:t>
      </w:r>
    </w:p>
    <w:p>
      <w:r>
        <w:rPr>
          <w:b/>
        </w:rPr>
        <w:t>10.4 Liability.</w:t>
      </w:r>
      <w:r>
        <w:t xml:space="preserve"> Each party's aggregate liability under this Agreement is limited to the membership fee, save in respect of clause 7.3, clause 9, fraud, or liability which cannot lawfully be limited. Neither party is liable for indirect or consequential loss.</w:t>
      </w:r>
    </w:p>
    <w:p>
      <w:r>
        <w:rPr>
          <w:b/>
        </w:rPr>
        <w:t>10.5 Force majeure.</w:t>
      </w:r>
      <w:r>
        <w:t xml:space="preserve"> Neither party is liable for failure to perform caused by an event beyond its reasonable control. Affected inclusions shall be rescheduled rather than lost.</w:t>
      </w:r>
    </w:p>
    <w:p>
      <w:r>
        <w:rPr>
          <w:b/>
        </w:rPr>
        <w:t>10.6 Variation.</w:t>
      </w:r>
      <w:r>
        <w:t xml:space="preserve"> Only in writing, signed by both parties.</w:t>
      </w:r>
    </w:p>
    <w:p>
      <w:r>
        <w:rPr>
          <w:b/>
        </w:rPr>
        <w:t>10.7 Entire agreement.</w:t>
      </w:r>
      <w:r>
        <w:t xml:space="preserve"> This Agreement and its Schedule record the entire agreement on its subject matter.</w:t>
      </w:r>
    </w:p>
    <w:p>
      <w:r>
        <w:rPr>
          <w:b/>
        </w:rPr>
        <w:t>10.8 Governing law.</w:t>
      </w:r>
      <w:r>
        <w:t xml:space="preserve"> The laws of India. The courts at </w:t>
      </w:r>
      <w:r>
        <w:rPr>
          <w:b/>
        </w:rPr>
        <w:t>[●]</w:t>
      </w:r>
      <w:r>
        <w:t xml:space="preserve"> have exclusive jurisdiction. The parties shall attempt mediation before commencing proceedings.</w:t>
      </w:r>
    </w:p>
    <w:p>
      <w:pPr>
        <w:spacing w:before="80" w:after="160"/>
        <w:pBdr>
          <w:bottom w:val="single" w:sz="6" w:space="1" w:color="C9D6DE"/>
        </w:pBdr>
      </w:pP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45"/>
            <w:shd w:val="clear" w:color="auto" w:fill="10375C"/>
          </w:tcPr>
          <w:p>
            <w:pPr>
              <w:spacing w:after="50" w:before="50"/>
            </w:pPr>
            <w:r>
              <w:rPr>
                <w:b/>
                <w:color w:val="FFFFFF"/>
                <w:sz w:val="17"/>
              </w:rPr>
              <w:t>For [●]</w:t>
            </w:r>
          </w:p>
        </w:tc>
        <w:tc>
          <w:tcPr>
            <w:tcW w:type="dxa" w:w="5023"/>
            <w:shd w:val="clear" w:color="auto" w:fill="10375C"/>
          </w:tcPr>
          <w:p>
            <w:pPr>
              <w:spacing w:after="50" w:before="50"/>
            </w:pPr>
            <w:r>
              <w:rPr>
                <w:b/>
                <w:color w:val="FFFFFF"/>
                <w:sz w:val="17"/>
              </w:rPr>
              <w:t>For Equator ADR Institute</w:t>
            </w:r>
          </w:p>
        </w:tc>
      </w:tr>
      <w:tr>
        <w:tc>
          <w:tcPr>
            <w:tcW w:type="dxa" w:w="4445"/>
          </w:tcPr>
          <w:p>
            <w:pPr>
              <w:spacing w:after="50" w:before="50" w:line="252" w:lineRule="auto"/>
            </w:pPr>
            <w:r>
              <w:rPr>
                <w:sz w:val="17"/>
              </w:rPr>
              <w:t>Signature: _______________________</w:t>
            </w:r>
          </w:p>
        </w:tc>
        <w:tc>
          <w:tcPr>
            <w:tcW w:type="dxa" w:w="5023"/>
          </w:tcPr>
          <w:p>
            <w:pPr>
              <w:spacing w:after="50" w:before="50" w:line="252" w:lineRule="auto"/>
            </w:pPr>
            <w:r>
              <w:rPr>
                <w:sz w:val="17"/>
              </w:rPr>
              <w:t>Signature: _______________________</w:t>
            </w:r>
          </w:p>
        </w:tc>
      </w:tr>
      <w:tr>
        <w:tc>
          <w:tcPr>
            <w:tcW w:type="dxa" w:w="4445"/>
            <w:shd w:val="clear" w:color="auto" w:fill="EAF1F4"/>
          </w:tcPr>
          <w:p>
            <w:pPr>
              <w:spacing w:after="50" w:before="50" w:line="252" w:lineRule="auto"/>
            </w:pPr>
            <w:r>
              <w:rPr>
                <w:sz w:val="17"/>
              </w:rPr>
              <w:t>Name: [●]</w:t>
            </w:r>
          </w:p>
        </w:tc>
        <w:tc>
          <w:tcPr>
            <w:tcW w:type="dxa" w:w="5023"/>
            <w:shd w:val="clear" w:color="auto" w:fill="EAF1F4"/>
          </w:tcPr>
          <w:p>
            <w:pPr>
              <w:spacing w:after="50" w:before="50" w:line="252" w:lineRule="auto"/>
            </w:pPr>
            <w:r>
              <w:rPr>
                <w:sz w:val="17"/>
              </w:rPr>
              <w:t>Name: [●]</w:t>
            </w:r>
          </w:p>
        </w:tc>
      </w:tr>
      <w:tr>
        <w:tc>
          <w:tcPr>
            <w:tcW w:type="dxa" w:w="4445"/>
          </w:tcPr>
          <w:p>
            <w:pPr>
              <w:spacing w:after="50" w:before="50" w:line="252" w:lineRule="auto"/>
            </w:pPr>
            <w:r>
              <w:rPr>
                <w:sz w:val="17"/>
              </w:rPr>
              <w:t>Designation: [●]</w:t>
            </w:r>
          </w:p>
        </w:tc>
        <w:tc>
          <w:tcPr>
            <w:tcW w:type="dxa" w:w="5023"/>
          </w:tcPr>
          <w:p>
            <w:pPr>
              <w:spacing w:after="50" w:before="50" w:line="252" w:lineRule="auto"/>
            </w:pPr>
            <w:r>
              <w:rPr>
                <w:sz w:val="17"/>
              </w:rPr>
              <w:t>Designation: [●]</w:t>
            </w:r>
          </w:p>
        </w:tc>
      </w:tr>
      <w:tr>
        <w:tc>
          <w:tcPr>
            <w:tcW w:type="dxa" w:w="4445"/>
            <w:shd w:val="clear" w:color="auto" w:fill="EAF1F4"/>
          </w:tcPr>
          <w:p>
            <w:pPr>
              <w:spacing w:after="50" w:before="50" w:line="252" w:lineRule="auto"/>
            </w:pPr>
            <w:r>
              <w:rPr>
                <w:sz w:val="17"/>
              </w:rPr>
              <w:t>Date: [●]</w:t>
            </w:r>
          </w:p>
        </w:tc>
        <w:tc>
          <w:tcPr>
            <w:tcW w:type="dxa" w:w="5023"/>
            <w:shd w:val="clear" w:color="auto" w:fill="EAF1F4"/>
          </w:tcPr>
          <w:p>
            <w:pPr>
              <w:spacing w:after="50" w:before="50" w:line="252" w:lineRule="auto"/>
            </w:pPr>
            <w:r>
              <w:rPr>
                <w:sz w:val="17"/>
              </w:rPr>
              <w:t>Date: [●]</w:t>
            </w:r>
          </w:p>
        </w:tc>
      </w:tr>
    </w:tbl>
    <w:p>
      <w:pPr>
        <w:spacing w:after="80" w:before="0"/>
      </w:pPr>
    </w:p>
    <w:p>
      <w:pPr>
        <w:spacing w:before="80" w:after="160"/>
        <w:pBdr>
          <w:bottom w:val="single" w:sz="6" w:space="1" w:color="C9D6DE"/>
        </w:pBdr>
      </w:pPr>
    </w:p>
    <w:p>
      <w:pPr>
        <w:pStyle w:val="Heading1"/>
        <w:pBdr>
          <w:bottom w:val="single" w:sz="8" w:space="4" w:color="C9D6DE"/>
        </w:pBdr>
      </w:pPr>
      <w:r>
        <w:t>Schedule 1 · Membership particulars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763"/>
            <w:shd w:val="clear" w:color="auto" w:fill="10375C"/>
          </w:tcPr>
          <w:p>
            <w:pPr>
              <w:spacing w:after="50" w:before="50"/>
            </w:pPr>
            <w:r>
              <w:rPr>
                <w:b/>
                <w:color w:val="FFFFFF"/>
                <w:sz w:val="17"/>
              </w:rPr>
              <w:t>Field</w:t>
            </w:r>
          </w:p>
        </w:tc>
        <w:tc>
          <w:tcPr>
            <w:tcW w:type="dxa" w:w="1704"/>
            <w:shd w:val="clear" w:color="auto" w:fill="10375C"/>
          </w:tcPr>
          <w:p>
            <w:pPr>
              <w:spacing w:after="50" w:before="50"/>
            </w:pPr>
            <w:r>
              <w:rPr>
                <w:b/>
                <w:color w:val="FFFFFF"/>
                <w:sz w:val="17"/>
              </w:rPr>
              <w:t>Entry</w:t>
            </w:r>
          </w:p>
        </w:tc>
      </w:tr>
      <w:tr>
        <w:tc>
          <w:tcPr>
            <w:tcW w:type="dxa" w:w="7763"/>
          </w:tcPr>
          <w:p>
            <w:pPr>
              <w:spacing w:after="50" w:before="50" w:line="252" w:lineRule="auto"/>
            </w:pPr>
            <w:r>
              <w:rPr>
                <w:sz w:val="17"/>
              </w:rPr>
              <w:t>Member, full legal name</w:t>
            </w:r>
          </w:p>
        </w:tc>
        <w:tc>
          <w:tcPr>
            <w:tcW w:type="dxa" w:w="1704"/>
          </w:tcPr>
          <w:p>
            <w:pPr>
              <w:spacing w:after="50" w:before="50" w:line="252" w:lineRule="auto"/>
            </w:pPr>
            <w:r>
              <w:rPr>
                <w:sz w:val="17"/>
              </w:rPr>
              <w:t>[●]</w:t>
            </w:r>
          </w:p>
        </w:tc>
      </w:tr>
      <w:tr>
        <w:tc>
          <w:tcPr>
            <w:tcW w:type="dxa" w:w="7763"/>
            <w:shd w:val="clear" w:color="auto" w:fill="EAF1F4"/>
          </w:tcPr>
          <w:p>
            <w:pPr>
              <w:spacing w:after="50" w:before="50" w:line="252" w:lineRule="auto"/>
            </w:pPr>
            <w:r>
              <w:rPr>
                <w:sz w:val="17"/>
              </w:rPr>
              <w:t>Campus or campuses covered</w:t>
            </w:r>
          </w:p>
        </w:tc>
        <w:tc>
          <w:tcPr>
            <w:tcW w:type="dxa" w:w="1704"/>
            <w:shd w:val="clear" w:color="auto" w:fill="EAF1F4"/>
          </w:tcPr>
          <w:p>
            <w:pPr>
              <w:spacing w:after="50" w:before="50" w:line="252" w:lineRule="auto"/>
            </w:pPr>
            <w:r>
              <w:rPr>
                <w:sz w:val="17"/>
              </w:rPr>
              <w:t>[●]</w:t>
            </w:r>
          </w:p>
        </w:tc>
      </w:tr>
      <w:tr>
        <w:tc>
          <w:tcPr>
            <w:tcW w:type="dxa" w:w="7763"/>
          </w:tcPr>
          <w:p>
            <w:pPr>
              <w:spacing w:after="50" w:before="50" w:line="252" w:lineRule="auto"/>
            </w:pPr>
            <w:r>
              <w:rPr>
                <w:sz w:val="17"/>
              </w:rPr>
              <w:t>Approximate students covered</w:t>
            </w:r>
          </w:p>
        </w:tc>
        <w:tc>
          <w:tcPr>
            <w:tcW w:type="dxa" w:w="1704"/>
          </w:tcPr>
          <w:p>
            <w:pPr>
              <w:spacing w:after="50" w:before="50" w:line="252" w:lineRule="auto"/>
            </w:pPr>
            <w:r>
              <w:rPr>
                <w:sz w:val="17"/>
              </w:rPr>
              <w:t>[●]</w:t>
            </w:r>
          </w:p>
        </w:tc>
      </w:tr>
      <w:tr>
        <w:tc>
          <w:tcPr>
            <w:tcW w:type="dxa" w:w="7763"/>
            <w:shd w:val="clear" w:color="auto" w:fill="EAF1F4"/>
          </w:tcPr>
          <w:p>
            <w:pPr>
              <w:spacing w:after="50" w:before="50" w:line="252" w:lineRule="auto"/>
            </w:pPr>
            <w:r>
              <w:rPr>
                <w:sz w:val="17"/>
              </w:rPr>
              <w:t>Approximate faculty covered</w:t>
            </w:r>
          </w:p>
        </w:tc>
        <w:tc>
          <w:tcPr>
            <w:tcW w:type="dxa" w:w="1704"/>
            <w:shd w:val="clear" w:color="auto" w:fill="EAF1F4"/>
          </w:tcPr>
          <w:p>
            <w:pPr>
              <w:spacing w:after="50" w:before="50" w:line="252" w:lineRule="auto"/>
            </w:pPr>
            <w:r>
              <w:rPr>
                <w:sz w:val="17"/>
              </w:rPr>
              <w:t>[●]</w:t>
            </w:r>
          </w:p>
        </w:tc>
      </w:tr>
      <w:tr>
        <w:tc>
          <w:tcPr>
            <w:tcW w:type="dxa" w:w="7763"/>
          </w:tcPr>
          <w:p>
            <w:pPr>
              <w:spacing w:after="50" w:before="50" w:line="252" w:lineRule="auto"/>
            </w:pPr>
            <w:r>
              <w:rPr>
                <w:sz w:val="17"/>
              </w:rPr>
              <w:t>Membership Year</w:t>
            </w:r>
          </w:p>
        </w:tc>
        <w:tc>
          <w:tcPr>
            <w:tcW w:type="dxa" w:w="1704"/>
          </w:tcPr>
          <w:p>
            <w:pPr>
              <w:spacing w:after="50" w:before="50" w:line="252" w:lineRule="auto"/>
            </w:pPr>
            <w:r>
              <w:rPr>
                <w:sz w:val="17"/>
              </w:rPr>
              <w:t>[●] to [●]</w:t>
            </w:r>
          </w:p>
        </w:tc>
      </w:tr>
      <w:tr>
        <w:tc>
          <w:tcPr>
            <w:tcW w:type="dxa" w:w="7763"/>
            <w:shd w:val="clear" w:color="auto" w:fill="EAF1F4"/>
          </w:tcPr>
          <w:p>
            <w:pPr>
              <w:spacing w:after="50" w:before="50" w:line="252" w:lineRule="auto"/>
            </w:pPr>
            <w:r>
              <w:rPr>
                <w:sz w:val="17"/>
              </w:rPr>
              <w:t>Annual fee</w:t>
            </w:r>
          </w:p>
        </w:tc>
        <w:tc>
          <w:tcPr>
            <w:tcW w:type="dxa" w:w="1704"/>
            <w:shd w:val="clear" w:color="auto" w:fill="EAF1F4"/>
          </w:tcPr>
          <w:p>
            <w:pPr>
              <w:spacing w:after="50" w:before="50" w:line="252" w:lineRule="auto"/>
            </w:pPr>
            <w:r>
              <w:rPr>
                <w:sz w:val="17"/>
              </w:rPr>
              <w:t>₹[●]</w:t>
            </w:r>
          </w:p>
        </w:tc>
      </w:tr>
      <w:tr>
        <w:tc>
          <w:tcPr>
            <w:tcW w:type="dxa" w:w="7763"/>
          </w:tcPr>
          <w:p>
            <w:pPr>
              <w:spacing w:after="50" w:before="50" w:line="252" w:lineRule="auto"/>
            </w:pPr>
            <w:r>
              <w:rPr>
                <w:sz w:val="17"/>
              </w:rPr>
              <w:t>Multi-year term, if any</w:t>
            </w:r>
          </w:p>
        </w:tc>
        <w:tc>
          <w:tcPr>
            <w:tcW w:type="dxa" w:w="1704"/>
          </w:tcPr>
          <w:p>
            <w:pPr>
              <w:spacing w:after="50" w:before="50" w:line="252" w:lineRule="auto"/>
            </w:pPr>
            <w:r>
              <w:rPr>
                <w:sz w:val="17"/>
              </w:rPr>
              <w:t>[●]</w:t>
            </w:r>
          </w:p>
        </w:tc>
      </w:tr>
      <w:tr>
        <w:tc>
          <w:tcPr>
            <w:tcW w:type="dxa" w:w="7763"/>
            <w:shd w:val="clear" w:color="auto" w:fill="EAF1F4"/>
          </w:tcPr>
          <w:p>
            <w:pPr>
              <w:spacing w:after="50" w:before="50" w:line="252" w:lineRule="auto"/>
            </w:pPr>
            <w:r>
              <w:rPr>
                <w:sz w:val="17"/>
              </w:rPr>
              <w:t>Additional campuses and fee, if any</w:t>
            </w:r>
          </w:p>
        </w:tc>
        <w:tc>
          <w:tcPr>
            <w:tcW w:type="dxa" w:w="1704"/>
            <w:shd w:val="clear" w:color="auto" w:fill="EAF1F4"/>
          </w:tcPr>
          <w:p>
            <w:pPr>
              <w:spacing w:after="50" w:before="50" w:line="252" w:lineRule="auto"/>
            </w:pPr>
            <w:r>
              <w:rPr>
                <w:sz w:val="17"/>
              </w:rPr>
              <w:t>[●]</w:t>
            </w:r>
          </w:p>
        </w:tc>
      </w:tr>
      <w:tr>
        <w:tc>
          <w:tcPr>
            <w:tcW w:type="dxa" w:w="7763"/>
          </w:tcPr>
          <w:p>
            <w:pPr>
              <w:spacing w:after="50" w:before="50" w:line="252" w:lineRule="auto"/>
            </w:pPr>
            <w:r>
              <w:rPr>
                <w:sz w:val="17"/>
              </w:rPr>
              <w:t>Member's contact person</w:t>
            </w:r>
          </w:p>
        </w:tc>
        <w:tc>
          <w:tcPr>
            <w:tcW w:type="dxa" w:w="1704"/>
          </w:tcPr>
          <w:p>
            <w:pPr>
              <w:spacing w:after="50" w:before="50" w:line="252" w:lineRule="auto"/>
            </w:pPr>
            <w:r>
              <w:rPr>
                <w:sz w:val="17"/>
              </w:rPr>
              <w:t>[●]</w:t>
            </w:r>
          </w:p>
        </w:tc>
      </w:tr>
      <w:tr>
        <w:tc>
          <w:tcPr>
            <w:tcW w:type="dxa" w:w="7763"/>
            <w:shd w:val="clear" w:color="auto" w:fill="EAF1F4"/>
          </w:tcPr>
          <w:p>
            <w:pPr>
              <w:spacing w:after="50" w:before="50" w:line="252" w:lineRule="auto"/>
            </w:pPr>
            <w:r>
              <w:rPr>
                <w:sz w:val="17"/>
              </w:rPr>
              <w:t>Institute's contact person</w:t>
            </w:r>
          </w:p>
        </w:tc>
        <w:tc>
          <w:tcPr>
            <w:tcW w:type="dxa" w:w="1704"/>
            <w:shd w:val="clear" w:color="auto" w:fill="EAF1F4"/>
          </w:tcPr>
          <w:p>
            <w:pPr>
              <w:spacing w:after="50" w:before="50" w:line="252" w:lineRule="auto"/>
            </w:pPr>
            <w:r>
              <w:rPr>
                <w:sz w:val="17"/>
              </w:rPr>
              <w:t>[●]</w:t>
            </w:r>
          </w:p>
        </w:tc>
      </w:tr>
      <w:tr>
        <w:tc>
          <w:tcPr>
            <w:tcW w:type="dxa" w:w="7763"/>
          </w:tcPr>
          <w:p>
            <w:pPr>
              <w:spacing w:after="50" w:before="50" w:line="252" w:lineRule="auto"/>
            </w:pPr>
            <w:r>
              <w:rPr>
                <w:sz w:val="17"/>
              </w:rPr>
              <w:t>Invoicing contact and address</w:t>
            </w:r>
          </w:p>
        </w:tc>
        <w:tc>
          <w:tcPr>
            <w:tcW w:type="dxa" w:w="1704"/>
          </w:tcPr>
          <w:p>
            <w:pPr>
              <w:spacing w:after="50" w:before="50" w:line="252" w:lineRule="auto"/>
            </w:pPr>
            <w:r>
              <w:rPr>
                <w:sz w:val="17"/>
              </w:rPr>
              <w:t>[●]</w:t>
            </w:r>
          </w:p>
        </w:tc>
      </w:tr>
      <w:tr>
        <w:tc>
          <w:tcPr>
            <w:tcW w:type="dxa" w:w="7763"/>
            <w:shd w:val="clear" w:color="auto" w:fill="EAF1F4"/>
          </w:tcPr>
          <w:p>
            <w:pPr>
              <w:spacing w:after="50" w:before="50" w:line="252" w:lineRule="auto"/>
            </w:pPr>
            <w:r>
              <w:rPr>
                <w:sz w:val="17"/>
              </w:rPr>
              <w:t>Purchase order required?</w:t>
            </w:r>
          </w:p>
        </w:tc>
        <w:tc>
          <w:tcPr>
            <w:tcW w:type="dxa" w:w="1704"/>
            <w:shd w:val="clear" w:color="auto" w:fill="EAF1F4"/>
          </w:tcPr>
          <w:p>
            <w:pPr>
              <w:spacing w:after="50" w:before="50" w:line="252" w:lineRule="auto"/>
            </w:pPr>
            <w:r>
              <w:rPr>
                <w:sz w:val="17"/>
              </w:rPr>
              <w:t>Yes / No</w:t>
            </w:r>
          </w:p>
        </w:tc>
      </w:tr>
    </w:tbl>
    <w:p>
      <w:pPr>
        <w:spacing w:after="80" w:before="0"/>
      </w:pPr>
    </w:p>
    <w:p>
      <w:pPr>
        <w:pStyle w:val="Heading1"/>
        <w:pBdr>
          <w:bottom w:val="single" w:sz="8" w:space="4" w:color="C9D6DE"/>
        </w:pBdr>
      </w:pPr>
      <w:r>
        <w:t>Schedule 2 · Utilisation record</w:t>
      </w:r>
    </w:p>
    <w:p>
      <w:r>
        <w:rPr>
          <w:i/>
        </w:rPr>
        <w:t>Maintained by the Institute; reported to the Member at month nine and at renewal.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1009"/>
            <w:shd w:val="clear" w:color="auto" w:fill="10375C"/>
          </w:tcPr>
          <w:p>
            <w:pPr>
              <w:spacing w:after="50" w:before="50"/>
            </w:pPr>
            <w:r>
              <w:rPr>
                <w:b/>
                <w:color w:val="FFFFFF"/>
                <w:sz w:val="17"/>
              </w:rPr>
              <w:t>#</w:t>
            </w:r>
          </w:p>
        </w:tc>
        <w:tc>
          <w:tcPr>
            <w:tcW w:type="dxa" w:w="4404"/>
            <w:shd w:val="clear" w:color="auto" w:fill="10375C"/>
          </w:tcPr>
          <w:p>
            <w:pPr>
              <w:spacing w:after="50" w:before="50"/>
            </w:pPr>
            <w:r>
              <w:rPr>
                <w:b/>
                <w:color w:val="FFFFFF"/>
                <w:sz w:val="17"/>
              </w:rPr>
              <w:t>Inclusion</w:t>
            </w:r>
          </w:p>
        </w:tc>
        <w:tc>
          <w:tcPr>
            <w:tcW w:type="dxa" w:w="1026"/>
            <w:shd w:val="clear" w:color="auto" w:fill="10375C"/>
          </w:tcPr>
          <w:p>
            <w:pPr>
              <w:spacing w:after="50" w:before="50"/>
            </w:pPr>
            <w:r>
              <w:rPr>
                <w:b/>
                <w:color w:val="FFFFFF"/>
                <w:sz w:val="17"/>
              </w:rPr>
              <w:t>Entitlement</w:t>
            </w:r>
          </w:p>
        </w:tc>
        <w:tc>
          <w:tcPr>
            <w:tcW w:type="dxa" w:w="1009"/>
            <w:shd w:val="clear" w:color="auto" w:fill="10375C"/>
          </w:tcPr>
          <w:p>
            <w:pPr>
              <w:spacing w:after="50" w:before="50"/>
            </w:pPr>
            <w:r>
              <w:rPr>
                <w:b/>
                <w:color w:val="FFFFFF"/>
                <w:sz w:val="17"/>
              </w:rPr>
              <w:t>Used</w:t>
            </w:r>
          </w:p>
        </w:tc>
        <w:tc>
          <w:tcPr>
            <w:tcW w:type="dxa" w:w="1009"/>
            <w:shd w:val="clear" w:color="auto" w:fill="10375C"/>
          </w:tcPr>
          <w:p>
            <w:pPr>
              <w:spacing w:after="50" w:before="50"/>
            </w:pPr>
            <w:r>
              <w:rPr>
                <w:b/>
                <w:color w:val="FFFFFF"/>
                <w:sz w:val="17"/>
              </w:rPr>
              <w:t>Date</w:t>
            </w:r>
          </w:p>
        </w:tc>
        <w:tc>
          <w:tcPr>
            <w:tcW w:type="dxa" w:w="1009"/>
            <w:shd w:val="clear" w:color="auto" w:fill="10375C"/>
          </w:tcPr>
          <w:p>
            <w:pPr>
              <w:spacing w:after="50" w:before="50"/>
            </w:pPr>
            <w:r>
              <w:rPr>
                <w:b/>
                <w:color w:val="FFFFFF"/>
                <w:sz w:val="17"/>
              </w:rPr>
              <w:t>Remaining</w:t>
            </w:r>
          </w:p>
        </w:tc>
      </w:tr>
      <w:tr>
        <w:tc>
          <w:tcPr>
            <w:tcW w:type="dxa" w:w="1009"/>
          </w:tcPr>
          <w:p>
            <w:pPr>
              <w:spacing w:after="50" w:before="50" w:line="252" w:lineRule="auto"/>
            </w:pPr>
            <w:r>
              <w:rPr>
                <w:sz w:val="17"/>
              </w:rPr>
              <w:t>2</w:t>
            </w:r>
          </w:p>
        </w:tc>
        <w:tc>
          <w:tcPr>
            <w:tcW w:type="dxa" w:w="4404"/>
          </w:tcPr>
          <w:p>
            <w:pPr>
              <w:spacing w:after="50" w:before="50" w:line="252" w:lineRule="auto"/>
            </w:pPr>
            <w:r>
              <w:rPr>
                <w:sz w:val="17"/>
              </w:rPr>
              <w:t>Half-day workshop</w:t>
            </w:r>
          </w:p>
        </w:tc>
        <w:tc>
          <w:tcPr>
            <w:tcW w:type="dxa" w:w="1026"/>
          </w:tcPr>
          <w:p>
            <w:pPr>
              <w:spacing w:after="50" w:before="50" w:line="252" w:lineRule="auto"/>
            </w:pPr>
            <w:r>
              <w:rPr>
                <w:sz w:val="17"/>
              </w:rPr>
              <w:t>1</w:t>
            </w:r>
          </w:p>
        </w:tc>
        <w:tc>
          <w:tcPr>
            <w:tcW w:type="dxa" w:w="1009"/>
          </w:tcPr>
          <w:p>
            <w:pPr>
              <w:spacing w:after="50" w:before="50" w:line="252" w:lineRule="auto"/>
            </w:pPr>
          </w:p>
        </w:tc>
        <w:tc>
          <w:tcPr>
            <w:tcW w:type="dxa" w:w="1009"/>
          </w:tcPr>
          <w:p>
            <w:pPr>
              <w:spacing w:after="50" w:before="50" w:line="252" w:lineRule="auto"/>
            </w:pPr>
          </w:p>
        </w:tc>
        <w:tc>
          <w:tcPr>
            <w:tcW w:type="dxa" w:w="1009"/>
          </w:tcPr>
          <w:p>
            <w:pPr>
              <w:spacing w:after="50" w:before="50" w:line="252" w:lineRule="auto"/>
            </w:pPr>
          </w:p>
        </w:tc>
      </w:tr>
      <w:tr>
        <w:tc>
          <w:tcPr>
            <w:tcW w:type="dxa" w:w="1009"/>
            <w:shd w:val="clear" w:color="auto" w:fill="EAF1F4"/>
          </w:tcPr>
          <w:p>
            <w:pPr>
              <w:spacing w:after="50" w:before="50" w:line="252" w:lineRule="auto"/>
            </w:pPr>
            <w:r>
              <w:rPr>
                <w:sz w:val="17"/>
              </w:rPr>
              <w:t>3</w:t>
            </w:r>
          </w:p>
        </w:tc>
        <w:tc>
          <w:tcPr>
            <w:tcW w:type="dxa" w:w="4404"/>
            <w:shd w:val="clear" w:color="auto" w:fill="EAF1F4"/>
          </w:tcPr>
          <w:p>
            <w:pPr>
              <w:spacing w:after="50" w:before="50" w:line="252" w:lineRule="auto"/>
            </w:pPr>
            <w:r>
              <w:rPr>
                <w:sz w:val="17"/>
              </w:rPr>
              <w:t>Competition entries</w:t>
            </w:r>
          </w:p>
        </w:tc>
        <w:tc>
          <w:tcPr>
            <w:tcW w:type="dxa" w:w="1026"/>
            <w:shd w:val="clear" w:color="auto" w:fill="EAF1F4"/>
          </w:tcPr>
          <w:p>
            <w:pPr>
              <w:spacing w:after="50" w:before="50" w:line="252" w:lineRule="auto"/>
            </w:pPr>
            <w:r>
              <w:rPr>
                <w:sz w:val="17"/>
              </w:rPr>
              <w:t>2</w:t>
            </w: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r>
      <w:tr>
        <w:tc>
          <w:tcPr>
            <w:tcW w:type="dxa" w:w="1009"/>
          </w:tcPr>
          <w:p>
            <w:pPr>
              <w:spacing w:after="50" w:before="50" w:line="252" w:lineRule="auto"/>
            </w:pPr>
            <w:r>
              <w:rPr>
                <w:sz w:val="17"/>
              </w:rPr>
              <w:t>4</w:t>
            </w:r>
          </w:p>
        </w:tc>
        <w:tc>
          <w:tcPr>
            <w:tcW w:type="dxa" w:w="4404"/>
          </w:tcPr>
          <w:p>
            <w:pPr>
              <w:spacing w:after="50" w:before="50" w:line="252" w:lineRule="auto"/>
            </w:pPr>
            <w:r>
              <w:rPr>
                <w:sz w:val="17"/>
              </w:rPr>
              <w:t>Guest lecture</w:t>
            </w:r>
          </w:p>
        </w:tc>
        <w:tc>
          <w:tcPr>
            <w:tcW w:type="dxa" w:w="1026"/>
          </w:tcPr>
          <w:p>
            <w:pPr>
              <w:spacing w:after="50" w:before="50" w:line="252" w:lineRule="auto"/>
            </w:pPr>
            <w:r>
              <w:rPr>
                <w:sz w:val="17"/>
              </w:rPr>
              <w:t>1</w:t>
            </w:r>
          </w:p>
        </w:tc>
        <w:tc>
          <w:tcPr>
            <w:tcW w:type="dxa" w:w="1009"/>
          </w:tcPr>
          <w:p>
            <w:pPr>
              <w:spacing w:after="50" w:before="50" w:line="252" w:lineRule="auto"/>
            </w:pPr>
          </w:p>
        </w:tc>
        <w:tc>
          <w:tcPr>
            <w:tcW w:type="dxa" w:w="1009"/>
          </w:tcPr>
          <w:p>
            <w:pPr>
              <w:spacing w:after="50" w:before="50" w:line="252" w:lineRule="auto"/>
            </w:pPr>
          </w:p>
        </w:tc>
        <w:tc>
          <w:tcPr>
            <w:tcW w:type="dxa" w:w="1009"/>
          </w:tcPr>
          <w:p>
            <w:pPr>
              <w:spacing w:after="50" w:before="50" w:line="252" w:lineRule="auto"/>
            </w:pPr>
          </w:p>
        </w:tc>
      </w:tr>
      <w:tr>
        <w:tc>
          <w:tcPr>
            <w:tcW w:type="dxa" w:w="1009"/>
            <w:shd w:val="clear" w:color="auto" w:fill="EAF1F4"/>
          </w:tcPr>
          <w:p>
            <w:pPr>
              <w:spacing w:after="50" w:before="50" w:line="252" w:lineRule="auto"/>
            </w:pPr>
            <w:r>
              <w:rPr>
                <w:sz w:val="17"/>
              </w:rPr>
              <w:t>5</w:t>
            </w:r>
          </w:p>
        </w:tc>
        <w:tc>
          <w:tcPr>
            <w:tcW w:type="dxa" w:w="4404"/>
            <w:shd w:val="clear" w:color="auto" w:fill="EAF1F4"/>
          </w:tcPr>
          <w:p>
            <w:pPr>
              <w:spacing w:after="50" w:before="50" w:line="252" w:lineRule="auto"/>
            </w:pPr>
            <w:r>
              <w:rPr>
                <w:sz w:val="17"/>
              </w:rPr>
              <w:t>Curriculum consultation</w:t>
            </w:r>
          </w:p>
        </w:tc>
        <w:tc>
          <w:tcPr>
            <w:tcW w:type="dxa" w:w="1026"/>
            <w:shd w:val="clear" w:color="auto" w:fill="EAF1F4"/>
          </w:tcPr>
          <w:p>
            <w:pPr>
              <w:spacing w:after="50" w:before="50" w:line="252" w:lineRule="auto"/>
            </w:pPr>
            <w:r>
              <w:rPr>
                <w:sz w:val="17"/>
              </w:rPr>
              <w:t>2</w:t>
            </w: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r>
      <w:tr>
        <w:tc>
          <w:tcPr>
            <w:tcW w:type="dxa" w:w="1009"/>
          </w:tcPr>
          <w:p>
            <w:pPr>
              <w:spacing w:after="50" w:before="50" w:line="252" w:lineRule="auto"/>
            </w:pPr>
            <w:r>
              <w:rPr>
                <w:sz w:val="17"/>
              </w:rPr>
              <w:t>7</w:t>
            </w:r>
          </w:p>
        </w:tc>
        <w:tc>
          <w:tcPr>
            <w:tcW w:type="dxa" w:w="4404"/>
          </w:tcPr>
          <w:p>
            <w:pPr>
              <w:spacing w:after="50" w:before="50" w:line="252" w:lineRule="auto"/>
            </w:pPr>
            <w:r>
              <w:rPr>
                <w:sz w:val="17"/>
              </w:rPr>
              <w:t>Internship nominations</w:t>
            </w:r>
          </w:p>
        </w:tc>
        <w:tc>
          <w:tcPr>
            <w:tcW w:type="dxa" w:w="1026"/>
          </w:tcPr>
          <w:p>
            <w:pPr>
              <w:spacing w:after="50" w:before="50" w:line="252" w:lineRule="auto"/>
            </w:pPr>
            <w:r>
              <w:rPr>
                <w:sz w:val="17"/>
              </w:rPr>
              <w:t>5</w:t>
            </w:r>
          </w:p>
        </w:tc>
        <w:tc>
          <w:tcPr>
            <w:tcW w:type="dxa" w:w="1009"/>
          </w:tcPr>
          <w:p>
            <w:pPr>
              <w:spacing w:after="50" w:before="50" w:line="252" w:lineRule="auto"/>
            </w:pPr>
          </w:p>
        </w:tc>
        <w:tc>
          <w:tcPr>
            <w:tcW w:type="dxa" w:w="1009"/>
          </w:tcPr>
          <w:p>
            <w:pPr>
              <w:spacing w:after="50" w:before="50" w:line="252" w:lineRule="auto"/>
            </w:pPr>
          </w:p>
        </w:tc>
        <w:tc>
          <w:tcPr>
            <w:tcW w:type="dxa" w:w="1009"/>
          </w:tcPr>
          <w:p>
            <w:pPr>
              <w:spacing w:after="50" w:before="50" w:line="252" w:lineRule="auto"/>
            </w:pPr>
          </w:p>
        </w:tc>
      </w:tr>
      <w:tr>
        <w:tc>
          <w:tcPr>
            <w:tcW w:type="dxa" w:w="1009"/>
            <w:shd w:val="clear" w:color="auto" w:fill="EAF1F4"/>
          </w:tcPr>
          <w:p>
            <w:pPr>
              <w:spacing w:after="50" w:before="50" w:line="252" w:lineRule="auto"/>
            </w:pPr>
            <w:r>
              <w:rPr>
                <w:sz w:val="17"/>
              </w:rPr>
              <w:t>8</w:t>
            </w:r>
          </w:p>
        </w:tc>
        <w:tc>
          <w:tcPr>
            <w:tcW w:type="dxa" w:w="4404"/>
            <w:shd w:val="clear" w:color="auto" w:fill="EAF1F4"/>
          </w:tcPr>
          <w:p>
            <w:pPr>
              <w:spacing w:after="50" w:before="50" w:line="252" w:lineRule="auto"/>
            </w:pPr>
            <w:r>
              <w:rPr>
                <w:sz w:val="17"/>
              </w:rPr>
              <w:t>Discounted purchases</w:t>
            </w:r>
          </w:p>
        </w:tc>
        <w:tc>
          <w:tcPr>
            <w:tcW w:type="dxa" w:w="1026"/>
            <w:shd w:val="clear" w:color="auto" w:fill="EAF1F4"/>
          </w:tcPr>
          <w:p>
            <w:pPr>
              <w:spacing w:after="50" w:before="50" w:line="252" w:lineRule="auto"/>
            </w:pPr>
            <w:r>
              <w:rPr>
                <w:sz w:val="17"/>
              </w:rPr>
              <w:t>—</w:t>
            </w: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c>
          <w:tcPr>
            <w:tcW w:type="dxa" w:w="1009"/>
            <w:shd w:val="clear" w:color="auto" w:fill="EAF1F4"/>
          </w:tcPr>
          <w:p>
            <w:pPr>
              <w:spacing w:after="50" w:before="50" w:line="252" w:lineRule="auto"/>
            </w:pPr>
          </w:p>
        </w:tc>
      </w:tr>
      <w:tr>
        <w:tc>
          <w:tcPr>
            <w:tcW w:type="dxa" w:w="1009"/>
          </w:tcPr>
          <w:p>
            <w:pPr>
              <w:spacing w:after="50" w:before="50" w:line="252" w:lineRule="auto"/>
            </w:pPr>
            <w:r>
              <w:rPr>
                <w:sz w:val="17"/>
              </w:rPr>
              <w:t>12</w:t>
            </w:r>
          </w:p>
        </w:tc>
        <w:tc>
          <w:tcPr>
            <w:tcW w:type="dxa" w:w="4404"/>
          </w:tcPr>
          <w:p>
            <w:pPr>
              <w:spacing w:after="50" w:before="50" w:line="252" w:lineRule="auto"/>
            </w:pPr>
            <w:r>
              <w:rPr>
                <w:sz w:val="17"/>
              </w:rPr>
              <w:t>Annual activity report</w:t>
            </w:r>
          </w:p>
        </w:tc>
        <w:tc>
          <w:tcPr>
            <w:tcW w:type="dxa" w:w="1026"/>
          </w:tcPr>
          <w:p>
            <w:pPr>
              <w:spacing w:after="50" w:before="50" w:line="252" w:lineRule="auto"/>
            </w:pPr>
            <w:r>
              <w:rPr>
                <w:sz w:val="17"/>
              </w:rPr>
              <w:t>1</w:t>
            </w:r>
          </w:p>
        </w:tc>
        <w:tc>
          <w:tcPr>
            <w:tcW w:type="dxa" w:w="1009"/>
          </w:tcPr>
          <w:p>
            <w:pPr>
              <w:spacing w:after="50" w:before="50" w:line="252" w:lineRule="auto"/>
            </w:pPr>
          </w:p>
        </w:tc>
        <w:tc>
          <w:tcPr>
            <w:tcW w:type="dxa" w:w="1009"/>
          </w:tcPr>
          <w:p>
            <w:pPr>
              <w:spacing w:after="50" w:before="50" w:line="252" w:lineRule="auto"/>
            </w:pPr>
          </w:p>
        </w:tc>
        <w:tc>
          <w:tcPr>
            <w:tcW w:type="dxa" w:w="1009"/>
          </w:tcPr>
          <w:p>
            <w:pPr>
              <w:spacing w:after="50" w:before="50" w:line="252" w:lineRule="auto"/>
            </w:pP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EQ-UAP-113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Institutional Membership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4362A8-FAC7-4DA6-8334-B55A42DA02E7}"/>
</file>

<file path=customXml/itemProps3.xml><?xml version="1.0" encoding="utf-8"?>
<ds:datastoreItem xmlns:ds="http://schemas.openxmlformats.org/officeDocument/2006/customXml" ds:itemID="{88A29AC7-9CAE-422A-84F1-DDC89532A8E9}"/>
</file>

<file path=customXml/itemProps4.xml><?xml version="1.0" encoding="utf-8"?>
<ds:datastoreItem xmlns:ds="http://schemas.openxmlformats.org/officeDocument/2006/customXml" ds:itemID="{5AAC5EB3-9368-42EC-9FF9-274CF416E93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