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Schedules A to D — Academic Engagement</w:t>
      </w:r>
    </w:p>
    <w:p>
      <w:pPr>
        <w:spacing w:after="280" w:line="276" w:lineRule="auto"/>
      </w:pPr>
      <w:r>
        <w:rPr>
          <w:rFonts w:ascii="Calibri" w:hAnsi="Calibri"/>
          <w:i/>
          <w:color w:val="3E6B8A"/>
          <w:sz w:val="25"/>
        </w:rPr>
        <w:t>Internships and academic credit · Training and certification · Competitions · Workshops, conferences and events</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EQ-UAP-032</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Contracting</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Contract template</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Note on use</w:t>
      </w:r>
    </w:p>
    <w:p>
      <w:r>
        <w:t>These Schedules form part of the Master Memorandum of Understanding (EQ-UAP-031) and are to be read with it. Terms defined in the Memorandum have the same meaning here.</w:t>
      </w:r>
    </w:p>
    <w:p>
      <w:r>
        <w:t>Attach only the Schedules that apply. Each is drafted to be varied to the institution; the body of the Memorandum is not.</w:t>
      </w:r>
    </w:p>
    <w:p>
      <w:pPr>
        <w:spacing w:before="80" w:after="160"/>
        <w:pBdr>
          <w:bottom w:val="single" w:sz="6" w:space="1" w:color="C9D6DE"/>
        </w:pBdr>
      </w:pPr>
    </w:p>
    <w:p>
      <w:r>
        <w:br w:type="page"/>
      </w:r>
    </w:p>
    <w:p>
      <w:pPr>
        <w:pStyle w:val="Heading1"/>
        <w:pBdr>
          <w:bottom w:val="single" w:sz="8" w:space="4" w:color="C9D6DE"/>
        </w:pBdr>
      </w:pPr>
      <w:r>
        <w:t>SCHEDULE A · Internships and Academic Credit</w:t>
      </w:r>
    </w:p>
    <w:p>
      <w:pPr>
        <w:pStyle w:val="Heading2"/>
      </w:pPr>
      <w:r>
        <w:t>A1. Purpose</w:t>
      </w:r>
    </w:p>
    <w:p>
      <w:r>
        <w:t>This Schedule provides for structured internship and experiential learning placements with the Institute and, where applicable, with Equator Resolution, designed so that the University may, if it so determines under its own regulations, award academic credit in accordance with applicable University Grants Commission guidance on internship and apprenticeship embedded degree programmes.</w:t>
      </w:r>
    </w:p>
    <w:p>
      <w:pPr>
        <w:pStyle w:val="Heading2"/>
      </w:pPr>
      <w:r>
        <w:t>A2. The internship ladder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850"/>
            <w:shd w:val="clear" w:color="auto" w:fill="10375C"/>
          </w:tcPr>
          <w:p>
            <w:pPr>
              <w:spacing w:after="50" w:before="50"/>
            </w:pPr>
            <w:r>
              <w:rPr>
                <w:b/>
                <w:color w:val="FFFFFF"/>
                <w:sz w:val="17"/>
              </w:rPr>
              <w:t>Level</w:t>
            </w:r>
          </w:p>
        </w:tc>
        <w:tc>
          <w:tcPr>
            <w:tcW w:type="dxa" w:w="1324"/>
            <w:shd w:val="clear" w:color="auto" w:fill="10375C"/>
          </w:tcPr>
          <w:p>
            <w:pPr>
              <w:spacing w:after="50" w:before="50"/>
            </w:pPr>
            <w:r>
              <w:rPr>
                <w:b/>
                <w:color w:val="FFFFFF"/>
                <w:sz w:val="17"/>
              </w:rPr>
              <w:t>Title</w:t>
            </w:r>
          </w:p>
        </w:tc>
        <w:tc>
          <w:tcPr>
            <w:tcW w:type="dxa" w:w="850"/>
            <w:shd w:val="clear" w:color="auto" w:fill="10375C"/>
          </w:tcPr>
          <w:p>
            <w:pPr>
              <w:spacing w:after="50" w:before="50"/>
            </w:pPr>
            <w:r>
              <w:rPr>
                <w:b/>
                <w:color w:val="FFFFFF"/>
                <w:sz w:val="17"/>
              </w:rPr>
              <w:t>Duration</w:t>
            </w:r>
          </w:p>
        </w:tc>
        <w:tc>
          <w:tcPr>
            <w:tcW w:type="dxa" w:w="2742"/>
            <w:shd w:val="clear" w:color="auto" w:fill="10375C"/>
          </w:tcPr>
          <w:p>
            <w:pPr>
              <w:spacing w:after="50" w:before="50"/>
            </w:pPr>
            <w:r>
              <w:rPr>
                <w:b/>
                <w:color w:val="FFFFFF"/>
                <w:sz w:val="17"/>
              </w:rPr>
              <w:t>Eligibility</w:t>
            </w:r>
          </w:p>
        </w:tc>
        <w:tc>
          <w:tcPr>
            <w:tcW w:type="dxa" w:w="4003"/>
            <w:shd w:val="clear" w:color="auto" w:fill="10375C"/>
          </w:tcPr>
          <w:p>
            <w:pPr>
              <w:spacing w:after="50" w:before="50"/>
            </w:pPr>
            <w:r>
              <w:rPr>
                <w:b/>
                <w:color w:val="FFFFFF"/>
                <w:sz w:val="17"/>
              </w:rPr>
              <w:t>Principal content</w:t>
            </w:r>
          </w:p>
        </w:tc>
      </w:tr>
      <w:tr>
        <w:tc>
          <w:tcPr>
            <w:tcW w:type="dxa" w:w="850"/>
          </w:tcPr>
          <w:p>
            <w:pPr>
              <w:spacing w:after="50" w:before="50" w:line="252" w:lineRule="auto"/>
            </w:pPr>
            <w:r>
              <w:rPr>
                <w:b/>
                <w:sz w:val="17"/>
              </w:rPr>
              <w:t>I</w:t>
            </w:r>
          </w:p>
        </w:tc>
        <w:tc>
          <w:tcPr>
            <w:tcW w:type="dxa" w:w="1324"/>
          </w:tcPr>
          <w:p>
            <w:pPr>
              <w:spacing w:after="50" w:before="50" w:line="252" w:lineRule="auto"/>
            </w:pPr>
            <w:r>
              <w:rPr>
                <w:sz w:val="17"/>
              </w:rPr>
              <w:t>Observership</w:t>
            </w:r>
          </w:p>
        </w:tc>
        <w:tc>
          <w:tcPr>
            <w:tcW w:type="dxa" w:w="850"/>
          </w:tcPr>
          <w:p>
            <w:pPr>
              <w:spacing w:after="50" w:before="50" w:line="252" w:lineRule="auto"/>
            </w:pPr>
            <w:r>
              <w:rPr>
                <w:sz w:val="17"/>
              </w:rPr>
              <w:t>2–4 weeks</w:t>
            </w:r>
          </w:p>
        </w:tc>
        <w:tc>
          <w:tcPr>
            <w:tcW w:type="dxa" w:w="2742"/>
          </w:tcPr>
          <w:p>
            <w:pPr>
              <w:spacing w:after="50" w:before="50" w:line="252" w:lineRule="auto"/>
            </w:pPr>
            <w:r>
              <w:rPr>
                <w:sz w:val="17"/>
              </w:rPr>
              <w:t>Any enrolled student</w:t>
            </w:r>
          </w:p>
        </w:tc>
        <w:tc>
          <w:tcPr>
            <w:tcW w:type="dxa" w:w="4003"/>
          </w:tcPr>
          <w:p>
            <w:pPr>
              <w:spacing w:after="50" w:before="50" w:line="252" w:lineRule="auto"/>
            </w:pPr>
            <w:r>
              <w:rPr>
                <w:sz w:val="17"/>
              </w:rPr>
              <w:t>Institutional orientation; process observation; procedural documentation; ADR research tasks; no client contact</w:t>
            </w:r>
          </w:p>
        </w:tc>
      </w:tr>
      <w:tr>
        <w:tc>
          <w:tcPr>
            <w:tcW w:type="dxa" w:w="850"/>
            <w:shd w:val="clear" w:color="auto" w:fill="EAF1F4"/>
          </w:tcPr>
          <w:p>
            <w:pPr>
              <w:spacing w:after="50" w:before="50" w:line="252" w:lineRule="auto"/>
            </w:pPr>
            <w:r>
              <w:rPr>
                <w:b/>
                <w:sz w:val="17"/>
              </w:rPr>
              <w:t>II</w:t>
            </w:r>
          </w:p>
        </w:tc>
        <w:tc>
          <w:tcPr>
            <w:tcW w:type="dxa" w:w="1324"/>
            <w:shd w:val="clear" w:color="auto" w:fill="EAF1F4"/>
          </w:tcPr>
          <w:p>
            <w:pPr>
              <w:spacing w:after="50" w:before="50" w:line="252" w:lineRule="auto"/>
            </w:pPr>
            <w:r>
              <w:rPr>
                <w:sz w:val="17"/>
              </w:rPr>
              <w:t>Case Support</w:t>
            </w:r>
          </w:p>
        </w:tc>
        <w:tc>
          <w:tcPr>
            <w:tcW w:type="dxa" w:w="850"/>
            <w:shd w:val="clear" w:color="auto" w:fill="EAF1F4"/>
          </w:tcPr>
          <w:p>
            <w:pPr>
              <w:spacing w:after="50" w:before="50" w:line="252" w:lineRule="auto"/>
            </w:pPr>
            <w:r>
              <w:rPr>
                <w:sz w:val="17"/>
              </w:rPr>
              <w:t>4–8 weeks</w:t>
            </w:r>
          </w:p>
        </w:tc>
        <w:tc>
          <w:tcPr>
            <w:tcW w:type="dxa" w:w="2742"/>
            <w:shd w:val="clear" w:color="auto" w:fill="EAF1F4"/>
          </w:tcPr>
          <w:p>
            <w:pPr>
              <w:spacing w:after="50" w:before="50" w:line="252" w:lineRule="auto"/>
            </w:pPr>
            <w:r>
              <w:rPr>
                <w:sz w:val="17"/>
              </w:rPr>
              <w:t>Level I completed, or 40-hour certificate</w:t>
            </w:r>
          </w:p>
        </w:tc>
        <w:tc>
          <w:tcPr>
            <w:tcW w:type="dxa" w:w="4003"/>
            <w:shd w:val="clear" w:color="auto" w:fill="EAF1F4"/>
          </w:tcPr>
          <w:p>
            <w:pPr>
              <w:spacing w:after="50" w:before="50" w:line="252" w:lineRule="auto"/>
            </w:pPr>
            <w:r>
              <w:rPr>
                <w:sz w:val="17"/>
              </w:rPr>
              <w:t>Intake support, file preparation, scheduling, drafting of process documents, supervised note-taking</w:t>
            </w:r>
          </w:p>
        </w:tc>
      </w:tr>
      <w:tr>
        <w:tc>
          <w:tcPr>
            <w:tcW w:type="dxa" w:w="850"/>
          </w:tcPr>
          <w:p>
            <w:pPr>
              <w:spacing w:after="50" w:before="50" w:line="252" w:lineRule="auto"/>
            </w:pPr>
            <w:r>
              <w:rPr>
                <w:b/>
                <w:sz w:val="17"/>
              </w:rPr>
              <w:t>III</w:t>
            </w:r>
          </w:p>
        </w:tc>
        <w:tc>
          <w:tcPr>
            <w:tcW w:type="dxa" w:w="1324"/>
          </w:tcPr>
          <w:p>
            <w:pPr>
              <w:spacing w:after="50" w:before="50" w:line="252" w:lineRule="auto"/>
            </w:pPr>
            <w:r>
              <w:rPr>
                <w:sz w:val="17"/>
              </w:rPr>
              <w:t>Advanced Placement</w:t>
            </w:r>
          </w:p>
        </w:tc>
        <w:tc>
          <w:tcPr>
            <w:tcW w:type="dxa" w:w="850"/>
          </w:tcPr>
          <w:p>
            <w:pPr>
              <w:spacing w:after="50" w:before="50" w:line="252" w:lineRule="auto"/>
            </w:pPr>
            <w:r>
              <w:rPr>
                <w:sz w:val="17"/>
              </w:rPr>
              <w:t>8–12 weeks</w:t>
            </w:r>
          </w:p>
        </w:tc>
        <w:tc>
          <w:tcPr>
            <w:tcW w:type="dxa" w:w="2742"/>
          </w:tcPr>
          <w:p>
            <w:pPr>
              <w:spacing w:after="50" w:before="50" w:line="252" w:lineRule="auto"/>
            </w:pPr>
            <w:r>
              <w:rPr>
                <w:sz w:val="17"/>
              </w:rPr>
              <w:t>Level II completed and 40-hour certificate</w:t>
            </w:r>
          </w:p>
        </w:tc>
        <w:tc>
          <w:tcPr>
            <w:tcW w:type="dxa" w:w="4003"/>
          </w:tcPr>
          <w:p>
            <w:pPr>
              <w:spacing w:after="50" w:before="50" w:line="252" w:lineRule="auto"/>
            </w:pPr>
            <w:r>
              <w:rPr>
                <w:sz w:val="17"/>
              </w:rPr>
              <w:t>Co-mediation observation, settlement drafting support, research and casework under named supervision</w:t>
            </w:r>
          </w:p>
        </w:tc>
      </w:tr>
      <w:tr>
        <w:tc>
          <w:tcPr>
            <w:tcW w:type="dxa" w:w="850"/>
            <w:shd w:val="clear" w:color="auto" w:fill="EAF1F4"/>
          </w:tcPr>
          <w:p>
            <w:pPr>
              <w:spacing w:after="50" w:before="50" w:line="252" w:lineRule="auto"/>
            </w:pPr>
            <w:r>
              <w:rPr>
                <w:b/>
                <w:sz w:val="17"/>
              </w:rPr>
              <w:t>IV</w:t>
            </w:r>
          </w:p>
        </w:tc>
        <w:tc>
          <w:tcPr>
            <w:tcW w:type="dxa" w:w="1324"/>
            <w:shd w:val="clear" w:color="auto" w:fill="EAF1F4"/>
          </w:tcPr>
          <w:p>
            <w:pPr>
              <w:spacing w:after="50" w:before="50" w:line="252" w:lineRule="auto"/>
            </w:pPr>
            <w:r>
              <w:rPr>
                <w:sz w:val="17"/>
              </w:rPr>
              <w:t>Research Internship</w:t>
            </w:r>
          </w:p>
        </w:tc>
        <w:tc>
          <w:tcPr>
            <w:tcW w:type="dxa" w:w="850"/>
            <w:shd w:val="clear" w:color="auto" w:fill="EAF1F4"/>
          </w:tcPr>
          <w:p>
            <w:pPr>
              <w:spacing w:after="50" w:before="50" w:line="252" w:lineRule="auto"/>
            </w:pPr>
            <w:r>
              <w:rPr>
                <w:sz w:val="17"/>
              </w:rPr>
              <w:t>4–12 weeks</w:t>
            </w:r>
          </w:p>
        </w:tc>
        <w:tc>
          <w:tcPr>
            <w:tcW w:type="dxa" w:w="2742"/>
            <w:shd w:val="clear" w:color="auto" w:fill="EAF1F4"/>
          </w:tcPr>
          <w:p>
            <w:pPr>
              <w:spacing w:after="50" w:before="50" w:line="252" w:lineRule="auto"/>
            </w:pPr>
            <w:r>
              <w:rPr>
                <w:sz w:val="17"/>
              </w:rPr>
              <w:t>Faculty nomination</w:t>
            </w:r>
          </w:p>
        </w:tc>
        <w:tc>
          <w:tcPr>
            <w:tcW w:type="dxa" w:w="4003"/>
            <w:shd w:val="clear" w:color="auto" w:fill="EAF1F4"/>
          </w:tcPr>
          <w:p>
            <w:pPr>
              <w:spacing w:after="50" w:before="50" w:line="252" w:lineRule="auto"/>
            </w:pPr>
            <w:r>
              <w:rPr>
                <w:sz w:val="17"/>
              </w:rPr>
              <w:t>Empirical research under the Research Collaboration Framework and the data protocol</w:t>
            </w:r>
          </w:p>
        </w:tc>
      </w:tr>
    </w:tbl>
    <w:p>
      <w:pPr>
        <w:spacing w:after="80" w:before="0"/>
      </w:pPr>
    </w:p>
    <w:p>
      <w:pPr>
        <w:pStyle w:val="Heading2"/>
      </w:pPr>
      <w:r>
        <w:t>A3. Numbers and cycles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21"/>
            <w:shd w:val="clear" w:color="auto" w:fill="10375C"/>
          </w:tcPr>
          <w:p>
            <w:pPr>
              <w:spacing w:after="50" w:before="50"/>
            </w:pPr>
            <w:r>
              <w:rPr>
                <w:b/>
                <w:color w:val="FFFFFF"/>
                <w:sz w:val="17"/>
              </w:rPr>
              <w:t>Item</w:t>
            </w:r>
          </w:p>
        </w:tc>
        <w:tc>
          <w:tcPr>
            <w:tcW w:type="dxa" w:w="6847"/>
            <w:shd w:val="clear" w:color="auto" w:fill="10375C"/>
          </w:tcPr>
          <w:p>
            <w:pPr>
              <w:spacing w:after="50" w:before="50"/>
            </w:pPr>
            <w:r>
              <w:rPr>
                <w:b/>
                <w:color w:val="FFFFFF"/>
                <w:sz w:val="17"/>
              </w:rPr>
              <w:t>Position</w:t>
            </w:r>
          </w:p>
        </w:tc>
      </w:tr>
      <w:tr>
        <w:tc>
          <w:tcPr>
            <w:tcW w:type="dxa" w:w="2621"/>
          </w:tcPr>
          <w:p>
            <w:pPr>
              <w:spacing w:after="50" w:before="50" w:line="252" w:lineRule="auto"/>
            </w:pPr>
            <w:r>
              <w:rPr>
                <w:sz w:val="17"/>
              </w:rPr>
              <w:t>Placements per Academic Year</w:t>
            </w:r>
          </w:p>
        </w:tc>
        <w:tc>
          <w:tcPr>
            <w:tcW w:type="dxa" w:w="6847"/>
          </w:tcPr>
          <w:p>
            <w:pPr>
              <w:spacing w:after="50" w:before="50" w:line="252" w:lineRule="auto"/>
            </w:pPr>
            <w:r>
              <w:rPr>
                <w:sz w:val="17"/>
              </w:rPr>
              <w:t xml:space="preserve">Up to </w:t>
            </w:r>
            <w:r>
              <w:rPr>
                <w:b/>
                <w:sz w:val="17"/>
              </w:rPr>
              <w:t>[●]</w:t>
            </w:r>
            <w:r>
              <w:rPr>
                <w:sz w:val="17"/>
              </w:rPr>
              <w:t>, allocated as [●]</w:t>
            </w:r>
          </w:p>
        </w:tc>
      </w:tr>
      <w:tr>
        <w:tc>
          <w:tcPr>
            <w:tcW w:type="dxa" w:w="2621"/>
            <w:shd w:val="clear" w:color="auto" w:fill="EAF1F4"/>
          </w:tcPr>
          <w:p>
            <w:pPr>
              <w:spacing w:after="50" w:before="50" w:line="252" w:lineRule="auto"/>
            </w:pPr>
            <w:r>
              <w:rPr>
                <w:sz w:val="17"/>
              </w:rPr>
              <w:t>Cycles</w:t>
            </w:r>
          </w:p>
        </w:tc>
        <w:tc>
          <w:tcPr>
            <w:tcW w:type="dxa" w:w="6847"/>
            <w:shd w:val="clear" w:color="auto" w:fill="EAF1F4"/>
          </w:tcPr>
          <w:p>
            <w:pPr>
              <w:spacing w:after="50" w:before="50" w:line="252" w:lineRule="auto"/>
            </w:pPr>
            <w:r>
              <w:rPr>
                <w:sz w:val="17"/>
              </w:rPr>
              <w:t>[●]</w:t>
            </w:r>
          </w:p>
        </w:tc>
      </w:tr>
      <w:tr>
        <w:tc>
          <w:tcPr>
            <w:tcW w:type="dxa" w:w="2621"/>
          </w:tcPr>
          <w:p>
            <w:pPr>
              <w:spacing w:after="50" w:before="50" w:line="252" w:lineRule="auto"/>
            </w:pPr>
            <w:r>
              <w:rPr>
                <w:sz w:val="17"/>
              </w:rPr>
              <w:t>Application route</w:t>
            </w:r>
          </w:p>
        </w:tc>
        <w:tc>
          <w:tcPr>
            <w:tcW w:type="dxa" w:w="6847"/>
          </w:tcPr>
          <w:p>
            <w:pPr>
              <w:spacing w:after="50" w:before="50" w:line="252" w:lineRule="auto"/>
            </w:pPr>
            <w:r>
              <w:rPr>
                <w:sz w:val="17"/>
              </w:rPr>
              <w:t>Direct application by students to the Institute, with University endorsement where credit is sought</w:t>
            </w:r>
          </w:p>
        </w:tc>
      </w:tr>
      <w:tr>
        <w:tc>
          <w:tcPr>
            <w:tcW w:type="dxa" w:w="2621"/>
            <w:shd w:val="clear" w:color="auto" w:fill="EAF1F4"/>
          </w:tcPr>
          <w:p>
            <w:pPr>
              <w:spacing w:after="50" w:before="50" w:line="252" w:lineRule="auto"/>
            </w:pPr>
            <w:r>
              <w:rPr>
                <w:sz w:val="17"/>
              </w:rPr>
              <w:t>Selection</w:t>
            </w:r>
          </w:p>
        </w:tc>
        <w:tc>
          <w:tcPr>
            <w:tcW w:type="dxa" w:w="6847"/>
            <w:shd w:val="clear" w:color="auto" w:fill="EAF1F4"/>
          </w:tcPr>
          <w:p>
            <w:pPr>
              <w:spacing w:after="50" w:before="50" w:line="252" w:lineRule="auto"/>
            </w:pPr>
            <w:r>
              <w:rPr>
                <w:sz w:val="17"/>
              </w:rPr>
              <w:t>By the Institute, on merit, following a written application and interview. The Institute's decision is final</w:t>
            </w:r>
          </w:p>
        </w:tc>
      </w:tr>
      <w:tr>
        <w:tc>
          <w:tcPr>
            <w:tcW w:type="dxa" w:w="2621"/>
          </w:tcPr>
          <w:p>
            <w:pPr>
              <w:spacing w:after="50" w:before="50" w:line="252" w:lineRule="auto"/>
            </w:pPr>
            <w:r>
              <w:rPr>
                <w:sz w:val="17"/>
              </w:rPr>
              <w:t>Reserved places</w:t>
            </w:r>
          </w:p>
        </w:tc>
        <w:tc>
          <w:tcPr>
            <w:tcW w:type="dxa" w:w="6847"/>
          </w:tcPr>
          <w:p>
            <w:pPr>
              <w:spacing w:after="50" w:before="50" w:line="252" w:lineRule="auto"/>
            </w:pPr>
            <w:r>
              <w:rPr>
                <w:sz w:val="17"/>
              </w:rPr>
              <w:t>[●]</w:t>
            </w:r>
          </w:p>
        </w:tc>
      </w:tr>
    </w:tbl>
    <w:p>
      <w:pPr>
        <w:spacing w:after="80" w:before="0"/>
      </w:pPr>
    </w:p>
    <w:p>
      <w:r>
        <w:rPr>
          <w:b/>
        </w:rPr>
        <w:t>A3.1</w:t>
      </w:r>
      <w:r>
        <w:t xml:space="preserve"> The number of placements is limited by the Institute's supervision capacity, which the Parties acknowledge is the binding constraint on quality.</w:t>
      </w:r>
    </w:p>
    <w:p>
      <w:pPr>
        <w:pStyle w:val="Heading2"/>
      </w:pPr>
      <w:r>
        <w:t>A4. Learning outcomes</w:t>
      </w:r>
    </w:p>
    <w:p>
      <w:r>
        <w:t>On completion of a placement at Level II or above, an intern should be able to:</w:t>
      </w:r>
    </w:p>
    <w:p>
      <w:pPr>
        <w:pStyle w:val="ListNumber"/>
      </w:pPr>
      <w:r>
        <w:rPr>
          <w:sz w:val="21"/>
        </w:rPr>
        <w:t>describe the statutory framework for mediation in India, including the Mediation Act, 2023 and section 12A of the Commercial Courts Act, 2015, and locate a given dispute within it;</w:t>
      </w:r>
    </w:p>
    <w:p>
      <w:pPr>
        <w:pStyle w:val="ListNumber"/>
      </w:pPr>
      <w:r>
        <w:rPr>
          <w:sz w:val="21"/>
        </w:rPr>
        <w:t>conduct a structured intake interview and prepare an accurate case summary;</w:t>
      </w:r>
    </w:p>
    <w:p>
      <w:pPr>
        <w:pStyle w:val="ListNumber"/>
      </w:pPr>
      <w:r>
        <w:rPr>
          <w:sz w:val="21"/>
        </w:rPr>
        <w:t>identify parties' interests as distinct from their stated positions, and articulate a BATNA analysis;</w:t>
      </w:r>
    </w:p>
    <w:p>
      <w:pPr>
        <w:pStyle w:val="ListNumber"/>
      </w:pPr>
      <w:r>
        <w:rPr>
          <w:sz w:val="21"/>
        </w:rPr>
        <w:t>prepare and maintain process documentation to institutional standard;</w:t>
      </w:r>
    </w:p>
    <w:p>
      <w:pPr>
        <w:pStyle w:val="ListNumber"/>
      </w:pPr>
      <w:r>
        <w:rPr>
          <w:sz w:val="21"/>
        </w:rPr>
        <w:t>observe and analyse a mediation session against a structured framework;</w:t>
      </w:r>
    </w:p>
    <w:p>
      <w:pPr>
        <w:pStyle w:val="ListNumber"/>
      </w:pPr>
      <w:r>
        <w:rPr>
          <w:sz w:val="21"/>
        </w:rPr>
        <w:t>draft the components of a settlement agreement to a supervised standard; and</w:t>
      </w:r>
    </w:p>
    <w:p>
      <w:pPr>
        <w:pStyle w:val="ListNumber"/>
      </w:pPr>
      <w:r>
        <w:rPr>
          <w:sz w:val="21"/>
        </w:rPr>
        <w:t>apply the confidentiality, conflicts and ethical obligations attaching to dispute resolution practice.</w:t>
      </w:r>
    </w:p>
    <w:p>
      <w:pPr>
        <w:pStyle w:val="Heading2"/>
      </w:pPr>
      <w:r>
        <w:t>A5. Supervision, attendance and assessment</w:t>
      </w:r>
    </w:p>
    <w:p>
      <w:r>
        <w:rPr>
          <w:b/>
        </w:rPr>
        <w:t>A5.1</w:t>
      </w:r>
      <w:r>
        <w:t xml:space="preserve"> Each intern is assigned a named supervisor employed or engaged by the Institute, who shall meet the intern not less than weekly.</w:t>
      </w:r>
    </w:p>
    <w:p>
      <w:r>
        <w:rPr>
          <w:b/>
        </w:rPr>
        <w:t>A5.2</w:t>
      </w:r>
      <w:r>
        <w:t xml:space="preserve"> Attendance is recorded daily. A minimum of </w:t>
      </w:r>
      <w:r>
        <w:rPr>
          <w:b/>
        </w:rPr>
        <w:t>[●]%</w:t>
      </w:r>
      <w:r>
        <w:t xml:space="preserve"> attendance is required for the completion certificate.</w:t>
      </w:r>
    </w:p>
    <w:p>
      <w:r>
        <w:rPr>
          <w:b/>
        </w:rPr>
        <w:t>A5.3</w:t>
      </w:r>
      <w:r>
        <w:t xml:space="preserve"> Assessment comprises: continuous supervisor assessment (50%); a written output — case note, research memorandum or reflective report (30%); and an exit viva (20%). The grading scale is Outstanding, Good, Satisfactory, Not completed.</w:t>
      </w:r>
    </w:p>
    <w:p>
      <w:r>
        <w:rPr>
          <w:b/>
        </w:rPr>
        <w:t>A5.4</w:t>
      </w:r>
      <w:r>
        <w:t xml:space="preserve"> The Institute shall furnish the University, in respect of each intern for whom credit is sought, a written evaluation stating hours completed, learning outcomes attained, assessment marks and an overall grade, in a form agreed with the University for its credit award. </w:t>
      </w:r>
      <w:r>
        <w:rPr>
          <w:b/>
        </w:rPr>
        <w:t>The award of credit is a matter for the University alone.</w:t>
      </w:r>
    </w:p>
    <w:p>
      <w:pPr>
        <w:pStyle w:val="Heading2"/>
      </w:pPr>
      <w:r>
        <w:t>A6. Stipend and expenses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454"/>
            <w:shd w:val="clear" w:color="auto" w:fill="10375C"/>
          </w:tcPr>
          <w:p>
            <w:pPr>
              <w:spacing w:after="50" w:before="50"/>
            </w:pPr>
            <w:r>
              <w:rPr>
                <w:b/>
                <w:color w:val="FFFFFF"/>
                <w:sz w:val="17"/>
              </w:rPr>
              <w:t>Level</w:t>
            </w:r>
          </w:p>
        </w:tc>
        <w:tc>
          <w:tcPr>
            <w:tcW w:type="dxa" w:w="6014"/>
            <w:shd w:val="clear" w:color="auto" w:fill="10375C"/>
          </w:tcPr>
          <w:p>
            <w:pPr>
              <w:spacing w:after="50" w:before="50"/>
            </w:pPr>
            <w:r>
              <w:rPr>
                <w:b/>
                <w:color w:val="FFFFFF"/>
                <w:sz w:val="17"/>
              </w:rPr>
              <w:t>Stipend</w:t>
            </w:r>
          </w:p>
        </w:tc>
      </w:tr>
      <w:tr>
        <w:tc>
          <w:tcPr>
            <w:tcW w:type="dxa" w:w="3454"/>
          </w:tcPr>
          <w:p>
            <w:pPr>
              <w:spacing w:after="50" w:before="50" w:line="252" w:lineRule="auto"/>
            </w:pPr>
            <w:r>
              <w:rPr>
                <w:sz w:val="17"/>
              </w:rPr>
              <w:t>I — Observership</w:t>
            </w:r>
          </w:p>
        </w:tc>
        <w:tc>
          <w:tcPr>
            <w:tcW w:type="dxa" w:w="6014"/>
          </w:tcPr>
          <w:p>
            <w:pPr>
              <w:spacing w:after="50" w:before="50" w:line="252" w:lineRule="auto"/>
            </w:pPr>
            <w:r>
              <w:rPr>
                <w:sz w:val="17"/>
              </w:rPr>
              <w:t>Nil; certificate issued</w:t>
            </w:r>
          </w:p>
        </w:tc>
      </w:tr>
      <w:tr>
        <w:tc>
          <w:tcPr>
            <w:tcW w:type="dxa" w:w="3454"/>
            <w:shd w:val="clear" w:color="auto" w:fill="EAF1F4"/>
          </w:tcPr>
          <w:p>
            <w:pPr>
              <w:spacing w:after="50" w:before="50" w:line="252" w:lineRule="auto"/>
            </w:pPr>
            <w:r>
              <w:rPr>
                <w:sz w:val="17"/>
              </w:rPr>
              <w:t>II — Case Support</w:t>
            </w:r>
          </w:p>
        </w:tc>
        <w:tc>
          <w:tcPr>
            <w:tcW w:type="dxa" w:w="6014"/>
            <w:shd w:val="clear" w:color="auto" w:fill="EAF1F4"/>
          </w:tcPr>
          <w:p>
            <w:pPr>
              <w:spacing w:after="50" w:before="50" w:line="252" w:lineRule="auto"/>
            </w:pPr>
            <w:r>
              <w:rPr>
                <w:sz w:val="17"/>
              </w:rPr>
              <w:t>₹[●] per month</w:t>
            </w:r>
          </w:p>
        </w:tc>
      </w:tr>
      <w:tr>
        <w:tc>
          <w:tcPr>
            <w:tcW w:type="dxa" w:w="3454"/>
          </w:tcPr>
          <w:p>
            <w:pPr>
              <w:spacing w:after="50" w:before="50" w:line="252" w:lineRule="auto"/>
            </w:pPr>
            <w:r>
              <w:rPr>
                <w:sz w:val="17"/>
              </w:rPr>
              <w:t>III — Advanced Placement</w:t>
            </w:r>
          </w:p>
        </w:tc>
        <w:tc>
          <w:tcPr>
            <w:tcW w:type="dxa" w:w="6014"/>
          </w:tcPr>
          <w:p>
            <w:pPr>
              <w:spacing w:after="50" w:before="50" w:line="252" w:lineRule="auto"/>
            </w:pPr>
            <w:r>
              <w:rPr>
                <w:sz w:val="17"/>
              </w:rPr>
              <w:t>₹[●] per month</w:t>
            </w:r>
          </w:p>
        </w:tc>
      </w:tr>
      <w:tr>
        <w:tc>
          <w:tcPr>
            <w:tcW w:type="dxa" w:w="3454"/>
            <w:shd w:val="clear" w:color="auto" w:fill="EAF1F4"/>
          </w:tcPr>
          <w:p>
            <w:pPr>
              <w:spacing w:after="50" w:before="50" w:line="252" w:lineRule="auto"/>
            </w:pPr>
            <w:r>
              <w:rPr>
                <w:sz w:val="17"/>
              </w:rPr>
              <w:t>IV — Research</w:t>
            </w:r>
          </w:p>
        </w:tc>
        <w:tc>
          <w:tcPr>
            <w:tcW w:type="dxa" w:w="6014"/>
            <w:shd w:val="clear" w:color="auto" w:fill="EAF1F4"/>
          </w:tcPr>
          <w:p>
            <w:pPr>
              <w:spacing w:after="50" w:before="50" w:line="252" w:lineRule="auto"/>
            </w:pPr>
            <w:r>
              <w:rPr>
                <w:sz w:val="17"/>
              </w:rPr>
              <w:t>₹[●] per month, or as provided in the research budget</w:t>
            </w:r>
          </w:p>
        </w:tc>
      </w:tr>
    </w:tbl>
    <w:p>
      <w:pPr>
        <w:spacing w:after="80" w:before="0"/>
      </w:pPr>
    </w:p>
    <w:p>
      <w:r>
        <w:rPr>
          <w:b/>
        </w:rPr>
        <w:t>A6.1</w:t>
      </w:r>
      <w:r>
        <w:t xml:space="preserve"> Stipends are subject to applicable deductions. Travel and accommodation are the intern's responsibility unless otherwise agreed in writing. </w:t>
      </w:r>
      <w:r>
        <w:rPr>
          <w:b/>
        </w:rPr>
        <w:t>[verify — U4, statutory characterisation of interns.]</w:t>
      </w:r>
    </w:p>
    <w:p>
      <w:pPr>
        <w:pStyle w:val="Heading2"/>
      </w:pPr>
      <w:r>
        <w:t>A7. Conditions applying to every intern</w:t>
      </w:r>
    </w:p>
    <w:p>
      <w:r>
        <w:rPr>
          <w:b/>
        </w:rPr>
        <w:t>A7.1</w:t>
      </w:r>
      <w:r>
        <w:t xml:space="preserve"> Every intern shall execute the Institute's Internship Agreement and Student Undertakings before commencement, including undertakings as to confidentiality, conflicts, conduct, personal data and intellectual property.</w:t>
      </w:r>
    </w:p>
    <w:p>
      <w:r>
        <w:rPr>
          <w:b/>
        </w:rPr>
        <w:t>A7.2</w:t>
      </w:r>
      <w:r>
        <w:t xml:space="preserve"> An intern shall not be exposed to any live matter except with the informed consent of the parties to that matter, after execution of a specific confidentiality undertaking, and in compliance with the Mediation Act, 2023. </w:t>
      </w:r>
      <w:r>
        <w:rPr>
          <w:b/>
        </w:rPr>
        <w:t>No recording of any kind is permitted.</w:t>
      </w:r>
    </w:p>
    <w:p>
      <w:r>
        <w:rPr>
          <w:b/>
        </w:rPr>
        <w:t>A7.3</w:t>
      </w:r>
      <w:r>
        <w:t xml:space="preserve"> An intern shall not give legal advice, hold himself or herself out as a mediator or as an officer of the Institute, or communicate with a party otherwise than under supervision.</w:t>
      </w:r>
    </w:p>
    <w:p>
      <w:r>
        <w:rPr>
          <w:b/>
        </w:rPr>
        <w:t>A7.4</w:t>
      </w:r>
      <w:r>
        <w:t xml:space="preserve"> The Institute may terminate a placement immediately for breach of confidentiality, dishonesty, misconduct, or conduct endangering any person, and shall inform the University.</w:t>
      </w:r>
    </w:p>
    <w:p>
      <w:pPr>
        <w:pStyle w:val="Heading2"/>
      </w:pPr>
      <w:r>
        <w:t>A8. Employment</w:t>
      </w:r>
    </w:p>
    <w:p>
      <w:r>
        <w:t>Nothing in this Schedule constitutes an offer of employment or an assurance of employment, and no representation to that effect shall be made by either Party.</w:t>
      </w:r>
    </w:p>
    <w:p>
      <w:pPr>
        <w:spacing w:before="80" w:after="160"/>
        <w:pBdr>
          <w:bottom w:val="single" w:sz="6" w:space="1" w:color="C9D6DE"/>
        </w:pBdr>
      </w:pPr>
    </w:p>
    <w:p>
      <w:r>
        <w:br w:type="page"/>
      </w:r>
    </w:p>
    <w:p>
      <w:pPr>
        <w:pStyle w:val="Heading1"/>
        <w:pBdr>
          <w:bottom w:val="single" w:sz="8" w:space="4" w:color="C9D6DE"/>
        </w:pBdr>
      </w:pPr>
      <w:r>
        <w:t>SCHEDULE B · Training and Certification Programmes</w:t>
      </w:r>
    </w:p>
    <w:p>
      <w:pPr>
        <w:pStyle w:val="Heading2"/>
      </w:pPr>
      <w:r>
        <w:t>B1. Programmes</w:t>
      </w:r>
    </w:p>
    <w:p>
      <w:r>
        <w:t>The following programmes may be delivered under this Schedule, as recorded in the Activity Calendar.</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578"/>
        <w:gridCol w:w="1578"/>
        <w:gridCol w:w="1578"/>
        <w:gridCol w:w="1578"/>
        <w:gridCol w:w="1578"/>
        <w:gridCol w:w="1578"/>
      </w:tblGrid>
      <w:tr>
        <w:trPr>
          <w:tblHeader w:val="true"/>
        </w:trPr>
        <w:tc>
          <w:tcPr>
            <w:tcW w:type="dxa" w:w="850"/>
            <w:shd w:val="clear" w:color="auto" w:fill="10375C"/>
          </w:tcPr>
          <w:p>
            <w:pPr>
              <w:spacing w:after="50" w:before="50"/>
            </w:pPr>
            <w:r>
              <w:rPr>
                <w:b/>
                <w:color w:val="FFFFFF"/>
                <w:sz w:val="17"/>
              </w:rPr>
              <w:t>Code</w:t>
            </w:r>
          </w:p>
        </w:tc>
        <w:tc>
          <w:tcPr>
            <w:tcW w:type="dxa" w:w="3657"/>
            <w:shd w:val="clear" w:color="auto" w:fill="10375C"/>
          </w:tcPr>
          <w:p>
            <w:pPr>
              <w:spacing w:after="50" w:before="50"/>
            </w:pPr>
            <w:r>
              <w:rPr>
                <w:b/>
                <w:color w:val="FFFFFF"/>
                <w:sz w:val="17"/>
              </w:rPr>
              <w:t>Programme</w:t>
            </w:r>
          </w:p>
        </w:tc>
        <w:tc>
          <w:tcPr>
            <w:tcW w:type="dxa" w:w="1011"/>
            <w:shd w:val="clear" w:color="auto" w:fill="10375C"/>
          </w:tcPr>
          <w:p>
            <w:pPr>
              <w:spacing w:after="50" w:before="50"/>
            </w:pPr>
            <w:r>
              <w:rPr>
                <w:b/>
                <w:color w:val="FFFFFF"/>
                <w:sz w:val="17"/>
              </w:rPr>
              <w:t>Duration</w:t>
            </w:r>
          </w:p>
        </w:tc>
        <w:tc>
          <w:tcPr>
            <w:tcW w:type="dxa" w:w="2647"/>
            <w:shd w:val="clear" w:color="auto" w:fill="10375C"/>
          </w:tcPr>
          <w:p>
            <w:pPr>
              <w:spacing w:after="50" w:before="50"/>
            </w:pPr>
            <w:r>
              <w:rPr>
                <w:b/>
                <w:color w:val="FFFFFF"/>
                <w:sz w:val="17"/>
              </w:rPr>
              <w:t>Audience</w:t>
            </w:r>
          </w:p>
        </w:tc>
        <w:tc>
          <w:tcPr>
            <w:tcW w:type="dxa" w:w="850"/>
            <w:shd w:val="clear" w:color="auto" w:fill="10375C"/>
          </w:tcPr>
          <w:p>
            <w:pPr>
              <w:spacing w:after="50" w:before="50"/>
            </w:pPr>
            <w:r>
              <w:rPr>
                <w:b/>
                <w:color w:val="FFFFFF"/>
                <w:sz w:val="17"/>
              </w:rPr>
              <w:t>Minimum cohort</w:t>
            </w:r>
          </w:p>
        </w:tc>
        <w:tc>
          <w:tcPr>
            <w:tcW w:type="dxa" w:w="850"/>
            <w:shd w:val="clear" w:color="auto" w:fill="10375C"/>
          </w:tcPr>
          <w:p>
            <w:pPr>
              <w:spacing w:after="50" w:before="50"/>
            </w:pPr>
            <w:r>
              <w:rPr>
                <w:b/>
                <w:color w:val="FFFFFF"/>
                <w:sz w:val="17"/>
              </w:rPr>
              <w:t>Maximum cohort</w:t>
            </w:r>
          </w:p>
        </w:tc>
      </w:tr>
      <w:tr>
        <w:tc>
          <w:tcPr>
            <w:tcW w:type="dxa" w:w="850"/>
          </w:tcPr>
          <w:p>
            <w:pPr>
              <w:spacing w:after="50" w:before="50" w:line="252" w:lineRule="auto"/>
            </w:pPr>
            <w:r>
              <w:rPr>
                <w:sz w:val="17"/>
              </w:rPr>
              <w:t>T-40</w:t>
            </w:r>
          </w:p>
        </w:tc>
        <w:tc>
          <w:tcPr>
            <w:tcW w:type="dxa" w:w="3657"/>
          </w:tcPr>
          <w:p>
            <w:pPr>
              <w:spacing w:after="50" w:before="50" w:line="252" w:lineRule="auto"/>
            </w:pPr>
            <w:r>
              <w:rPr>
                <w:sz w:val="17"/>
              </w:rPr>
              <w:t>Basic Mediation Training</w:t>
            </w:r>
          </w:p>
        </w:tc>
        <w:tc>
          <w:tcPr>
            <w:tcW w:type="dxa" w:w="1011"/>
          </w:tcPr>
          <w:p>
            <w:pPr>
              <w:spacing w:after="50" w:before="50" w:line="252" w:lineRule="auto"/>
            </w:pPr>
            <w:r>
              <w:rPr>
                <w:sz w:val="17"/>
              </w:rPr>
              <w:t>40 hours</w:t>
            </w:r>
          </w:p>
        </w:tc>
        <w:tc>
          <w:tcPr>
            <w:tcW w:type="dxa" w:w="2647"/>
          </w:tcPr>
          <w:p>
            <w:pPr>
              <w:spacing w:after="50" w:before="50" w:line="252" w:lineRule="auto"/>
            </w:pPr>
            <w:r>
              <w:rPr>
                <w:sz w:val="17"/>
              </w:rPr>
              <w:t>Students, professionals</w:t>
            </w:r>
          </w:p>
        </w:tc>
        <w:tc>
          <w:tcPr>
            <w:tcW w:type="dxa" w:w="850"/>
          </w:tcPr>
          <w:p>
            <w:pPr>
              <w:spacing w:after="50" w:before="50" w:line="252" w:lineRule="auto"/>
            </w:pPr>
            <w:r>
              <w:rPr>
                <w:sz w:val="17"/>
              </w:rPr>
              <w:t>[●]</w:t>
            </w:r>
          </w:p>
        </w:tc>
        <w:tc>
          <w:tcPr>
            <w:tcW w:type="dxa" w:w="850"/>
          </w:tcPr>
          <w:p>
            <w:pPr>
              <w:spacing w:after="50" w:before="50" w:line="252" w:lineRule="auto"/>
            </w:pPr>
            <w:r>
              <w:rPr>
                <w:sz w:val="17"/>
              </w:rPr>
              <w:t>30</w:t>
            </w:r>
          </w:p>
        </w:tc>
      </w:tr>
      <w:tr>
        <w:tc>
          <w:tcPr>
            <w:tcW w:type="dxa" w:w="850"/>
            <w:shd w:val="clear" w:color="auto" w:fill="EAF1F4"/>
          </w:tcPr>
          <w:p>
            <w:pPr>
              <w:spacing w:after="50" w:before="50" w:line="252" w:lineRule="auto"/>
            </w:pPr>
            <w:r>
              <w:rPr>
                <w:sz w:val="17"/>
              </w:rPr>
              <w:t>T-20</w:t>
            </w:r>
          </w:p>
        </w:tc>
        <w:tc>
          <w:tcPr>
            <w:tcW w:type="dxa" w:w="3657"/>
            <w:shd w:val="clear" w:color="auto" w:fill="EAF1F4"/>
          </w:tcPr>
          <w:p>
            <w:pPr>
              <w:spacing w:after="50" w:before="50" w:line="252" w:lineRule="auto"/>
            </w:pPr>
            <w:r>
              <w:rPr>
                <w:sz w:val="17"/>
              </w:rPr>
              <w:t>Advanced Mediation Training</w:t>
            </w:r>
          </w:p>
        </w:tc>
        <w:tc>
          <w:tcPr>
            <w:tcW w:type="dxa" w:w="1011"/>
            <w:shd w:val="clear" w:color="auto" w:fill="EAF1F4"/>
          </w:tcPr>
          <w:p>
            <w:pPr>
              <w:spacing w:after="50" w:before="50" w:line="252" w:lineRule="auto"/>
            </w:pPr>
            <w:r>
              <w:rPr>
                <w:sz w:val="17"/>
              </w:rPr>
              <w:t>20 hours</w:t>
            </w:r>
          </w:p>
        </w:tc>
        <w:tc>
          <w:tcPr>
            <w:tcW w:type="dxa" w:w="2647"/>
            <w:shd w:val="clear" w:color="auto" w:fill="EAF1F4"/>
          </w:tcPr>
          <w:p>
            <w:pPr>
              <w:spacing w:after="50" w:before="50" w:line="252" w:lineRule="auto"/>
            </w:pPr>
            <w:r>
              <w:rPr>
                <w:sz w:val="17"/>
              </w:rPr>
              <w:t>T-40 holders with supervised practice</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24</w:t>
            </w:r>
          </w:p>
        </w:tc>
      </w:tr>
      <w:tr>
        <w:tc>
          <w:tcPr>
            <w:tcW w:type="dxa" w:w="850"/>
          </w:tcPr>
          <w:p>
            <w:pPr>
              <w:spacing w:after="50" w:before="50" w:line="252" w:lineRule="auto"/>
            </w:pPr>
            <w:r>
              <w:rPr>
                <w:sz w:val="17"/>
              </w:rPr>
              <w:t>T-FDP</w:t>
            </w:r>
          </w:p>
        </w:tc>
        <w:tc>
          <w:tcPr>
            <w:tcW w:type="dxa" w:w="3657"/>
          </w:tcPr>
          <w:p>
            <w:pPr>
              <w:spacing w:after="50" w:before="50" w:line="252" w:lineRule="auto"/>
            </w:pPr>
            <w:r>
              <w:rPr>
                <w:sz w:val="17"/>
              </w:rPr>
              <w:t>Faculty Development Programme</w:t>
            </w:r>
          </w:p>
        </w:tc>
        <w:tc>
          <w:tcPr>
            <w:tcW w:type="dxa" w:w="1011"/>
          </w:tcPr>
          <w:p>
            <w:pPr>
              <w:spacing w:after="50" w:before="50" w:line="252" w:lineRule="auto"/>
            </w:pPr>
            <w:r>
              <w:rPr>
                <w:sz w:val="17"/>
              </w:rPr>
              <w:t>5 days</w:t>
            </w:r>
          </w:p>
        </w:tc>
        <w:tc>
          <w:tcPr>
            <w:tcW w:type="dxa" w:w="2647"/>
          </w:tcPr>
          <w:p>
            <w:pPr>
              <w:spacing w:after="50" w:before="50" w:line="252" w:lineRule="auto"/>
            </w:pPr>
            <w:r>
              <w:rPr>
                <w:sz w:val="17"/>
              </w:rPr>
              <w:t>Faculty</w:t>
            </w:r>
          </w:p>
        </w:tc>
        <w:tc>
          <w:tcPr>
            <w:tcW w:type="dxa" w:w="850"/>
          </w:tcPr>
          <w:p>
            <w:pPr>
              <w:spacing w:after="50" w:before="50" w:line="252" w:lineRule="auto"/>
            </w:pPr>
            <w:r>
              <w:rPr>
                <w:sz w:val="17"/>
              </w:rPr>
              <w:t>[●]</w:t>
            </w:r>
          </w:p>
        </w:tc>
        <w:tc>
          <w:tcPr>
            <w:tcW w:type="dxa" w:w="850"/>
          </w:tcPr>
          <w:p>
            <w:pPr>
              <w:spacing w:after="50" w:before="50" w:line="252" w:lineRule="auto"/>
            </w:pPr>
            <w:r>
              <w:rPr>
                <w:sz w:val="17"/>
              </w:rPr>
              <w:t>30</w:t>
            </w:r>
          </w:p>
        </w:tc>
      </w:tr>
      <w:tr>
        <w:tc>
          <w:tcPr>
            <w:tcW w:type="dxa" w:w="850"/>
            <w:shd w:val="clear" w:color="auto" w:fill="EAF1F4"/>
          </w:tcPr>
          <w:p>
            <w:pPr>
              <w:spacing w:after="50" w:before="50" w:line="252" w:lineRule="auto"/>
            </w:pPr>
            <w:r>
              <w:rPr>
                <w:sz w:val="17"/>
              </w:rPr>
              <w:t>T-TTT</w:t>
            </w:r>
          </w:p>
        </w:tc>
        <w:tc>
          <w:tcPr>
            <w:tcW w:type="dxa" w:w="3657"/>
            <w:shd w:val="clear" w:color="auto" w:fill="EAF1F4"/>
          </w:tcPr>
          <w:p>
            <w:pPr>
              <w:spacing w:after="50" w:before="50" w:line="252" w:lineRule="auto"/>
            </w:pPr>
            <w:r>
              <w:rPr>
                <w:sz w:val="17"/>
              </w:rPr>
              <w:t>Train the Trainer</w:t>
            </w:r>
          </w:p>
        </w:tc>
        <w:tc>
          <w:tcPr>
            <w:tcW w:type="dxa" w:w="1011"/>
            <w:shd w:val="clear" w:color="auto" w:fill="EAF1F4"/>
          </w:tcPr>
          <w:p>
            <w:pPr>
              <w:spacing w:after="50" w:before="50" w:line="252" w:lineRule="auto"/>
            </w:pPr>
            <w:r>
              <w:rPr>
                <w:sz w:val="17"/>
              </w:rPr>
              <w:t>3 days</w:t>
            </w:r>
          </w:p>
        </w:tc>
        <w:tc>
          <w:tcPr>
            <w:tcW w:type="dxa" w:w="2647"/>
            <w:shd w:val="clear" w:color="auto" w:fill="EAF1F4"/>
          </w:tcPr>
          <w:p>
            <w:pPr>
              <w:spacing w:after="50" w:before="50" w:line="252" w:lineRule="auto"/>
            </w:pPr>
            <w:r>
              <w:rPr>
                <w:sz w:val="17"/>
              </w:rPr>
              <w:t>T-40 and T-20 holders</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16</w:t>
            </w:r>
          </w:p>
        </w:tc>
      </w:tr>
      <w:tr>
        <w:tc>
          <w:tcPr>
            <w:tcW w:type="dxa" w:w="850"/>
          </w:tcPr>
          <w:p>
            <w:pPr>
              <w:spacing w:after="50" w:before="50" w:line="252" w:lineRule="auto"/>
            </w:pPr>
            <w:r>
              <w:rPr>
                <w:sz w:val="17"/>
              </w:rPr>
              <w:t>W-MA</w:t>
            </w:r>
          </w:p>
        </w:tc>
        <w:tc>
          <w:tcPr>
            <w:tcW w:type="dxa" w:w="3657"/>
          </w:tcPr>
          <w:p>
            <w:pPr>
              <w:spacing w:after="50" w:before="50" w:line="252" w:lineRule="auto"/>
            </w:pPr>
            <w:r>
              <w:rPr>
                <w:sz w:val="17"/>
              </w:rPr>
              <w:t>Mediation Advocacy Workshop</w:t>
            </w:r>
          </w:p>
        </w:tc>
        <w:tc>
          <w:tcPr>
            <w:tcW w:type="dxa" w:w="1011"/>
          </w:tcPr>
          <w:p>
            <w:pPr>
              <w:spacing w:after="50" w:before="50" w:line="252" w:lineRule="auto"/>
            </w:pPr>
            <w:r>
              <w:rPr>
                <w:sz w:val="17"/>
              </w:rPr>
              <w:t>1–2 days</w:t>
            </w:r>
          </w:p>
        </w:tc>
        <w:tc>
          <w:tcPr>
            <w:tcW w:type="dxa" w:w="2647"/>
          </w:tcPr>
          <w:p>
            <w:pPr>
              <w:spacing w:after="50" w:before="50" w:line="252" w:lineRule="auto"/>
            </w:pPr>
            <w:r>
              <w:rPr>
                <w:sz w:val="17"/>
              </w:rPr>
              <w:t>Students</w:t>
            </w:r>
          </w:p>
        </w:tc>
        <w:tc>
          <w:tcPr>
            <w:tcW w:type="dxa" w:w="850"/>
          </w:tcPr>
          <w:p>
            <w:pPr>
              <w:spacing w:after="50" w:before="50" w:line="252" w:lineRule="auto"/>
            </w:pPr>
            <w:r>
              <w:rPr>
                <w:sz w:val="17"/>
              </w:rPr>
              <w:t>[●]</w:t>
            </w:r>
          </w:p>
        </w:tc>
        <w:tc>
          <w:tcPr>
            <w:tcW w:type="dxa" w:w="850"/>
          </w:tcPr>
          <w:p>
            <w:pPr>
              <w:spacing w:after="50" w:before="50" w:line="252" w:lineRule="auto"/>
            </w:pPr>
            <w:r>
              <w:rPr>
                <w:sz w:val="17"/>
              </w:rPr>
              <w:t>40</w:t>
            </w:r>
          </w:p>
        </w:tc>
      </w:tr>
      <w:tr>
        <w:tc>
          <w:tcPr>
            <w:tcW w:type="dxa" w:w="850"/>
            <w:shd w:val="clear" w:color="auto" w:fill="EAF1F4"/>
          </w:tcPr>
          <w:p>
            <w:pPr>
              <w:spacing w:after="50" w:before="50" w:line="252" w:lineRule="auto"/>
            </w:pPr>
            <w:r>
              <w:rPr>
                <w:sz w:val="17"/>
              </w:rPr>
              <w:t>W-NEG</w:t>
            </w:r>
          </w:p>
        </w:tc>
        <w:tc>
          <w:tcPr>
            <w:tcW w:type="dxa" w:w="3657"/>
            <w:shd w:val="clear" w:color="auto" w:fill="EAF1F4"/>
          </w:tcPr>
          <w:p>
            <w:pPr>
              <w:spacing w:after="50" w:before="50" w:line="252" w:lineRule="auto"/>
            </w:pPr>
            <w:r>
              <w:rPr>
                <w:sz w:val="17"/>
              </w:rPr>
              <w:t>Negotiation Laboratory</w:t>
            </w:r>
          </w:p>
        </w:tc>
        <w:tc>
          <w:tcPr>
            <w:tcW w:type="dxa" w:w="1011"/>
            <w:shd w:val="clear" w:color="auto" w:fill="EAF1F4"/>
          </w:tcPr>
          <w:p>
            <w:pPr>
              <w:spacing w:after="50" w:before="50" w:line="252" w:lineRule="auto"/>
            </w:pPr>
            <w:r>
              <w:rPr>
                <w:sz w:val="17"/>
              </w:rPr>
              <w:t>1–2 days</w:t>
            </w:r>
          </w:p>
        </w:tc>
        <w:tc>
          <w:tcPr>
            <w:tcW w:type="dxa" w:w="2647"/>
            <w:shd w:val="clear" w:color="auto" w:fill="EAF1F4"/>
          </w:tcPr>
          <w:p>
            <w:pPr>
              <w:spacing w:after="50" w:before="50" w:line="252" w:lineRule="auto"/>
            </w:pPr>
            <w:r>
              <w:rPr>
                <w:sz w:val="17"/>
              </w:rPr>
              <w:t>Students, management students</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40</w:t>
            </w:r>
          </w:p>
        </w:tc>
      </w:tr>
      <w:tr>
        <w:tc>
          <w:tcPr>
            <w:tcW w:type="dxa" w:w="850"/>
          </w:tcPr>
          <w:p>
            <w:pPr>
              <w:spacing w:after="50" w:before="50" w:line="252" w:lineRule="auto"/>
            </w:pPr>
            <w:r>
              <w:rPr>
                <w:sz w:val="17"/>
              </w:rPr>
              <w:t>W-DRAFT</w:t>
            </w:r>
          </w:p>
        </w:tc>
        <w:tc>
          <w:tcPr>
            <w:tcW w:type="dxa" w:w="3657"/>
          </w:tcPr>
          <w:p>
            <w:pPr>
              <w:spacing w:after="50" w:before="50" w:line="252" w:lineRule="auto"/>
            </w:pPr>
            <w:r>
              <w:rPr>
                <w:sz w:val="17"/>
              </w:rPr>
              <w:t>Drafting Clinic</w:t>
            </w:r>
          </w:p>
        </w:tc>
        <w:tc>
          <w:tcPr>
            <w:tcW w:type="dxa" w:w="1011"/>
          </w:tcPr>
          <w:p>
            <w:pPr>
              <w:spacing w:after="50" w:before="50" w:line="252" w:lineRule="auto"/>
            </w:pPr>
            <w:r>
              <w:rPr>
                <w:sz w:val="17"/>
              </w:rPr>
              <w:t>1 day</w:t>
            </w:r>
          </w:p>
        </w:tc>
        <w:tc>
          <w:tcPr>
            <w:tcW w:type="dxa" w:w="2647"/>
          </w:tcPr>
          <w:p>
            <w:pPr>
              <w:spacing w:after="50" w:before="50" w:line="252" w:lineRule="auto"/>
            </w:pPr>
            <w:r>
              <w:rPr>
                <w:sz w:val="17"/>
              </w:rPr>
              <w:t>Students</w:t>
            </w:r>
          </w:p>
        </w:tc>
        <w:tc>
          <w:tcPr>
            <w:tcW w:type="dxa" w:w="850"/>
          </w:tcPr>
          <w:p>
            <w:pPr>
              <w:spacing w:after="50" w:before="50" w:line="252" w:lineRule="auto"/>
            </w:pPr>
            <w:r>
              <w:rPr>
                <w:sz w:val="17"/>
              </w:rPr>
              <w:t>[●]</w:t>
            </w:r>
          </w:p>
        </w:tc>
        <w:tc>
          <w:tcPr>
            <w:tcW w:type="dxa" w:w="850"/>
          </w:tcPr>
          <w:p>
            <w:pPr>
              <w:spacing w:after="50" w:before="50" w:line="252" w:lineRule="auto"/>
            </w:pPr>
            <w:r>
              <w:rPr>
                <w:sz w:val="17"/>
              </w:rPr>
              <w:t>40</w:t>
            </w:r>
          </w:p>
        </w:tc>
      </w:tr>
      <w:tr>
        <w:tc>
          <w:tcPr>
            <w:tcW w:type="dxa" w:w="850"/>
            <w:shd w:val="clear" w:color="auto" w:fill="EAF1F4"/>
          </w:tcPr>
          <w:p>
            <w:pPr>
              <w:spacing w:after="50" w:before="50" w:line="252" w:lineRule="auto"/>
            </w:pPr>
            <w:r>
              <w:rPr>
                <w:sz w:val="17"/>
              </w:rPr>
              <w:t>W-ARB</w:t>
            </w:r>
          </w:p>
        </w:tc>
        <w:tc>
          <w:tcPr>
            <w:tcW w:type="dxa" w:w="3657"/>
            <w:shd w:val="clear" w:color="auto" w:fill="EAF1F4"/>
          </w:tcPr>
          <w:p>
            <w:pPr>
              <w:spacing w:after="50" w:before="50" w:line="252" w:lineRule="auto"/>
            </w:pPr>
            <w:r>
              <w:rPr>
                <w:sz w:val="17"/>
              </w:rPr>
              <w:t>Arbitration Workshop Series</w:t>
            </w:r>
          </w:p>
        </w:tc>
        <w:tc>
          <w:tcPr>
            <w:tcW w:type="dxa" w:w="1011"/>
            <w:shd w:val="clear" w:color="auto" w:fill="EAF1F4"/>
          </w:tcPr>
          <w:p>
            <w:pPr>
              <w:spacing w:after="50" w:before="50" w:line="252" w:lineRule="auto"/>
            </w:pPr>
            <w:r>
              <w:rPr>
                <w:sz w:val="17"/>
              </w:rPr>
              <w:t>3 × half day</w:t>
            </w:r>
          </w:p>
        </w:tc>
        <w:tc>
          <w:tcPr>
            <w:tcW w:type="dxa" w:w="2647"/>
            <w:shd w:val="clear" w:color="auto" w:fill="EAF1F4"/>
          </w:tcPr>
          <w:p>
            <w:pPr>
              <w:spacing w:after="50" w:before="50" w:line="252" w:lineRule="auto"/>
            </w:pPr>
            <w:r>
              <w:rPr>
                <w:sz w:val="17"/>
              </w:rPr>
              <w:t>Students</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50</w:t>
            </w:r>
          </w:p>
        </w:tc>
      </w:tr>
      <w:tr>
        <w:tc>
          <w:tcPr>
            <w:tcW w:type="dxa" w:w="850"/>
          </w:tcPr>
          <w:p>
            <w:pPr>
              <w:spacing w:after="50" w:before="50" w:line="252" w:lineRule="auto"/>
            </w:pPr>
            <w:r>
              <w:rPr>
                <w:sz w:val="17"/>
              </w:rPr>
              <w:t>W-ODR</w:t>
            </w:r>
          </w:p>
        </w:tc>
        <w:tc>
          <w:tcPr>
            <w:tcW w:type="dxa" w:w="3657"/>
          </w:tcPr>
          <w:p>
            <w:pPr>
              <w:spacing w:after="50" w:before="50" w:line="252" w:lineRule="auto"/>
            </w:pPr>
            <w:r>
              <w:rPr>
                <w:sz w:val="17"/>
              </w:rPr>
              <w:t>ODR and Technology Workshop</w:t>
            </w:r>
          </w:p>
        </w:tc>
        <w:tc>
          <w:tcPr>
            <w:tcW w:type="dxa" w:w="1011"/>
          </w:tcPr>
          <w:p>
            <w:pPr>
              <w:spacing w:after="50" w:before="50" w:line="252" w:lineRule="auto"/>
            </w:pPr>
            <w:r>
              <w:rPr>
                <w:sz w:val="17"/>
              </w:rPr>
              <w:t>1 day</w:t>
            </w:r>
          </w:p>
        </w:tc>
        <w:tc>
          <w:tcPr>
            <w:tcW w:type="dxa" w:w="2647"/>
          </w:tcPr>
          <w:p>
            <w:pPr>
              <w:spacing w:after="50" w:before="50" w:line="252" w:lineRule="auto"/>
            </w:pPr>
            <w:r>
              <w:rPr>
                <w:sz w:val="17"/>
              </w:rPr>
              <w:t>Students</w:t>
            </w:r>
          </w:p>
        </w:tc>
        <w:tc>
          <w:tcPr>
            <w:tcW w:type="dxa" w:w="850"/>
          </w:tcPr>
          <w:p>
            <w:pPr>
              <w:spacing w:after="50" w:before="50" w:line="252" w:lineRule="auto"/>
            </w:pPr>
            <w:r>
              <w:rPr>
                <w:sz w:val="17"/>
              </w:rPr>
              <w:t>[●]</w:t>
            </w:r>
          </w:p>
        </w:tc>
        <w:tc>
          <w:tcPr>
            <w:tcW w:type="dxa" w:w="850"/>
          </w:tcPr>
          <w:p>
            <w:pPr>
              <w:spacing w:after="50" w:before="50" w:line="252" w:lineRule="auto"/>
            </w:pPr>
            <w:r>
              <w:rPr>
                <w:sz w:val="17"/>
              </w:rPr>
              <w:t>50</w:t>
            </w:r>
          </w:p>
        </w:tc>
      </w:tr>
      <w:tr>
        <w:tc>
          <w:tcPr>
            <w:tcW w:type="dxa" w:w="850"/>
            <w:shd w:val="clear" w:color="auto" w:fill="EAF1F4"/>
          </w:tcPr>
          <w:p>
            <w:pPr>
              <w:spacing w:after="50" w:before="50" w:line="252" w:lineRule="auto"/>
            </w:pPr>
            <w:r>
              <w:rPr>
                <w:sz w:val="17"/>
              </w:rPr>
              <w:t>C-CERT</w:t>
            </w:r>
          </w:p>
        </w:tc>
        <w:tc>
          <w:tcPr>
            <w:tcW w:type="dxa" w:w="3657"/>
            <w:shd w:val="clear" w:color="auto" w:fill="EAF1F4"/>
          </w:tcPr>
          <w:p>
            <w:pPr>
              <w:spacing w:after="50" w:before="50" w:line="252" w:lineRule="auto"/>
            </w:pPr>
            <w:r>
              <w:rPr>
                <w:sz w:val="17"/>
              </w:rPr>
              <w:t>Credit-Bearing Certificate Course</w:t>
            </w:r>
          </w:p>
        </w:tc>
        <w:tc>
          <w:tcPr>
            <w:tcW w:type="dxa" w:w="1011"/>
            <w:shd w:val="clear" w:color="auto" w:fill="EAF1F4"/>
          </w:tcPr>
          <w:p>
            <w:pPr>
              <w:spacing w:after="50" w:before="50" w:line="252" w:lineRule="auto"/>
            </w:pPr>
            <w:r>
              <w:rPr>
                <w:sz w:val="17"/>
              </w:rPr>
              <w:t>[●] hours</w:t>
            </w:r>
          </w:p>
        </w:tc>
        <w:tc>
          <w:tcPr>
            <w:tcW w:type="dxa" w:w="2647"/>
            <w:shd w:val="clear" w:color="auto" w:fill="EAF1F4"/>
          </w:tcPr>
          <w:p>
            <w:pPr>
              <w:spacing w:after="50" w:before="50" w:line="252" w:lineRule="auto"/>
            </w:pPr>
            <w:r>
              <w:rPr>
                <w:sz w:val="17"/>
              </w:rPr>
              <w:t>Enrolled students</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w:t>
            </w:r>
          </w:p>
        </w:tc>
      </w:tr>
      <w:tr>
        <w:tc>
          <w:tcPr>
            <w:tcW w:type="dxa" w:w="850"/>
          </w:tcPr>
          <w:p>
            <w:pPr>
              <w:spacing w:after="50" w:before="50" w:line="252" w:lineRule="auto"/>
            </w:pPr>
            <w:r>
              <w:rPr>
                <w:sz w:val="17"/>
              </w:rPr>
              <w:t>A-POSH</w:t>
            </w:r>
          </w:p>
        </w:tc>
        <w:tc>
          <w:tcPr>
            <w:tcW w:type="dxa" w:w="3657"/>
          </w:tcPr>
          <w:p>
            <w:pPr>
              <w:spacing w:after="50" w:before="50" w:line="252" w:lineRule="auto"/>
            </w:pPr>
            <w:r>
              <w:rPr>
                <w:sz w:val="17"/>
              </w:rPr>
              <w:t>Internal Committee Training</w:t>
            </w:r>
          </w:p>
        </w:tc>
        <w:tc>
          <w:tcPr>
            <w:tcW w:type="dxa" w:w="1011"/>
          </w:tcPr>
          <w:p>
            <w:pPr>
              <w:spacing w:after="50" w:before="50" w:line="252" w:lineRule="auto"/>
            </w:pPr>
            <w:r>
              <w:rPr>
                <w:sz w:val="17"/>
              </w:rPr>
              <w:t>1 day</w:t>
            </w:r>
          </w:p>
        </w:tc>
        <w:tc>
          <w:tcPr>
            <w:tcW w:type="dxa" w:w="2647"/>
          </w:tcPr>
          <w:p>
            <w:pPr>
              <w:spacing w:after="50" w:before="50" w:line="252" w:lineRule="auto"/>
            </w:pPr>
            <w:r>
              <w:rPr>
                <w:sz w:val="17"/>
              </w:rPr>
              <w:t>IC members, staff</w:t>
            </w:r>
          </w:p>
        </w:tc>
        <w:tc>
          <w:tcPr>
            <w:tcW w:type="dxa" w:w="850"/>
          </w:tcPr>
          <w:p>
            <w:pPr>
              <w:spacing w:after="50" w:before="50" w:line="252" w:lineRule="auto"/>
            </w:pPr>
            <w:r>
              <w:rPr>
                <w:sz w:val="17"/>
              </w:rPr>
              <w:t>[●]</w:t>
            </w:r>
          </w:p>
        </w:tc>
        <w:tc>
          <w:tcPr>
            <w:tcW w:type="dxa" w:w="850"/>
          </w:tcPr>
          <w:p>
            <w:pPr>
              <w:spacing w:after="50" w:before="50" w:line="252" w:lineRule="auto"/>
            </w:pPr>
            <w:r>
              <w:rPr>
                <w:sz w:val="17"/>
              </w:rPr>
              <w:t>25</w:t>
            </w:r>
          </w:p>
        </w:tc>
      </w:tr>
      <w:tr>
        <w:tc>
          <w:tcPr>
            <w:tcW w:type="dxa" w:w="850"/>
            <w:shd w:val="clear" w:color="auto" w:fill="EAF1F4"/>
          </w:tcPr>
          <w:p>
            <w:pPr>
              <w:spacing w:after="50" w:before="50" w:line="252" w:lineRule="auto"/>
            </w:pPr>
            <w:r>
              <w:rPr>
                <w:sz w:val="17"/>
              </w:rPr>
              <w:t>A-SGRC</w:t>
            </w:r>
          </w:p>
        </w:tc>
        <w:tc>
          <w:tcPr>
            <w:tcW w:type="dxa" w:w="3657"/>
            <w:shd w:val="clear" w:color="auto" w:fill="EAF1F4"/>
          </w:tcPr>
          <w:p>
            <w:pPr>
              <w:spacing w:after="50" w:before="50" w:line="252" w:lineRule="auto"/>
            </w:pPr>
            <w:r>
              <w:rPr>
                <w:sz w:val="17"/>
              </w:rPr>
              <w:t>Grievance Redressal and Ombudsperson Workshop</w:t>
            </w:r>
          </w:p>
        </w:tc>
        <w:tc>
          <w:tcPr>
            <w:tcW w:type="dxa" w:w="1011"/>
            <w:shd w:val="clear" w:color="auto" w:fill="EAF1F4"/>
          </w:tcPr>
          <w:p>
            <w:pPr>
              <w:spacing w:after="50" w:before="50" w:line="252" w:lineRule="auto"/>
            </w:pPr>
            <w:r>
              <w:rPr>
                <w:sz w:val="17"/>
              </w:rPr>
              <w:t>1 day</w:t>
            </w:r>
          </w:p>
        </w:tc>
        <w:tc>
          <w:tcPr>
            <w:tcW w:type="dxa" w:w="2647"/>
            <w:shd w:val="clear" w:color="auto" w:fill="EAF1F4"/>
          </w:tcPr>
          <w:p>
            <w:pPr>
              <w:spacing w:after="50" w:before="50" w:line="252" w:lineRule="auto"/>
            </w:pPr>
            <w:r>
              <w:rPr>
                <w:sz w:val="17"/>
              </w:rPr>
              <w:t>Committee members, officers</w:t>
            </w:r>
          </w:p>
        </w:tc>
        <w:tc>
          <w:tcPr>
            <w:tcW w:type="dxa" w:w="85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25</w:t>
            </w:r>
          </w:p>
        </w:tc>
      </w:tr>
    </w:tbl>
    <w:p>
      <w:pPr>
        <w:spacing w:after="80" w:before="0"/>
      </w:pPr>
    </w:p>
    <w:p>
      <w:r>
        <w:rPr>
          <w:b/>
        </w:rPr>
        <w:t>B1.1</w:t>
      </w:r>
      <w:r>
        <w:t xml:space="preserve"> Where a cohort falls below the minimum, the Institute may reschedule, combine cohorts across institutions, or deliver at a revised fee agreed in writing.</w:t>
      </w:r>
    </w:p>
    <w:p>
      <w:pPr>
        <w:pStyle w:val="Heading2"/>
      </w:pPr>
      <w:r>
        <w:t>B2. Curriculum and standards</w:t>
      </w:r>
    </w:p>
    <w:p>
      <w:r>
        <w:rPr>
          <w:b/>
        </w:rPr>
        <w:t>B2.1</w:t>
      </w:r>
      <w:r>
        <w:t xml:space="preserve"> Programmes are delivered in accordance with the Institute's published curricula. The Institute may update a curriculum on notice to the University, provided that hours, learning outcomes and assessment standards are not materially reduced.</w:t>
      </w:r>
    </w:p>
    <w:p>
      <w:r>
        <w:rPr>
          <w:b/>
        </w:rPr>
        <w:t>B2.2</w:t>
      </w:r>
      <w:r>
        <w:t xml:space="preserve"> The Institute's programmes are structured in line with prevailing court-annexed mediation training norms of 40 hours basic and 20 hours advanced training. </w:t>
      </w:r>
      <w:r>
        <w:rPr>
          <w:b/>
        </w:rPr>
        <w:t>The Parties record that no representation is made that any certificate is accredited, recognised or approved by the Mediation Council of India or by any Government authority.</w:t>
      </w:r>
    </w:p>
    <w:p>
      <w:r>
        <w:rPr>
          <w:b/>
        </w:rPr>
        <w:t>B2.3</w:t>
      </w:r>
      <w:r>
        <w:t xml:space="preserve"> All trainers are certified against the Institute's internal trainer standard and are subject to annual observation and calibration.</w:t>
      </w:r>
    </w:p>
    <w:p>
      <w:pPr>
        <w:pStyle w:val="Heading2"/>
      </w:pPr>
      <w:r>
        <w:t>B3. Assessment and certification</w:t>
      </w:r>
    </w:p>
    <w:p>
      <w:r>
        <w:rPr>
          <w:b/>
        </w:rPr>
        <w:t>B3.1</w:t>
      </w:r>
      <w:r>
        <w:t xml:space="preserve"> Assessment is in accordance with the Institute's Assessment, Evaluation and Certification Policy, comprising written assessment, simulation-based assessment and, where applicable, a viva.</w:t>
      </w:r>
    </w:p>
    <w:p>
      <w:r>
        <w:rPr>
          <w:b/>
        </w:rPr>
        <w:t>B3.2</w:t>
      </w:r>
      <w:r>
        <w:t xml:space="preserve"> Minimum attendance of </w:t>
      </w:r>
      <w:r>
        <w:rPr>
          <w:b/>
        </w:rPr>
        <w:t>90%</w:t>
      </w:r>
      <w:r>
        <w:t xml:space="preserve"> of scheduled hours is a condition of certification for T-40 and T-20. There is no discretion to waive this.</w:t>
      </w:r>
    </w:p>
    <w:p>
      <w:r>
        <w:rPr>
          <w:b/>
        </w:rPr>
        <w:t>B3.3</w:t>
      </w:r>
      <w:r>
        <w:t xml:space="preserve"> Certificates are issued by the Institute. Where the University wishes, and its own regulations permit, certificates may be issued jointly, in a form approved in writing by both Parties. </w:t>
      </w:r>
      <w:r>
        <w:rPr>
          <w:b/>
        </w:rPr>
        <w:t>[verify — U2.]</w:t>
      </w:r>
    </w:p>
    <w:p>
      <w:r>
        <w:rPr>
          <w:b/>
        </w:rPr>
        <w:t>B3.4</w:t>
      </w:r>
      <w:r>
        <w:t xml:space="preserve"> The Institute maintains a certification register and will verify a certificate on request.</w:t>
      </w:r>
    </w:p>
    <w:p>
      <w:r>
        <w:rPr>
          <w:b/>
        </w:rPr>
        <w:t>B3.5</w:t>
      </w:r>
      <w:r>
        <w:t xml:space="preserve"> A participant may appeal an assessment outcome under the appeals procedure in the Assessment Policy. The decision on appeal is final.</w:t>
      </w:r>
    </w:p>
    <w:p>
      <w:pPr>
        <w:pStyle w:val="Heading2"/>
      </w:pPr>
      <w:r>
        <w:t>B4. Credit-bearing delivery</w:t>
      </w:r>
    </w:p>
    <w:p>
      <w:r>
        <w:rPr>
          <w:b/>
        </w:rPr>
        <w:t>B4.1</w:t>
      </w:r>
      <w:r>
        <w:t xml:space="preserve"> Where the University wishes a programme to carry academic credit, the Institute shall supply learning outcomes, contact-hour mapping, assessment methodology and specimen assessment instruments in support of the University's internal approval.</w:t>
      </w:r>
    </w:p>
    <w:p>
      <w:r>
        <w:rPr>
          <w:b/>
        </w:rPr>
        <w:t>B4.2</w:t>
      </w:r>
      <w:r>
        <w:t xml:space="preserve"> Approval of credit, the number of credits and the manner of its award are matters for the University alone.</w:t>
      </w:r>
    </w:p>
    <w:p>
      <w:r>
        <w:rPr>
          <w:b/>
        </w:rPr>
        <w:t>B4.3</w:t>
      </w:r>
      <w:r>
        <w:t xml:space="preserve"> Where a programme is credit-bearing, examination integrity and record-keeping shall meet the University's regulations, and the Parties shall agree in writing which of them conducts and records the assessment.</w:t>
      </w:r>
    </w:p>
    <w:p>
      <w:pPr>
        <w:pStyle w:val="Heading2"/>
      </w:pPr>
      <w:r>
        <w:t>B5. Logistics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614"/>
            <w:shd w:val="clear" w:color="auto" w:fill="10375C"/>
          </w:tcPr>
          <w:p>
            <w:pPr>
              <w:spacing w:after="50" w:before="50"/>
            </w:pPr>
            <w:r>
              <w:rPr>
                <w:b/>
                <w:color w:val="FFFFFF"/>
                <w:sz w:val="17"/>
              </w:rPr>
              <w:t>Item</w:t>
            </w:r>
          </w:p>
        </w:tc>
        <w:tc>
          <w:tcPr>
            <w:tcW w:type="dxa" w:w="2854"/>
            <w:shd w:val="clear" w:color="auto" w:fill="10375C"/>
          </w:tcPr>
          <w:p>
            <w:pPr>
              <w:spacing w:after="50" w:before="50"/>
            </w:pPr>
            <w:r>
              <w:rPr>
                <w:b/>
                <w:color w:val="FFFFFF"/>
                <w:sz w:val="17"/>
              </w:rPr>
              <w:t>Responsibility</w:t>
            </w:r>
          </w:p>
        </w:tc>
      </w:tr>
      <w:tr>
        <w:tc>
          <w:tcPr>
            <w:tcW w:type="dxa" w:w="6614"/>
          </w:tcPr>
          <w:p>
            <w:pPr>
              <w:spacing w:after="50" w:before="50" w:line="252" w:lineRule="auto"/>
            </w:pPr>
            <w:r>
              <w:rPr>
                <w:sz w:val="17"/>
              </w:rPr>
              <w:t>Venue, seating, air conditioning, power, projection</w:t>
            </w:r>
          </w:p>
        </w:tc>
        <w:tc>
          <w:tcPr>
            <w:tcW w:type="dxa" w:w="2854"/>
          </w:tcPr>
          <w:p>
            <w:pPr>
              <w:spacing w:after="50" w:before="50" w:line="252" w:lineRule="auto"/>
            </w:pPr>
            <w:r>
              <w:rPr>
                <w:sz w:val="17"/>
              </w:rPr>
              <w:t>University</w:t>
            </w:r>
          </w:p>
        </w:tc>
      </w:tr>
      <w:tr>
        <w:tc>
          <w:tcPr>
            <w:tcW w:type="dxa" w:w="6614"/>
            <w:shd w:val="clear" w:color="auto" w:fill="EAF1F4"/>
          </w:tcPr>
          <w:p>
            <w:pPr>
              <w:spacing w:after="50" w:before="50" w:line="252" w:lineRule="auto"/>
            </w:pPr>
            <w:r>
              <w:rPr>
                <w:sz w:val="17"/>
              </w:rPr>
              <w:t>Breakout rooms for simulation, minimum [●]</w:t>
            </w:r>
          </w:p>
        </w:tc>
        <w:tc>
          <w:tcPr>
            <w:tcW w:type="dxa" w:w="2854"/>
            <w:shd w:val="clear" w:color="auto" w:fill="EAF1F4"/>
          </w:tcPr>
          <w:p>
            <w:pPr>
              <w:spacing w:after="50" w:before="50" w:line="252" w:lineRule="auto"/>
            </w:pPr>
            <w:r>
              <w:rPr>
                <w:sz w:val="17"/>
              </w:rPr>
              <w:t>University</w:t>
            </w:r>
          </w:p>
        </w:tc>
      </w:tr>
      <w:tr>
        <w:tc>
          <w:tcPr>
            <w:tcW w:type="dxa" w:w="6614"/>
          </w:tcPr>
          <w:p>
            <w:pPr>
              <w:spacing w:after="50" w:before="50" w:line="252" w:lineRule="auto"/>
            </w:pPr>
            <w:r>
              <w:rPr>
                <w:sz w:val="17"/>
              </w:rPr>
              <w:t>Refreshments and meals</w:t>
            </w:r>
          </w:p>
        </w:tc>
        <w:tc>
          <w:tcPr>
            <w:tcW w:type="dxa" w:w="2854"/>
          </w:tcPr>
          <w:p>
            <w:pPr>
              <w:spacing w:after="50" w:before="50" w:line="252" w:lineRule="auto"/>
            </w:pPr>
            <w:r>
              <w:rPr>
                <w:sz w:val="17"/>
              </w:rPr>
              <w:t>[●]</w:t>
            </w:r>
          </w:p>
        </w:tc>
      </w:tr>
      <w:tr>
        <w:tc>
          <w:tcPr>
            <w:tcW w:type="dxa" w:w="6614"/>
            <w:shd w:val="clear" w:color="auto" w:fill="EAF1F4"/>
          </w:tcPr>
          <w:p>
            <w:pPr>
              <w:spacing w:after="50" w:before="50" w:line="252" w:lineRule="auto"/>
            </w:pPr>
            <w:r>
              <w:rPr>
                <w:sz w:val="17"/>
              </w:rPr>
              <w:t>Accommodation for trainers</w:t>
            </w:r>
          </w:p>
        </w:tc>
        <w:tc>
          <w:tcPr>
            <w:tcW w:type="dxa" w:w="2854"/>
            <w:shd w:val="clear" w:color="auto" w:fill="EAF1F4"/>
          </w:tcPr>
          <w:p>
            <w:pPr>
              <w:spacing w:after="50" w:before="50" w:line="252" w:lineRule="auto"/>
            </w:pPr>
            <w:r>
              <w:rPr>
                <w:sz w:val="17"/>
              </w:rPr>
              <w:t>[●]</w:t>
            </w:r>
          </w:p>
        </w:tc>
      </w:tr>
      <w:tr>
        <w:tc>
          <w:tcPr>
            <w:tcW w:type="dxa" w:w="6614"/>
          </w:tcPr>
          <w:p>
            <w:pPr>
              <w:spacing w:after="50" w:before="50" w:line="252" w:lineRule="auto"/>
            </w:pPr>
            <w:r>
              <w:rPr>
                <w:sz w:val="17"/>
              </w:rPr>
              <w:t>Participant materials and workbooks</w:t>
            </w:r>
          </w:p>
        </w:tc>
        <w:tc>
          <w:tcPr>
            <w:tcW w:type="dxa" w:w="2854"/>
          </w:tcPr>
          <w:p>
            <w:pPr>
              <w:spacing w:after="50" w:before="50" w:line="252" w:lineRule="auto"/>
            </w:pPr>
            <w:r>
              <w:rPr>
                <w:sz w:val="17"/>
              </w:rPr>
              <w:t>Institute</w:t>
            </w:r>
          </w:p>
        </w:tc>
      </w:tr>
      <w:tr>
        <w:tc>
          <w:tcPr>
            <w:tcW w:type="dxa" w:w="6614"/>
            <w:shd w:val="clear" w:color="auto" w:fill="EAF1F4"/>
          </w:tcPr>
          <w:p>
            <w:pPr>
              <w:spacing w:after="50" w:before="50" w:line="252" w:lineRule="auto"/>
            </w:pPr>
            <w:r>
              <w:rPr>
                <w:sz w:val="17"/>
              </w:rPr>
              <w:t>Certificates and printing</w:t>
            </w:r>
          </w:p>
        </w:tc>
        <w:tc>
          <w:tcPr>
            <w:tcW w:type="dxa" w:w="2854"/>
            <w:shd w:val="clear" w:color="auto" w:fill="EAF1F4"/>
          </w:tcPr>
          <w:p>
            <w:pPr>
              <w:spacing w:after="50" w:before="50" w:line="252" w:lineRule="auto"/>
            </w:pPr>
            <w:r>
              <w:rPr>
                <w:sz w:val="17"/>
              </w:rPr>
              <w:t>Institute</w:t>
            </w:r>
          </w:p>
        </w:tc>
      </w:tr>
      <w:tr>
        <w:tc>
          <w:tcPr>
            <w:tcW w:type="dxa" w:w="6614"/>
          </w:tcPr>
          <w:p>
            <w:pPr>
              <w:spacing w:after="50" w:before="50" w:line="252" w:lineRule="auto"/>
            </w:pPr>
            <w:r>
              <w:rPr>
                <w:sz w:val="17"/>
              </w:rPr>
              <w:t>Registration and attendance system</w:t>
            </w:r>
          </w:p>
        </w:tc>
        <w:tc>
          <w:tcPr>
            <w:tcW w:type="dxa" w:w="2854"/>
          </w:tcPr>
          <w:p>
            <w:pPr>
              <w:spacing w:after="50" w:before="50" w:line="252" w:lineRule="auto"/>
            </w:pPr>
            <w:r>
              <w:rPr>
                <w:sz w:val="17"/>
              </w:rPr>
              <w:t>Institute</w:t>
            </w:r>
          </w:p>
        </w:tc>
      </w:tr>
      <w:tr>
        <w:tc>
          <w:tcPr>
            <w:tcW w:type="dxa" w:w="6614"/>
            <w:shd w:val="clear" w:color="auto" w:fill="EAF1F4"/>
          </w:tcPr>
          <w:p>
            <w:pPr>
              <w:spacing w:after="50" w:before="50" w:line="252" w:lineRule="auto"/>
            </w:pPr>
            <w:r>
              <w:rPr>
                <w:sz w:val="17"/>
              </w:rPr>
              <w:t>Photography and documentation</w:t>
            </w:r>
          </w:p>
        </w:tc>
        <w:tc>
          <w:tcPr>
            <w:tcW w:type="dxa" w:w="2854"/>
            <w:shd w:val="clear" w:color="auto" w:fill="EAF1F4"/>
          </w:tcPr>
          <w:p>
            <w:pPr>
              <w:spacing w:after="50" w:before="50" w:line="252" w:lineRule="auto"/>
            </w:pPr>
            <w:r>
              <w:rPr>
                <w:sz w:val="17"/>
              </w:rPr>
              <w:t>Institute, subject to consent</w:t>
            </w:r>
          </w:p>
        </w:tc>
      </w:tr>
      <w:tr>
        <w:tc>
          <w:tcPr>
            <w:tcW w:type="dxa" w:w="6614"/>
          </w:tcPr>
          <w:p>
            <w:pPr>
              <w:spacing w:after="50" w:before="50" w:line="252" w:lineRule="auto"/>
            </w:pPr>
            <w:r>
              <w:rPr>
                <w:sz w:val="17"/>
              </w:rPr>
              <w:t>Feedback collection and analysis</w:t>
            </w:r>
          </w:p>
        </w:tc>
        <w:tc>
          <w:tcPr>
            <w:tcW w:type="dxa" w:w="2854"/>
          </w:tcPr>
          <w:p>
            <w:pPr>
              <w:spacing w:after="50" w:before="50" w:line="252" w:lineRule="auto"/>
            </w:pPr>
            <w:r>
              <w:rPr>
                <w:sz w:val="17"/>
              </w:rPr>
              <w:t>Institute</w:t>
            </w:r>
          </w:p>
        </w:tc>
      </w:tr>
    </w:tbl>
    <w:p>
      <w:pPr>
        <w:spacing w:after="80" w:before="0"/>
      </w:pPr>
    </w:p>
    <w:p>
      <w:pPr>
        <w:pStyle w:val="Heading2"/>
      </w:pPr>
      <w:r>
        <w:t>B6. Fees, cancellation and postponement</w:t>
      </w:r>
    </w:p>
    <w:p>
      <w:r>
        <w:rPr>
          <w:b/>
        </w:rPr>
        <w:t>B6.1</w:t>
      </w:r>
      <w:r>
        <w:t xml:space="preserve"> Fees are as stated in Schedule H.</w:t>
      </w:r>
    </w:p>
    <w:p>
      <w:r>
        <w:rPr>
          <w:b/>
        </w:rPr>
        <w:t>B6.2 Cancellation by the University.</w:t>
      </w:r>
      <w:r>
        <w:t xml:space="preserve"> More than 30 days before the scheduled start, no charge. 15 to 30 days, 25% of the fee. 7 to 14 days, 50%. Fewer than 7 days, 100%. Non-recoverable third-party costs are payable in every case.</w:t>
      </w:r>
    </w:p>
    <w:p>
      <w:r>
        <w:rPr>
          <w:b/>
        </w:rPr>
        <w:t>B6.3 Cancellation by the Institute.</w:t>
      </w:r>
      <w:r>
        <w:t xml:space="preserve"> The Institute shall use reasonable endeavours to substitute a trainer rather than cancel. If the Institute cancels other than for force majeure, it shall reschedule at no additional cost and bear any non-recoverable cost incurred by the University.</w:t>
      </w:r>
    </w:p>
    <w:p>
      <w:r>
        <w:rPr>
          <w:b/>
        </w:rPr>
        <w:t>B6.4 Postponement.</w:t>
      </w:r>
      <w:r>
        <w:t xml:space="preserve"> One postponement per programme is permitted without charge if requested more than 21 days in advance.</w:t>
      </w:r>
    </w:p>
    <w:p>
      <w:pPr>
        <w:spacing w:before="80" w:after="160"/>
        <w:pBdr>
          <w:bottom w:val="single" w:sz="6" w:space="1" w:color="C9D6DE"/>
        </w:pBdr>
      </w:pPr>
    </w:p>
    <w:p>
      <w:r>
        <w:br w:type="page"/>
      </w:r>
    </w:p>
    <w:p>
      <w:pPr>
        <w:pStyle w:val="Heading1"/>
        <w:pBdr>
          <w:bottom w:val="single" w:sz="8" w:space="4" w:color="C9D6DE"/>
        </w:pBdr>
      </w:pPr>
      <w:r>
        <w:t>SCHEDULE C · Competitions</w:t>
      </w:r>
    </w:p>
    <w:p>
      <w:pPr>
        <w:pStyle w:val="Heading2"/>
      </w:pPr>
      <w:r>
        <w:t>C1. Competitions covered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4295"/>
            <w:shd w:val="clear" w:color="auto" w:fill="10375C"/>
          </w:tcPr>
          <w:p>
            <w:pPr>
              <w:spacing w:after="50" w:before="50"/>
            </w:pPr>
            <w:r>
              <w:rPr>
                <w:b/>
                <w:color w:val="FFFFFF"/>
                <w:sz w:val="17"/>
              </w:rPr>
              <w:t>Competition</w:t>
            </w:r>
          </w:p>
        </w:tc>
        <w:tc>
          <w:tcPr>
            <w:tcW w:type="dxa" w:w="1329"/>
            <w:shd w:val="clear" w:color="auto" w:fill="10375C"/>
          </w:tcPr>
          <w:p>
            <w:pPr>
              <w:spacing w:after="50" w:before="50"/>
            </w:pPr>
            <w:r>
              <w:rPr>
                <w:b/>
                <w:color w:val="FFFFFF"/>
                <w:sz w:val="17"/>
              </w:rPr>
              <w:t>Level</w:t>
            </w:r>
          </w:p>
        </w:tc>
        <w:tc>
          <w:tcPr>
            <w:tcW w:type="dxa" w:w="3844"/>
            <w:shd w:val="clear" w:color="auto" w:fill="10375C"/>
          </w:tcPr>
          <w:p>
            <w:pPr>
              <w:spacing w:after="50" w:before="50"/>
            </w:pPr>
            <w:r>
              <w:rPr>
                <w:b/>
                <w:color w:val="FFFFFF"/>
                <w:sz w:val="17"/>
              </w:rPr>
              <w:t>Role of the University</w:t>
            </w:r>
          </w:p>
        </w:tc>
      </w:tr>
      <w:tr>
        <w:tc>
          <w:tcPr>
            <w:tcW w:type="dxa" w:w="4295"/>
          </w:tcPr>
          <w:p>
            <w:pPr>
              <w:spacing w:after="50" w:before="50" w:line="252" w:lineRule="auto"/>
            </w:pPr>
            <w:r>
              <w:rPr>
                <w:sz w:val="17"/>
              </w:rPr>
              <w:t>Equator National Mediation Championship</w:t>
            </w:r>
          </w:p>
        </w:tc>
        <w:tc>
          <w:tcPr>
            <w:tcW w:type="dxa" w:w="1329"/>
          </w:tcPr>
          <w:p>
            <w:pPr>
              <w:spacing w:after="50" w:before="50" w:line="252" w:lineRule="auto"/>
            </w:pPr>
            <w:r>
              <w:rPr>
                <w:sz w:val="17"/>
              </w:rPr>
              <w:t>National</w:t>
            </w:r>
          </w:p>
        </w:tc>
        <w:tc>
          <w:tcPr>
            <w:tcW w:type="dxa" w:w="3844"/>
          </w:tcPr>
          <w:p>
            <w:pPr>
              <w:spacing w:after="50" w:before="50" w:line="252" w:lineRule="auto"/>
            </w:pPr>
            <w:r>
              <w:rPr>
                <w:sz w:val="17"/>
              </w:rPr>
              <w:t>Host / participant / regional round host</w:t>
            </w:r>
          </w:p>
        </w:tc>
      </w:tr>
      <w:tr>
        <w:tc>
          <w:tcPr>
            <w:tcW w:type="dxa" w:w="4295"/>
            <w:shd w:val="clear" w:color="auto" w:fill="EAF1F4"/>
          </w:tcPr>
          <w:p>
            <w:pPr>
              <w:spacing w:after="50" w:before="50" w:line="252" w:lineRule="auto"/>
            </w:pPr>
            <w:r>
              <w:rPr>
                <w:sz w:val="17"/>
              </w:rPr>
              <w:t>Equator Arbitration Moot</w:t>
            </w:r>
          </w:p>
        </w:tc>
        <w:tc>
          <w:tcPr>
            <w:tcW w:type="dxa" w:w="1329"/>
            <w:shd w:val="clear" w:color="auto" w:fill="EAF1F4"/>
          </w:tcPr>
          <w:p>
            <w:pPr>
              <w:spacing w:after="50" w:before="50" w:line="252" w:lineRule="auto"/>
            </w:pPr>
            <w:r>
              <w:rPr>
                <w:sz w:val="17"/>
              </w:rPr>
              <w:t>National</w:t>
            </w:r>
          </w:p>
        </w:tc>
        <w:tc>
          <w:tcPr>
            <w:tcW w:type="dxa" w:w="3844"/>
            <w:shd w:val="clear" w:color="auto" w:fill="EAF1F4"/>
          </w:tcPr>
          <w:p>
            <w:pPr>
              <w:spacing w:after="50" w:before="50" w:line="252" w:lineRule="auto"/>
            </w:pPr>
            <w:r>
              <w:rPr>
                <w:sz w:val="17"/>
              </w:rPr>
              <w:t>Host / participant</w:t>
            </w:r>
          </w:p>
        </w:tc>
      </w:tr>
      <w:tr>
        <w:tc>
          <w:tcPr>
            <w:tcW w:type="dxa" w:w="4295"/>
          </w:tcPr>
          <w:p>
            <w:pPr>
              <w:spacing w:after="50" w:before="50" w:line="252" w:lineRule="auto"/>
            </w:pPr>
            <w:r>
              <w:rPr>
                <w:sz w:val="17"/>
              </w:rPr>
              <w:t>Equator National Negotiation Championship</w:t>
            </w:r>
          </w:p>
        </w:tc>
        <w:tc>
          <w:tcPr>
            <w:tcW w:type="dxa" w:w="1329"/>
          </w:tcPr>
          <w:p>
            <w:pPr>
              <w:spacing w:after="50" w:before="50" w:line="252" w:lineRule="auto"/>
            </w:pPr>
            <w:r>
              <w:rPr>
                <w:sz w:val="17"/>
              </w:rPr>
              <w:t>National</w:t>
            </w:r>
          </w:p>
        </w:tc>
        <w:tc>
          <w:tcPr>
            <w:tcW w:type="dxa" w:w="3844"/>
          </w:tcPr>
          <w:p>
            <w:pPr>
              <w:spacing w:after="50" w:before="50" w:line="252" w:lineRule="auto"/>
            </w:pPr>
            <w:r>
              <w:rPr>
                <w:sz w:val="17"/>
              </w:rPr>
              <w:t>Host / participant</w:t>
            </w:r>
          </w:p>
        </w:tc>
      </w:tr>
      <w:tr>
        <w:tc>
          <w:tcPr>
            <w:tcW w:type="dxa" w:w="4295"/>
            <w:shd w:val="clear" w:color="auto" w:fill="EAF1F4"/>
          </w:tcPr>
          <w:p>
            <w:pPr>
              <w:spacing w:after="50" w:before="50" w:line="252" w:lineRule="auto"/>
            </w:pPr>
            <w:r>
              <w:rPr>
                <w:sz w:val="17"/>
              </w:rPr>
              <w:t>Intra-university selection rounds</w:t>
            </w:r>
          </w:p>
        </w:tc>
        <w:tc>
          <w:tcPr>
            <w:tcW w:type="dxa" w:w="1329"/>
            <w:shd w:val="clear" w:color="auto" w:fill="EAF1F4"/>
          </w:tcPr>
          <w:p>
            <w:pPr>
              <w:spacing w:after="50" w:before="50" w:line="252" w:lineRule="auto"/>
            </w:pPr>
            <w:r>
              <w:rPr>
                <w:sz w:val="17"/>
              </w:rPr>
              <w:t>Institutional</w:t>
            </w:r>
          </w:p>
        </w:tc>
        <w:tc>
          <w:tcPr>
            <w:tcW w:type="dxa" w:w="3844"/>
            <w:shd w:val="clear" w:color="auto" w:fill="EAF1F4"/>
          </w:tcPr>
          <w:p>
            <w:pPr>
              <w:spacing w:after="50" w:before="50" w:line="252" w:lineRule="auto"/>
            </w:pPr>
            <w:r>
              <w:rPr>
                <w:sz w:val="17"/>
              </w:rPr>
              <w:t>Host, with Institute support</w:t>
            </w:r>
          </w:p>
        </w:tc>
      </w:tr>
      <w:tr>
        <w:tc>
          <w:tcPr>
            <w:tcW w:type="dxa" w:w="4295"/>
          </w:tcPr>
          <w:p>
            <w:pPr>
              <w:spacing w:after="50" w:before="50" w:line="252" w:lineRule="auto"/>
            </w:pPr>
            <w:r>
              <w:rPr>
                <w:sz w:val="17"/>
              </w:rPr>
              <w:t>ODR Challenge</w:t>
            </w:r>
          </w:p>
        </w:tc>
        <w:tc>
          <w:tcPr>
            <w:tcW w:type="dxa" w:w="1329"/>
          </w:tcPr>
          <w:p>
            <w:pPr>
              <w:spacing w:after="50" w:before="50" w:line="252" w:lineRule="auto"/>
            </w:pPr>
            <w:r>
              <w:rPr>
                <w:sz w:val="17"/>
              </w:rPr>
              <w:t>National</w:t>
            </w:r>
          </w:p>
        </w:tc>
        <w:tc>
          <w:tcPr>
            <w:tcW w:type="dxa" w:w="3844"/>
          </w:tcPr>
          <w:p>
            <w:pPr>
              <w:spacing w:after="50" w:before="50" w:line="252" w:lineRule="auto"/>
            </w:pPr>
            <w:r>
              <w:rPr>
                <w:sz w:val="17"/>
              </w:rPr>
              <w:t>Participant / host</w:t>
            </w:r>
          </w:p>
        </w:tc>
      </w:tr>
      <w:tr>
        <w:tc>
          <w:tcPr>
            <w:tcW w:type="dxa" w:w="4295"/>
            <w:shd w:val="clear" w:color="auto" w:fill="EAF1F4"/>
          </w:tcPr>
          <w:p>
            <w:pPr>
              <w:spacing w:after="50" w:before="50" w:line="252" w:lineRule="auto"/>
            </w:pPr>
            <w:r>
              <w:rPr>
                <w:sz w:val="17"/>
              </w:rPr>
              <w:t>Community Mediation Challenge</w:t>
            </w:r>
          </w:p>
        </w:tc>
        <w:tc>
          <w:tcPr>
            <w:tcW w:type="dxa" w:w="1329"/>
            <w:shd w:val="clear" w:color="auto" w:fill="EAF1F4"/>
          </w:tcPr>
          <w:p>
            <w:pPr>
              <w:spacing w:after="50" w:before="50" w:line="252" w:lineRule="auto"/>
            </w:pPr>
            <w:r>
              <w:rPr>
                <w:sz w:val="17"/>
              </w:rPr>
              <w:t>Regional</w:t>
            </w:r>
          </w:p>
        </w:tc>
        <w:tc>
          <w:tcPr>
            <w:tcW w:type="dxa" w:w="3844"/>
            <w:shd w:val="clear" w:color="auto" w:fill="EAF1F4"/>
          </w:tcPr>
          <w:p>
            <w:pPr>
              <w:spacing w:after="50" w:before="50" w:line="252" w:lineRule="auto"/>
            </w:pPr>
            <w:r>
              <w:rPr>
                <w:sz w:val="17"/>
              </w:rPr>
              <w:t>Participant / host</w:t>
            </w:r>
          </w:p>
        </w:tc>
      </w:tr>
    </w:tbl>
    <w:p>
      <w:pPr>
        <w:spacing w:after="80" w:before="0"/>
      </w:pPr>
    </w:p>
    <w:p>
      <w:r>
        <w:t>The role of the University in each is as recorded in the Activity Calendar.</w:t>
      </w:r>
    </w:p>
    <w:p>
      <w:pPr>
        <w:pStyle w:val="Heading2"/>
      </w:pPr>
      <w:r>
        <w:t>C2. Where the University hosts</w:t>
      </w:r>
    </w:p>
    <w:p>
      <w:r>
        <w:rPr>
          <w:b/>
        </w:rPr>
        <w:t>C2.1 The University shall provide</w:t>
      </w:r>
      <w:r>
        <w:t>, at no charge to the Institute unless otherwise agreed:</w:t>
      </w:r>
    </w:p>
    <w:p>
      <w:r>
        <w:t xml:space="preserve">(a) a plenary hall and not fewer than </w:t>
      </w:r>
      <w:r>
        <w:rPr>
          <w:b/>
        </w:rPr>
        <w:t>[●]</w:t>
      </w:r>
      <w:r>
        <w:t xml:space="preserve"> breakout rooms suitable for simulated mediation sessions, for the full duration;</w:t>
      </w:r>
    </w:p>
    <w:p>
      <w:r>
        <w:t>(b) reception, registration and hospitality space;</w:t>
      </w:r>
    </w:p>
    <w:p>
      <w:r>
        <w:t>(c) power, network connectivity and audio-visual support;</w:t>
      </w:r>
    </w:p>
    <w:p>
      <w:r>
        <w:t xml:space="preserve">(d) student volunteers, being not fewer than </w:t>
      </w:r>
      <w:r>
        <w:rPr>
          <w:b/>
        </w:rPr>
        <w:t>[●]</w:t>
      </w:r>
      <w:r>
        <w:t>, briefed by the Institute;</w:t>
      </w:r>
    </w:p>
    <w:p>
      <w:r>
        <w:t>(e) housekeeping, security and first-aid provision;</w:t>
      </w:r>
    </w:p>
    <w:p>
      <w:r>
        <w:t>(f) hostel accommodation for visiting teams at not more than ₹[●] per person per night, subject to availability; and</w:t>
      </w:r>
    </w:p>
    <w:p>
      <w:r>
        <w:t>(g) all internal permissions required for the event.</w:t>
      </w:r>
    </w:p>
    <w:p>
      <w:r>
        <w:rPr>
          <w:b/>
        </w:rPr>
        <w:t>C2.2 The Institute shall provide:</w:t>
      </w:r>
    </w:p>
    <w:p>
      <w:r>
        <w:t>(a) the competition problem, confidential briefs, rules, scoresheets and all competition materials;</w:t>
      </w:r>
    </w:p>
    <w:p>
      <w:r>
        <w:t>(b) the judging panel, and the briefing and calibration of judges;</w:t>
      </w:r>
    </w:p>
    <w:p>
      <w:r>
        <w:t>(c) the Competition Convenor and session supervisors;</w:t>
      </w:r>
    </w:p>
    <w:p>
      <w:r>
        <w:t>(d) registration, scoring and results administration;</w:t>
      </w:r>
    </w:p>
    <w:p>
      <w:r>
        <w:t>(e) certificates, trophies and prize money as announced; and</w:t>
      </w:r>
    </w:p>
    <w:p>
      <w:r>
        <w:t>(f) competition branding, subject to Schedule G.</w:t>
      </w:r>
    </w:p>
    <w:p>
      <w:pPr>
        <w:pStyle w:val="Heading2"/>
      </w:pPr>
      <w:r>
        <w:t>C3. Ownership and integrity</w:t>
      </w:r>
    </w:p>
    <w:p>
      <w:r>
        <w:rPr>
          <w:b/>
        </w:rPr>
        <w:t>C3.1</w:t>
      </w:r>
      <w:r>
        <w:t xml:space="preserve"> The competition name and marks, the problem, the confidential briefs, the scoresheets and the judging criteria are the exclusive property of the Institute. </w:t>
      </w:r>
      <w:r>
        <w:rPr>
          <w:b/>
        </w:rPr>
        <w:t>They constitute Confidential Information until publicly released and no person on the University side may access a problem or a confidential brief before its scheduled release.</w:t>
      </w:r>
    </w:p>
    <w:p>
      <w:r>
        <w:rPr>
          <w:b/>
        </w:rPr>
        <w:t>C3.2</w:t>
      </w:r>
      <w:r>
        <w:t xml:space="preserve"> Any person who becomes aware of the contents of a problem or confidential brief before release shall disclose that fact immediately, and shall be ineligible to participate, coach or judge in that edition.</w:t>
      </w:r>
    </w:p>
    <w:p>
      <w:r>
        <w:rPr>
          <w:b/>
        </w:rPr>
        <w:t>C3.3</w:t>
      </w:r>
      <w:r>
        <w:t xml:space="preserve"> The Institute's Competition Committee has sole authority over rules, judging, integrity challenges and results, subject to the appeal route in the rules. Its decisions are final and are not subject to clause 18 of the Memorandum.</w:t>
      </w:r>
    </w:p>
    <w:p>
      <w:r>
        <w:rPr>
          <w:b/>
        </w:rPr>
        <w:t>C3.4</w:t>
      </w:r>
      <w:r>
        <w:t xml:space="preserve"> Where the University's own teams participate in a competition hosted at the University, the University shall ensure strict separation between the organising team and the competing teams, and no member of the organising team shall have access to competition materials in advance of release.</w:t>
      </w:r>
    </w:p>
    <w:p>
      <w:pPr>
        <w:pStyle w:val="Heading2"/>
      </w:pPr>
      <w:r>
        <w:t>C4. Registration fees, sponsorship and surplus</w:t>
      </w:r>
    </w:p>
    <w:p>
      <w:r>
        <w:rPr>
          <w:b/>
        </w:rPr>
        <w:t>C4.1</w:t>
      </w:r>
      <w:r>
        <w:t xml:space="preserve"> Registration fees are set by the Institute and collected by it unless otherwise agreed.</w:t>
      </w:r>
    </w:p>
    <w:p>
      <w:r>
        <w:rPr>
          <w:b/>
        </w:rPr>
        <w:t>C4.2</w:t>
      </w:r>
      <w:r>
        <w:t xml:space="preserve"> Sponsorship may be raised by either Party, but no sponsor may be approached without prior written notice to the other, and no sponsorship may be accepted from a person whose association would be inconsistent with the values of either Party.</w:t>
      </w:r>
    </w:p>
    <w:p>
      <w:r>
        <w:rPr>
          <w:b/>
        </w:rPr>
        <w:t>C4.3</w:t>
      </w:r>
      <w:r>
        <w:t xml:space="preserve"> The financial basis of a hosted competition, including any surplus share, is as stated in Schedule H. In the absence of express provision, each Party bears the costs allocated to it under C2 and the Institute retains registration income and any surplus.</w:t>
      </w:r>
    </w:p>
    <w:p>
      <w:pPr>
        <w:pStyle w:val="Heading2"/>
      </w:pPr>
      <w:r>
        <w:t>C5. Judging and conflicts</w:t>
      </w:r>
    </w:p>
    <w:p>
      <w:r>
        <w:rPr>
          <w:b/>
        </w:rPr>
        <w:t>C5.1</w:t>
      </w:r>
      <w:r>
        <w:t xml:space="preserve"> Judges are appointed by the Institute. Faculty of the University may be appointed, but shall not judge a session involving a team from the University.</w:t>
      </w:r>
    </w:p>
    <w:p>
      <w:r>
        <w:rPr>
          <w:b/>
        </w:rPr>
        <w:t>C5.2</w:t>
      </w:r>
      <w:r>
        <w:t xml:space="preserve"> Every judge shall disclose any association with a participating institution before allocation.</w:t>
      </w:r>
    </w:p>
    <w:p>
      <w:r>
        <w:rPr>
          <w:b/>
        </w:rPr>
        <w:t>C5.3</w:t>
      </w:r>
      <w:r>
        <w:t xml:space="preserve"> Coaches shall not communicate with a team during a session, and shall not communicate with judges concerning a session at any time.</w:t>
      </w:r>
    </w:p>
    <w:p>
      <w:pPr>
        <w:pStyle w:val="Heading2"/>
      </w:pPr>
      <w:r>
        <w:t>C6. Coaching services</w:t>
      </w:r>
    </w:p>
    <w:p>
      <w:r>
        <w:t>Where the University engages the Institute to coach a team for an external competition, that engagement is a separate paid service under Schedule H, and the Institute shall not concurrently coach a competing team from another institution for the same edition of the same competition without disclosure to both.</w:t>
      </w:r>
    </w:p>
    <w:p>
      <w:pPr>
        <w:pStyle w:val="Heading2"/>
      </w:pPr>
      <w:r>
        <w:t>C7. Media, images and data</w:t>
      </w:r>
    </w:p>
    <w:p>
      <w:r>
        <w:rPr>
          <w:b/>
        </w:rPr>
        <w:t>C7.1</w:t>
      </w:r>
      <w:r>
        <w:t xml:space="preserve"> Photography and recording at competitions is permitted only as provided in Schedule G and only with participant consent captured under the Consent and Media Release form.</w:t>
      </w:r>
    </w:p>
    <w:p>
      <w:r>
        <w:rPr>
          <w:b/>
        </w:rPr>
        <w:t>C7.2</w:t>
      </w:r>
      <w:r>
        <w:t xml:space="preserve"> Participant registration data is collected by the Institute as data fiduciary, with a compliant notice and consent. Results may be published, comprising name, institution, team and placing only.</w:t>
      </w:r>
    </w:p>
    <w:p>
      <w:pPr>
        <w:spacing w:before="80" w:after="160"/>
        <w:pBdr>
          <w:bottom w:val="single" w:sz="6" w:space="1" w:color="C9D6DE"/>
        </w:pBdr>
      </w:pPr>
    </w:p>
    <w:p>
      <w:r>
        <w:br w:type="page"/>
      </w:r>
    </w:p>
    <w:p>
      <w:pPr>
        <w:pStyle w:val="Heading1"/>
        <w:pBdr>
          <w:bottom w:val="single" w:sz="8" w:space="4" w:color="C9D6DE"/>
        </w:pBdr>
      </w:pPr>
      <w:r>
        <w:t>SCHEDULE D · Workshops, Conferences and Events</w:t>
      </w:r>
    </w:p>
    <w:p>
      <w:pPr>
        <w:pStyle w:val="Heading2"/>
      </w:pPr>
      <w:r>
        <w:t>D1. Categories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2299"/>
            <w:shd w:val="clear" w:color="auto" w:fill="10375C"/>
          </w:tcPr>
          <w:p>
            <w:pPr>
              <w:spacing w:after="50" w:before="50"/>
            </w:pPr>
            <w:r>
              <w:rPr>
                <w:b/>
                <w:color w:val="FFFFFF"/>
                <w:sz w:val="17"/>
              </w:rPr>
              <w:t>Category</w:t>
            </w:r>
          </w:p>
        </w:tc>
        <w:tc>
          <w:tcPr>
            <w:tcW w:type="dxa" w:w="4265"/>
            <w:shd w:val="clear" w:color="auto" w:fill="10375C"/>
          </w:tcPr>
          <w:p>
            <w:pPr>
              <w:spacing w:after="50" w:before="50"/>
            </w:pPr>
            <w:r>
              <w:rPr>
                <w:b/>
                <w:color w:val="FFFFFF"/>
                <w:sz w:val="17"/>
              </w:rPr>
              <w:t>Examples</w:t>
            </w:r>
          </w:p>
        </w:tc>
        <w:tc>
          <w:tcPr>
            <w:tcW w:type="dxa" w:w="2903"/>
            <w:shd w:val="clear" w:color="auto" w:fill="10375C"/>
          </w:tcPr>
          <w:p>
            <w:pPr>
              <w:spacing w:after="50" w:before="50"/>
            </w:pPr>
            <w:r>
              <w:rPr>
                <w:b/>
                <w:color w:val="FFFFFF"/>
                <w:sz w:val="17"/>
              </w:rPr>
              <w:t>Typical basis</w:t>
            </w:r>
          </w:p>
        </w:tc>
      </w:tr>
      <w:tr>
        <w:tc>
          <w:tcPr>
            <w:tcW w:type="dxa" w:w="2299"/>
          </w:tcPr>
          <w:p>
            <w:pPr>
              <w:spacing w:after="50" w:before="50" w:line="252" w:lineRule="auto"/>
            </w:pPr>
            <w:r>
              <w:rPr>
                <w:b/>
                <w:sz w:val="17"/>
              </w:rPr>
              <w:t>Skills workshops</w:t>
            </w:r>
          </w:p>
        </w:tc>
        <w:tc>
          <w:tcPr>
            <w:tcW w:type="dxa" w:w="4265"/>
          </w:tcPr>
          <w:p>
            <w:pPr>
              <w:spacing w:after="50" w:before="50" w:line="252" w:lineRule="auto"/>
            </w:pPr>
            <w:r>
              <w:rPr>
                <w:sz w:val="17"/>
              </w:rPr>
              <w:t>Mediation advocacy, negotiation laboratory, drafting clinic, arbitration series, ODR, caucusing, conflict coaching</w:t>
            </w:r>
          </w:p>
        </w:tc>
        <w:tc>
          <w:tcPr>
            <w:tcW w:type="dxa" w:w="2903"/>
          </w:tcPr>
          <w:p>
            <w:pPr>
              <w:spacing w:after="50" w:before="50" w:line="252" w:lineRule="auto"/>
            </w:pPr>
            <w:r>
              <w:rPr>
                <w:sz w:val="17"/>
              </w:rPr>
              <w:t>Paid, per Schedule H</w:t>
            </w:r>
          </w:p>
        </w:tc>
      </w:tr>
      <w:tr>
        <w:tc>
          <w:tcPr>
            <w:tcW w:type="dxa" w:w="2299"/>
            <w:shd w:val="clear" w:color="auto" w:fill="EAF1F4"/>
          </w:tcPr>
          <w:p>
            <w:pPr>
              <w:spacing w:after="50" w:before="50" w:line="252" w:lineRule="auto"/>
            </w:pPr>
            <w:r>
              <w:rPr>
                <w:b/>
                <w:sz w:val="17"/>
              </w:rPr>
              <w:t>Guest and orientation sessions</w:t>
            </w:r>
          </w:p>
        </w:tc>
        <w:tc>
          <w:tcPr>
            <w:tcW w:type="dxa" w:w="4265"/>
            <w:shd w:val="clear" w:color="auto" w:fill="EAF1F4"/>
          </w:tcPr>
          <w:p>
            <w:pPr>
              <w:spacing w:after="50" w:before="50" w:line="252" w:lineRule="auto"/>
            </w:pPr>
            <w:r>
              <w:rPr>
                <w:sz w:val="17"/>
              </w:rPr>
              <w:t>Annual guest lecture; programme launch; awareness session</w:t>
            </w:r>
          </w:p>
        </w:tc>
        <w:tc>
          <w:tcPr>
            <w:tcW w:type="dxa" w:w="2903"/>
            <w:shd w:val="clear" w:color="auto" w:fill="EAF1F4"/>
          </w:tcPr>
          <w:p>
            <w:pPr>
              <w:spacing w:after="50" w:before="50" w:line="252" w:lineRule="auto"/>
            </w:pPr>
            <w:r>
              <w:rPr>
                <w:sz w:val="17"/>
              </w:rPr>
              <w:t>One per Academic Year at no charge</w:t>
            </w:r>
          </w:p>
        </w:tc>
      </w:tr>
      <w:tr>
        <w:tc>
          <w:tcPr>
            <w:tcW w:type="dxa" w:w="2299"/>
          </w:tcPr>
          <w:p>
            <w:pPr>
              <w:spacing w:after="50" w:before="50" w:line="252" w:lineRule="auto"/>
            </w:pPr>
            <w:r>
              <w:rPr>
                <w:b/>
                <w:sz w:val="17"/>
              </w:rPr>
              <w:t>Flagship events</w:t>
            </w:r>
          </w:p>
        </w:tc>
        <w:tc>
          <w:tcPr>
            <w:tcW w:type="dxa" w:w="4265"/>
          </w:tcPr>
          <w:p>
            <w:pPr>
              <w:spacing w:after="50" w:before="50" w:line="252" w:lineRule="auto"/>
            </w:pPr>
            <w:r>
              <w:rPr>
                <w:sz w:val="17"/>
              </w:rPr>
              <w:t>Annual ADR conference; Mediation Week; distinguished lecture series</w:t>
            </w:r>
          </w:p>
        </w:tc>
        <w:tc>
          <w:tcPr>
            <w:tcW w:type="dxa" w:w="2903"/>
          </w:tcPr>
          <w:p>
            <w:pPr>
              <w:spacing w:after="50" w:before="50" w:line="252" w:lineRule="auto"/>
            </w:pPr>
            <w:r>
              <w:rPr>
                <w:sz w:val="17"/>
              </w:rPr>
              <w:t>Cost-shared</w:t>
            </w:r>
          </w:p>
        </w:tc>
      </w:tr>
      <w:tr>
        <w:tc>
          <w:tcPr>
            <w:tcW w:type="dxa" w:w="2299"/>
            <w:shd w:val="clear" w:color="auto" w:fill="EAF1F4"/>
          </w:tcPr>
          <w:p>
            <w:pPr>
              <w:spacing w:after="50" w:before="50" w:line="252" w:lineRule="auto"/>
            </w:pPr>
            <w:r>
              <w:rPr>
                <w:b/>
                <w:sz w:val="17"/>
              </w:rPr>
              <w:t>Judicial and professional</w:t>
            </w:r>
          </w:p>
        </w:tc>
        <w:tc>
          <w:tcPr>
            <w:tcW w:type="dxa" w:w="4265"/>
            <w:shd w:val="clear" w:color="auto" w:fill="EAF1F4"/>
          </w:tcPr>
          <w:p>
            <w:pPr>
              <w:spacing w:after="50" w:before="50" w:line="252" w:lineRule="auto"/>
            </w:pPr>
            <w:r>
              <w:rPr>
                <w:sz w:val="17"/>
              </w:rPr>
              <w:t>Roundtable with the District Legal Services Authority and judiciary; bar continuing education</w:t>
            </w:r>
          </w:p>
        </w:tc>
        <w:tc>
          <w:tcPr>
            <w:tcW w:type="dxa" w:w="2903"/>
            <w:shd w:val="clear" w:color="auto" w:fill="EAF1F4"/>
          </w:tcPr>
          <w:p>
            <w:pPr>
              <w:spacing w:after="50" w:before="50" w:line="252" w:lineRule="auto"/>
            </w:pPr>
            <w:r>
              <w:rPr>
                <w:sz w:val="17"/>
              </w:rPr>
              <w:t>Cost-shared; no fee sought from public authorities</w:t>
            </w:r>
          </w:p>
        </w:tc>
      </w:tr>
      <w:tr>
        <w:tc>
          <w:tcPr>
            <w:tcW w:type="dxa" w:w="2299"/>
          </w:tcPr>
          <w:p>
            <w:pPr>
              <w:spacing w:after="50" w:before="50" w:line="252" w:lineRule="auto"/>
            </w:pPr>
            <w:r>
              <w:rPr>
                <w:b/>
                <w:sz w:val="17"/>
              </w:rPr>
              <w:t>Community and outreach</w:t>
            </w:r>
          </w:p>
        </w:tc>
        <w:tc>
          <w:tcPr>
            <w:tcW w:type="dxa" w:w="4265"/>
          </w:tcPr>
          <w:p>
            <w:pPr>
              <w:spacing w:after="50" w:before="50" w:line="252" w:lineRule="auto"/>
            </w:pPr>
            <w:r>
              <w:rPr>
                <w:sz w:val="17"/>
              </w:rPr>
              <w:t>Awareness camps; village legal aid and mediation clinic; school peer-mediation cascade</w:t>
            </w:r>
          </w:p>
        </w:tc>
        <w:tc>
          <w:tcPr>
            <w:tcW w:type="dxa" w:w="2903"/>
          </w:tcPr>
          <w:p>
            <w:pPr>
              <w:spacing w:after="50" w:before="50" w:line="252" w:lineRule="auto"/>
            </w:pPr>
            <w:r>
              <w:rPr>
                <w:sz w:val="17"/>
              </w:rPr>
              <w:t>Cost-shared; may be sponsored</w:t>
            </w:r>
          </w:p>
        </w:tc>
      </w:tr>
      <w:tr>
        <w:tc>
          <w:tcPr>
            <w:tcW w:type="dxa" w:w="2299"/>
            <w:shd w:val="clear" w:color="auto" w:fill="EAF1F4"/>
          </w:tcPr>
          <w:p>
            <w:pPr>
              <w:spacing w:after="50" w:before="50" w:line="252" w:lineRule="auto"/>
            </w:pPr>
            <w:r>
              <w:rPr>
                <w:b/>
                <w:sz w:val="17"/>
              </w:rPr>
              <w:t>Residential schools</w:t>
            </w:r>
          </w:p>
        </w:tc>
        <w:tc>
          <w:tcPr>
            <w:tcW w:type="dxa" w:w="4265"/>
            <w:shd w:val="clear" w:color="auto" w:fill="EAF1F4"/>
          </w:tcPr>
          <w:p>
            <w:pPr>
              <w:spacing w:after="50" w:before="50" w:line="252" w:lineRule="auto"/>
            </w:pPr>
            <w:r>
              <w:rPr>
                <w:sz w:val="17"/>
              </w:rPr>
              <w:t>Summer and winter schools in vacation periods</w:t>
            </w:r>
          </w:p>
        </w:tc>
        <w:tc>
          <w:tcPr>
            <w:tcW w:type="dxa" w:w="2903"/>
            <w:shd w:val="clear" w:color="auto" w:fill="EAF1F4"/>
          </w:tcPr>
          <w:p>
            <w:pPr>
              <w:spacing w:after="50" w:before="50" w:line="252" w:lineRule="auto"/>
            </w:pPr>
            <w:r>
              <w:rPr>
                <w:sz w:val="17"/>
              </w:rPr>
              <w:t>Paid, per Schedule H</w:t>
            </w:r>
          </w:p>
        </w:tc>
      </w:tr>
      <w:tr>
        <w:tc>
          <w:tcPr>
            <w:tcW w:type="dxa" w:w="2299"/>
          </w:tcPr>
          <w:p>
            <w:pPr>
              <w:spacing w:after="50" w:before="50" w:line="252" w:lineRule="auto"/>
            </w:pPr>
            <w:r>
              <w:rPr>
                <w:b/>
                <w:sz w:val="17"/>
              </w:rPr>
              <w:t>Innovation</w:t>
            </w:r>
          </w:p>
        </w:tc>
        <w:tc>
          <w:tcPr>
            <w:tcW w:type="dxa" w:w="4265"/>
          </w:tcPr>
          <w:p>
            <w:pPr>
              <w:spacing w:after="50" w:before="50" w:line="252" w:lineRule="auto"/>
            </w:pPr>
            <w:r>
              <w:rPr>
                <w:sz w:val="17"/>
              </w:rPr>
              <w:t>ODR hackathon with technical departments; case-study competition</w:t>
            </w:r>
          </w:p>
        </w:tc>
        <w:tc>
          <w:tcPr>
            <w:tcW w:type="dxa" w:w="2903"/>
          </w:tcPr>
          <w:p>
            <w:pPr>
              <w:spacing w:after="50" w:before="50" w:line="252" w:lineRule="auto"/>
            </w:pPr>
            <w:r>
              <w:rPr>
                <w:sz w:val="17"/>
              </w:rPr>
              <w:t>Cost-shared or sponsored</w:t>
            </w:r>
          </w:p>
        </w:tc>
      </w:tr>
      <w:tr>
        <w:tc>
          <w:tcPr>
            <w:tcW w:type="dxa" w:w="2299"/>
            <w:shd w:val="clear" w:color="auto" w:fill="EAF1F4"/>
          </w:tcPr>
          <w:p>
            <w:pPr>
              <w:spacing w:after="50" w:before="50" w:line="252" w:lineRule="auto"/>
            </w:pPr>
            <w:r>
              <w:rPr>
                <w:b/>
                <w:sz w:val="17"/>
              </w:rPr>
              <w:t>Digital</w:t>
            </w:r>
          </w:p>
        </w:tc>
        <w:tc>
          <w:tcPr>
            <w:tcW w:type="dxa" w:w="4265"/>
            <w:shd w:val="clear" w:color="auto" w:fill="EAF1F4"/>
          </w:tcPr>
          <w:p>
            <w:pPr>
              <w:spacing w:after="50" w:before="50" w:line="252" w:lineRule="auto"/>
            </w:pPr>
            <w:r>
              <w:rPr>
                <w:sz w:val="17"/>
              </w:rPr>
              <w:t>National webinar series; podcast recording on campus</w:t>
            </w:r>
          </w:p>
        </w:tc>
        <w:tc>
          <w:tcPr>
            <w:tcW w:type="dxa" w:w="2903"/>
            <w:shd w:val="clear" w:color="auto" w:fill="EAF1F4"/>
          </w:tcPr>
          <w:p>
            <w:pPr>
              <w:spacing w:after="50" w:before="50" w:line="252" w:lineRule="auto"/>
            </w:pPr>
            <w:r>
              <w:rPr>
                <w:sz w:val="17"/>
              </w:rPr>
              <w:t>No charge</w:t>
            </w:r>
          </w:p>
        </w:tc>
      </w:tr>
    </w:tbl>
    <w:p>
      <w:pPr>
        <w:spacing w:after="80" w:before="0"/>
      </w:pPr>
    </w:p>
    <w:p>
      <w:pPr>
        <w:pStyle w:val="Heading2"/>
      </w:pPr>
      <w:r>
        <w:t>D2. Standard cost-split</w:t>
      </w:r>
    </w:p>
    <w:p>
      <w:r>
        <w:t>Unless otherwise agreed in writing for a specific event: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6527"/>
            <w:shd w:val="clear" w:color="auto" w:fill="10375C"/>
          </w:tcPr>
          <w:p>
            <w:pPr>
              <w:spacing w:after="50" w:before="50"/>
            </w:pPr>
            <w:r>
              <w:rPr>
                <w:b/>
                <w:color w:val="FFFFFF"/>
                <w:sz w:val="17"/>
              </w:rPr>
              <w:t>Item</w:t>
            </w:r>
          </w:p>
        </w:tc>
        <w:tc>
          <w:tcPr>
            <w:tcW w:type="dxa" w:w="2230"/>
            <w:shd w:val="clear" w:color="auto" w:fill="10375C"/>
          </w:tcPr>
          <w:p>
            <w:pPr>
              <w:spacing w:after="50" w:before="50"/>
            </w:pPr>
            <w:r>
              <w:rPr>
                <w:b/>
                <w:color w:val="FFFFFF"/>
                <w:sz w:val="17"/>
              </w:rPr>
              <w:t>University</w:t>
            </w:r>
          </w:p>
        </w:tc>
        <w:tc>
          <w:tcPr>
            <w:tcW w:type="dxa" w:w="850"/>
            <w:shd w:val="clear" w:color="auto" w:fill="10375C"/>
          </w:tcPr>
          <w:p>
            <w:pPr>
              <w:spacing w:after="50" w:before="50"/>
            </w:pPr>
            <w:r>
              <w:rPr>
                <w:b/>
                <w:color w:val="FFFFFF"/>
                <w:sz w:val="17"/>
              </w:rPr>
              <w:t>Institute</w:t>
            </w:r>
          </w:p>
        </w:tc>
      </w:tr>
      <w:tr>
        <w:tc>
          <w:tcPr>
            <w:tcW w:type="dxa" w:w="6527"/>
          </w:tcPr>
          <w:p>
            <w:pPr>
              <w:spacing w:after="50" w:before="50" w:line="252" w:lineRule="auto"/>
            </w:pPr>
            <w:r>
              <w:rPr>
                <w:sz w:val="17"/>
              </w:rPr>
              <w:t>Venue, halls, breakout rooms, power, air conditioning</w:t>
            </w:r>
          </w:p>
        </w:tc>
        <w:tc>
          <w:tcPr>
            <w:tcW w:type="dxa" w:w="2230"/>
          </w:tcPr>
          <w:p>
            <w:pPr>
              <w:spacing w:after="50" w:before="50" w:line="252" w:lineRule="auto"/>
            </w:pPr>
            <w:r>
              <w:rPr>
                <w:sz w:val="17"/>
              </w:rPr>
              <w:t>✔</w:t>
            </w:r>
          </w:p>
        </w:tc>
        <w:tc>
          <w:tcPr>
            <w:tcW w:type="dxa" w:w="850"/>
          </w:tcPr>
          <w:p>
            <w:pPr>
              <w:spacing w:after="50" w:before="50" w:line="252" w:lineRule="auto"/>
            </w:pPr>
          </w:p>
        </w:tc>
      </w:tr>
      <w:tr>
        <w:tc>
          <w:tcPr>
            <w:tcW w:type="dxa" w:w="6527"/>
            <w:shd w:val="clear" w:color="auto" w:fill="EAF1F4"/>
          </w:tcPr>
          <w:p>
            <w:pPr>
              <w:spacing w:after="50" w:before="50" w:line="252" w:lineRule="auto"/>
            </w:pPr>
            <w:r>
              <w:rPr>
                <w:sz w:val="17"/>
              </w:rPr>
              <w:t>Audio-visual, projection, public address</w:t>
            </w:r>
          </w:p>
        </w:tc>
        <w:tc>
          <w:tcPr>
            <w:tcW w:type="dxa" w:w="223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p>
        </w:tc>
      </w:tr>
      <w:tr>
        <w:tc>
          <w:tcPr>
            <w:tcW w:type="dxa" w:w="6527"/>
          </w:tcPr>
          <w:p>
            <w:pPr>
              <w:spacing w:after="50" w:before="50" w:line="252" w:lineRule="auto"/>
            </w:pPr>
            <w:r>
              <w:rPr>
                <w:sz w:val="17"/>
              </w:rPr>
              <w:t>Housekeeping, security, first aid</w:t>
            </w:r>
          </w:p>
        </w:tc>
        <w:tc>
          <w:tcPr>
            <w:tcW w:type="dxa" w:w="2230"/>
          </w:tcPr>
          <w:p>
            <w:pPr>
              <w:spacing w:after="50" w:before="50" w:line="252" w:lineRule="auto"/>
            </w:pPr>
            <w:r>
              <w:rPr>
                <w:sz w:val="17"/>
              </w:rPr>
              <w:t>✔</w:t>
            </w:r>
          </w:p>
        </w:tc>
        <w:tc>
          <w:tcPr>
            <w:tcW w:type="dxa" w:w="850"/>
          </w:tcPr>
          <w:p>
            <w:pPr>
              <w:spacing w:after="50" w:before="50" w:line="252" w:lineRule="auto"/>
            </w:pPr>
          </w:p>
        </w:tc>
      </w:tr>
      <w:tr>
        <w:tc>
          <w:tcPr>
            <w:tcW w:type="dxa" w:w="6527"/>
            <w:shd w:val="clear" w:color="auto" w:fill="EAF1F4"/>
          </w:tcPr>
          <w:p>
            <w:pPr>
              <w:spacing w:after="50" w:before="50" w:line="252" w:lineRule="auto"/>
            </w:pPr>
            <w:r>
              <w:rPr>
                <w:sz w:val="17"/>
              </w:rPr>
              <w:t>Student volunteers and internal mobilisation</w:t>
            </w:r>
          </w:p>
        </w:tc>
        <w:tc>
          <w:tcPr>
            <w:tcW w:type="dxa" w:w="223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p>
        </w:tc>
      </w:tr>
      <w:tr>
        <w:tc>
          <w:tcPr>
            <w:tcW w:type="dxa" w:w="6527"/>
          </w:tcPr>
          <w:p>
            <w:pPr>
              <w:spacing w:after="50" w:before="50" w:line="252" w:lineRule="auto"/>
            </w:pPr>
            <w:r>
              <w:rPr>
                <w:sz w:val="17"/>
              </w:rPr>
              <w:t>Hostel accommodation, where available</w:t>
            </w:r>
          </w:p>
        </w:tc>
        <w:tc>
          <w:tcPr>
            <w:tcW w:type="dxa" w:w="2230"/>
          </w:tcPr>
          <w:p>
            <w:pPr>
              <w:spacing w:after="50" w:before="50" w:line="252" w:lineRule="auto"/>
            </w:pPr>
            <w:r>
              <w:rPr>
                <w:sz w:val="17"/>
              </w:rPr>
              <w:t>✔</w:t>
            </w:r>
          </w:p>
        </w:tc>
        <w:tc>
          <w:tcPr>
            <w:tcW w:type="dxa" w:w="850"/>
          </w:tcPr>
          <w:p>
            <w:pPr>
              <w:spacing w:after="50" w:before="50" w:line="252" w:lineRule="auto"/>
            </w:pPr>
          </w:p>
        </w:tc>
      </w:tr>
      <w:tr>
        <w:tc>
          <w:tcPr>
            <w:tcW w:type="dxa" w:w="6527"/>
            <w:shd w:val="clear" w:color="auto" w:fill="EAF1F4"/>
          </w:tcPr>
          <w:p>
            <w:pPr>
              <w:spacing w:after="50" w:before="50" w:line="252" w:lineRule="auto"/>
            </w:pPr>
            <w:r>
              <w:rPr>
                <w:sz w:val="17"/>
              </w:rPr>
              <w:t>Local transport for guests within the city</w:t>
            </w:r>
          </w:p>
        </w:tc>
        <w:tc>
          <w:tcPr>
            <w:tcW w:type="dxa" w:w="2230"/>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p>
        </w:tc>
      </w:tr>
      <w:tr>
        <w:tc>
          <w:tcPr>
            <w:tcW w:type="dxa" w:w="6527"/>
          </w:tcPr>
          <w:p>
            <w:pPr>
              <w:spacing w:after="50" w:before="50" w:line="252" w:lineRule="auto"/>
            </w:pPr>
            <w:r>
              <w:rPr>
                <w:sz w:val="17"/>
              </w:rPr>
              <w:t>Programme design and content</w:t>
            </w:r>
          </w:p>
        </w:tc>
        <w:tc>
          <w:tcPr>
            <w:tcW w:type="dxa" w:w="2230"/>
          </w:tcPr>
          <w:p>
            <w:pPr>
              <w:spacing w:after="50" w:before="50" w:line="252" w:lineRule="auto"/>
            </w:pPr>
          </w:p>
        </w:tc>
        <w:tc>
          <w:tcPr>
            <w:tcW w:type="dxa" w:w="850"/>
          </w:tcPr>
          <w:p>
            <w:pPr>
              <w:spacing w:after="50" w:before="50" w:line="252" w:lineRule="auto"/>
            </w:pPr>
            <w:r>
              <w:rPr>
                <w:sz w:val="17"/>
              </w:rPr>
              <w:t>✔</w:t>
            </w:r>
          </w:p>
        </w:tc>
      </w:tr>
      <w:tr>
        <w:tc>
          <w:tcPr>
            <w:tcW w:type="dxa" w:w="6527"/>
            <w:shd w:val="clear" w:color="auto" w:fill="EAF1F4"/>
          </w:tcPr>
          <w:p>
            <w:pPr>
              <w:spacing w:after="50" w:before="50" w:line="252" w:lineRule="auto"/>
            </w:pPr>
            <w:r>
              <w:rPr>
                <w:sz w:val="17"/>
              </w:rPr>
              <w:t>Speakers, trainers and resource persons, and their fees</w:t>
            </w:r>
          </w:p>
        </w:tc>
        <w:tc>
          <w:tcPr>
            <w:tcW w:type="dxa" w:w="2230"/>
            <w:shd w:val="clear" w:color="auto" w:fill="EAF1F4"/>
          </w:tcPr>
          <w:p>
            <w:pPr>
              <w:spacing w:after="50" w:before="50" w:line="252" w:lineRule="auto"/>
            </w:pPr>
          </w:p>
        </w:tc>
        <w:tc>
          <w:tcPr>
            <w:tcW w:type="dxa" w:w="850"/>
            <w:shd w:val="clear" w:color="auto" w:fill="EAF1F4"/>
          </w:tcPr>
          <w:p>
            <w:pPr>
              <w:spacing w:after="50" w:before="50" w:line="252" w:lineRule="auto"/>
            </w:pPr>
            <w:r>
              <w:rPr>
                <w:sz w:val="17"/>
              </w:rPr>
              <w:t>✔</w:t>
            </w:r>
          </w:p>
        </w:tc>
      </w:tr>
      <w:tr>
        <w:tc>
          <w:tcPr>
            <w:tcW w:type="dxa" w:w="6527"/>
          </w:tcPr>
          <w:p>
            <w:pPr>
              <w:spacing w:after="50" w:before="50" w:line="252" w:lineRule="auto"/>
            </w:pPr>
            <w:r>
              <w:rPr>
                <w:sz w:val="17"/>
              </w:rPr>
              <w:t>Speaker travel and outstation accommodation</w:t>
            </w:r>
          </w:p>
        </w:tc>
        <w:tc>
          <w:tcPr>
            <w:tcW w:type="dxa" w:w="2230"/>
          </w:tcPr>
          <w:p>
            <w:pPr>
              <w:spacing w:after="50" w:before="50" w:line="252" w:lineRule="auto"/>
            </w:pPr>
          </w:p>
        </w:tc>
        <w:tc>
          <w:tcPr>
            <w:tcW w:type="dxa" w:w="850"/>
          </w:tcPr>
          <w:p>
            <w:pPr>
              <w:spacing w:after="50" w:before="50" w:line="252" w:lineRule="auto"/>
            </w:pPr>
            <w:r>
              <w:rPr>
                <w:sz w:val="17"/>
              </w:rPr>
              <w:t>✔</w:t>
            </w:r>
          </w:p>
        </w:tc>
      </w:tr>
      <w:tr>
        <w:tc>
          <w:tcPr>
            <w:tcW w:type="dxa" w:w="6527"/>
            <w:shd w:val="clear" w:color="auto" w:fill="EAF1F4"/>
          </w:tcPr>
          <w:p>
            <w:pPr>
              <w:spacing w:after="50" w:before="50" w:line="252" w:lineRule="auto"/>
            </w:pPr>
            <w:r>
              <w:rPr>
                <w:sz w:val="17"/>
              </w:rPr>
              <w:t>Participant materials, certificates, name badges</w:t>
            </w:r>
          </w:p>
        </w:tc>
        <w:tc>
          <w:tcPr>
            <w:tcW w:type="dxa" w:w="2230"/>
            <w:shd w:val="clear" w:color="auto" w:fill="EAF1F4"/>
          </w:tcPr>
          <w:p>
            <w:pPr>
              <w:spacing w:after="50" w:before="50" w:line="252" w:lineRule="auto"/>
            </w:pPr>
          </w:p>
        </w:tc>
        <w:tc>
          <w:tcPr>
            <w:tcW w:type="dxa" w:w="850"/>
            <w:shd w:val="clear" w:color="auto" w:fill="EAF1F4"/>
          </w:tcPr>
          <w:p>
            <w:pPr>
              <w:spacing w:after="50" w:before="50" w:line="252" w:lineRule="auto"/>
            </w:pPr>
            <w:r>
              <w:rPr>
                <w:sz w:val="17"/>
              </w:rPr>
              <w:t>✔</w:t>
            </w:r>
          </w:p>
        </w:tc>
      </w:tr>
      <w:tr>
        <w:tc>
          <w:tcPr>
            <w:tcW w:type="dxa" w:w="6527"/>
          </w:tcPr>
          <w:p>
            <w:pPr>
              <w:spacing w:after="50" w:before="50" w:line="252" w:lineRule="auto"/>
            </w:pPr>
            <w:r>
              <w:rPr>
                <w:sz w:val="17"/>
              </w:rPr>
              <w:t>Registration and attendance systems</w:t>
            </w:r>
          </w:p>
        </w:tc>
        <w:tc>
          <w:tcPr>
            <w:tcW w:type="dxa" w:w="2230"/>
          </w:tcPr>
          <w:p>
            <w:pPr>
              <w:spacing w:after="50" w:before="50" w:line="252" w:lineRule="auto"/>
            </w:pPr>
          </w:p>
        </w:tc>
        <w:tc>
          <w:tcPr>
            <w:tcW w:type="dxa" w:w="850"/>
          </w:tcPr>
          <w:p>
            <w:pPr>
              <w:spacing w:after="50" w:before="50" w:line="252" w:lineRule="auto"/>
            </w:pPr>
            <w:r>
              <w:rPr>
                <w:sz w:val="17"/>
              </w:rPr>
              <w:t>✔</w:t>
            </w:r>
          </w:p>
        </w:tc>
      </w:tr>
      <w:tr>
        <w:tc>
          <w:tcPr>
            <w:tcW w:type="dxa" w:w="6527"/>
            <w:shd w:val="clear" w:color="auto" w:fill="EAF1F4"/>
          </w:tcPr>
          <w:p>
            <w:pPr>
              <w:spacing w:after="50" w:before="50" w:line="252" w:lineRule="auto"/>
            </w:pPr>
            <w:r>
              <w:rPr>
                <w:sz w:val="17"/>
              </w:rPr>
              <w:t>Event branding and collateral</w:t>
            </w:r>
          </w:p>
        </w:tc>
        <w:tc>
          <w:tcPr>
            <w:tcW w:type="dxa" w:w="2230"/>
            <w:shd w:val="clear" w:color="auto" w:fill="EAF1F4"/>
          </w:tcPr>
          <w:p>
            <w:pPr>
              <w:spacing w:after="50" w:before="50" w:line="252" w:lineRule="auto"/>
            </w:pPr>
          </w:p>
        </w:tc>
        <w:tc>
          <w:tcPr>
            <w:tcW w:type="dxa" w:w="850"/>
            <w:shd w:val="clear" w:color="auto" w:fill="EAF1F4"/>
          </w:tcPr>
          <w:p>
            <w:pPr>
              <w:spacing w:after="50" w:before="50" w:line="252" w:lineRule="auto"/>
            </w:pPr>
            <w:r>
              <w:rPr>
                <w:sz w:val="17"/>
              </w:rPr>
              <w:t>✔</w:t>
            </w:r>
          </w:p>
        </w:tc>
      </w:tr>
      <w:tr>
        <w:tc>
          <w:tcPr>
            <w:tcW w:type="dxa" w:w="6527"/>
          </w:tcPr>
          <w:p>
            <w:pPr>
              <w:spacing w:after="50" w:before="50" w:line="252" w:lineRule="auto"/>
            </w:pPr>
            <w:r>
              <w:rPr>
                <w:sz w:val="17"/>
              </w:rPr>
              <w:t>Documentation, photography and post-event report</w:t>
            </w:r>
          </w:p>
        </w:tc>
        <w:tc>
          <w:tcPr>
            <w:tcW w:type="dxa" w:w="2230"/>
          </w:tcPr>
          <w:p>
            <w:pPr>
              <w:spacing w:after="50" w:before="50" w:line="252" w:lineRule="auto"/>
            </w:pPr>
          </w:p>
        </w:tc>
        <w:tc>
          <w:tcPr>
            <w:tcW w:type="dxa" w:w="850"/>
          </w:tcPr>
          <w:p>
            <w:pPr>
              <w:spacing w:after="50" w:before="50" w:line="252" w:lineRule="auto"/>
            </w:pPr>
            <w:r>
              <w:rPr>
                <w:sz w:val="17"/>
              </w:rPr>
              <w:t>✔</w:t>
            </w:r>
          </w:p>
        </w:tc>
      </w:tr>
      <w:tr>
        <w:tc>
          <w:tcPr>
            <w:tcW w:type="dxa" w:w="6527"/>
            <w:shd w:val="clear" w:color="auto" w:fill="EAF1F4"/>
          </w:tcPr>
          <w:p>
            <w:pPr>
              <w:spacing w:after="50" w:before="50" w:line="252" w:lineRule="auto"/>
            </w:pPr>
            <w:r>
              <w:rPr>
                <w:sz w:val="17"/>
              </w:rPr>
              <w:t>Refreshments and meals</w:t>
            </w:r>
          </w:p>
        </w:tc>
        <w:tc>
          <w:tcPr>
            <w:tcW w:type="dxa" w:w="2230"/>
            <w:shd w:val="clear" w:color="auto" w:fill="EAF1F4"/>
          </w:tcPr>
          <w:p>
            <w:pPr>
              <w:spacing w:after="50" w:before="50" w:line="252" w:lineRule="auto"/>
            </w:pPr>
            <w:r>
              <w:rPr>
                <w:sz w:val="17"/>
              </w:rPr>
              <w:t>By agreement, recorded in the event budget</w:t>
            </w:r>
          </w:p>
        </w:tc>
        <w:tc>
          <w:tcPr>
            <w:tcW w:type="dxa" w:w="850"/>
            <w:shd w:val="clear" w:color="auto" w:fill="EAF1F4"/>
          </w:tcPr>
          <w:p>
            <w:pPr>
              <w:spacing w:after="50" w:before="50" w:line="252" w:lineRule="auto"/>
            </w:pPr>
          </w:p>
        </w:tc>
      </w:tr>
      <w:tr>
        <w:tc>
          <w:tcPr>
            <w:tcW w:type="dxa" w:w="6527"/>
          </w:tcPr>
          <w:p>
            <w:pPr>
              <w:spacing w:after="50" w:before="50" w:line="252" w:lineRule="auto"/>
            </w:pPr>
            <w:r>
              <w:rPr>
                <w:sz w:val="17"/>
              </w:rPr>
              <w:t>Prize money and trophies</w:t>
            </w:r>
          </w:p>
        </w:tc>
        <w:tc>
          <w:tcPr>
            <w:tcW w:type="dxa" w:w="2230"/>
          </w:tcPr>
          <w:p>
            <w:pPr>
              <w:spacing w:after="50" w:before="50" w:line="252" w:lineRule="auto"/>
            </w:pPr>
          </w:p>
        </w:tc>
        <w:tc>
          <w:tcPr>
            <w:tcW w:type="dxa" w:w="850"/>
          </w:tcPr>
          <w:p>
            <w:pPr>
              <w:spacing w:after="50" w:before="50" w:line="252" w:lineRule="auto"/>
            </w:pPr>
            <w:r>
              <w:rPr>
                <w:sz w:val="17"/>
              </w:rPr>
              <w:t>✔</w:t>
            </w:r>
          </w:p>
        </w:tc>
      </w:tr>
      <w:tr>
        <w:tc>
          <w:tcPr>
            <w:tcW w:type="dxa" w:w="6527"/>
            <w:shd w:val="clear" w:color="auto" w:fill="EAF1F4"/>
          </w:tcPr>
          <w:p>
            <w:pPr>
              <w:spacing w:after="50" w:before="50" w:line="252" w:lineRule="auto"/>
            </w:pPr>
            <w:r>
              <w:rPr>
                <w:sz w:val="17"/>
              </w:rPr>
              <w:t>Sponsorship solicitation</w:t>
            </w:r>
          </w:p>
        </w:tc>
        <w:tc>
          <w:tcPr>
            <w:tcW w:type="dxa" w:w="2230"/>
            <w:shd w:val="clear" w:color="auto" w:fill="EAF1F4"/>
          </w:tcPr>
          <w:p>
            <w:pPr>
              <w:spacing w:after="50" w:before="50" w:line="252" w:lineRule="auto"/>
            </w:pPr>
            <w:r>
              <w:rPr>
                <w:sz w:val="17"/>
              </w:rPr>
              <w:t>By agreement</w:t>
            </w:r>
          </w:p>
        </w:tc>
        <w:tc>
          <w:tcPr>
            <w:tcW w:type="dxa" w:w="850"/>
            <w:shd w:val="clear" w:color="auto" w:fill="EAF1F4"/>
          </w:tcPr>
          <w:p>
            <w:pPr>
              <w:spacing w:after="50" w:before="50" w:line="252" w:lineRule="auto"/>
            </w:pPr>
          </w:p>
        </w:tc>
      </w:tr>
    </w:tbl>
    <w:p>
      <w:pPr>
        <w:spacing w:after="80" w:before="0"/>
      </w:pPr>
    </w:p>
    <w:p>
      <w:pPr>
        <w:pStyle w:val="Heading2"/>
      </w:pPr>
      <w:r>
        <w:t>D3. Event planning discipline</w:t>
      </w:r>
    </w:p>
    <w:p>
      <w:r>
        <w:rPr>
          <w:b/>
        </w:rPr>
        <w:t>D3.1</w:t>
      </w:r>
      <w:r>
        <w:t xml:space="preserve"> For any event with expected attendance above [●], the Parties shall agree a written event plan not less than </w:t>
      </w:r>
      <w:r>
        <w:rPr>
          <w:b/>
        </w:rPr>
        <w:t>forty-five days</w:t>
      </w:r>
      <w:r>
        <w:t xml:space="preserve"> in advance, comprising: objective and expected attendance; date, venue and layout; run sheet; budget and cost allocation; speaker list; branding plan; media plan; safety and first-aid arrangements; and named owners on both sides.</w:t>
      </w:r>
    </w:p>
    <w:p>
      <w:r>
        <w:rPr>
          <w:b/>
        </w:rPr>
        <w:t>D3.2</w:t>
      </w:r>
      <w:r>
        <w:t xml:space="preserve"> No public announcement of an event shall be made until the plan is agreed.</w:t>
      </w:r>
    </w:p>
    <w:p>
      <w:r>
        <w:rPr>
          <w:b/>
        </w:rPr>
        <w:t>D3.3</w:t>
      </w:r>
      <w:r>
        <w:t xml:space="preserve"> A post-event report shall be furnished by the Institute within twenty-one days, comprising attendance, feedback analysis, financial outturn, photographs and lessons.</w:t>
      </w:r>
    </w:p>
    <w:p>
      <w:pPr>
        <w:pStyle w:val="Heading2"/>
      </w:pPr>
      <w:r>
        <w:t>D4. Speakers, dignitaries and public authorities</w:t>
      </w:r>
    </w:p>
    <w:p>
      <w:r>
        <w:rPr>
          <w:b/>
        </w:rPr>
        <w:t>D4.1</w:t>
      </w:r>
      <w:r>
        <w:t xml:space="preserve"> Neither Party shall invite a judicial officer, public authority or dignitary in the name of the other without prior written approval.</w:t>
      </w:r>
    </w:p>
    <w:p>
      <w:r>
        <w:rPr>
          <w:b/>
        </w:rPr>
        <w:t>D4.2</w:t>
      </w:r>
      <w:r>
        <w:t xml:space="preserve"> No fee, honorarium or gift shall be offered to any public official except as permitted by Applicable Law and by the anti-bribery obligations at clause 13 of the Memorandum.</w:t>
      </w:r>
    </w:p>
    <w:p>
      <w:pPr>
        <w:pStyle w:val="Heading2"/>
      </w:pPr>
      <w:r>
        <w:t>D5. Safety, insurance and safeguarding</w:t>
      </w:r>
    </w:p>
    <w:p>
      <w:r>
        <w:rPr>
          <w:b/>
        </w:rPr>
        <w:t>D5.1</w:t>
      </w:r>
      <w:r>
        <w:t xml:space="preserve"> The University is responsible for the safety, security and statutory compliance of its premises, including fire safety, crowd management and emergency egress.</w:t>
      </w:r>
    </w:p>
    <w:p>
      <w:r>
        <w:rPr>
          <w:b/>
        </w:rPr>
        <w:t>D5.2</w:t>
      </w:r>
      <w:r>
        <w:t xml:space="preserve"> For any event involving participants under eighteen years of age, the Parties shall agree in advance the safeguarding arrangements, the supervision ratio, and the consent regime, in accordance with clause 12 of the Memorandum and the Institute's Safeguarding Policy.</w:t>
      </w:r>
    </w:p>
    <w:p>
      <w:r>
        <w:rPr>
          <w:b/>
        </w:rPr>
        <w:t>D5.3</w:t>
      </w:r>
      <w:r>
        <w:t xml:space="preserve"> For any residential event, the Parties shall agree in advance the accommodation, supervision and emergency arrangements, and separate written consent shall be obtained from every participant and, where applicable, guardian.</w:t>
      </w:r>
    </w:p>
    <w:p>
      <w:pPr>
        <w:pStyle w:val="Heading2"/>
      </w:pPr>
      <w:r>
        <w:t>D6. Cancellation</w:t>
      </w:r>
    </w:p>
    <w:p>
      <w:r>
        <w:t>The cancellation terms at B6 apply to paid events. For cost-shared events, each Party bears its own non-recoverable costs, save where cancellation is caused by the default of one Party, which shall bear the other's non-recoverable costs.</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EQ-UAP-032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Schedules A to D — Academic Engagement</w:t>
    </w:r>
    <w:r>
      <w:rPr>
        <w:rFonts w:ascii="Calibri" w:hAnsi="Calibri"/>
        <w:color w:val="595959"/>
        <w:sz w:val="16"/>
      </w:rPr>
      <w:tab/>
      <w:t>Confidential — Contract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CC0BD56-84CC-4444-9EB9-A0DD7F53CC16}"/>
</file>

<file path=customXml/itemProps3.xml><?xml version="1.0" encoding="utf-8"?>
<ds:datastoreItem xmlns:ds="http://schemas.openxmlformats.org/officeDocument/2006/customXml" ds:itemID="{4CC103E8-B441-4069-BD54-2CE3870A8EE3}"/>
</file>

<file path=customXml/itemProps4.xml><?xml version="1.0" encoding="utf-8"?>
<ds:datastoreItem xmlns:ds="http://schemas.openxmlformats.org/officeDocument/2006/customXml" ds:itemID="{DE37097E-7D56-4665-8647-097DC5A1232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