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Schedules E to H</w:t>
      </w:r>
    </w:p>
    <w:p>
      <w:pPr>
        <w:spacing w:after="280" w:line="276" w:lineRule="auto"/>
      </w:pPr>
      <w:r>
        <w:rPr>
          <w:rFonts w:ascii="Calibri" w:hAnsi="Calibri"/>
          <w:i/>
          <w:color w:val="3E6B8A"/>
          <w:sz w:val="25"/>
        </w:rPr>
        <w:t>Research and publications · Campus infrastructure and the ADR Laboratory · Brand, marketing and social media · Commercial terms</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EQ-UAP-033</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Contracting</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Contract template</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SCHEDULE E · Research and Publications</w:t>
      </w:r>
    </w:p>
    <w:p>
      <w:pPr>
        <w:pStyle w:val="Heading2"/>
      </w:pPr>
      <w:r>
        <w:t>E1. Purpose</w:t>
      </w:r>
    </w:p>
    <w:p>
      <w:r>
        <w:t>To provide for joint research, publication and knowledge creation in alternative dispute resolution, including empirical work drawing on anonymised outcome data from matters administered by Equator Resolution.</w:t>
      </w:r>
    </w:p>
    <w:p>
      <w:pPr>
        <w:pStyle w:val="Heading2"/>
      </w:pPr>
      <w:r>
        <w:t>E2. Forms of collaboration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493"/>
            <w:shd w:val="clear" w:color="auto" w:fill="10375C"/>
          </w:tcPr>
          <w:p>
            <w:pPr>
              <w:spacing w:after="50" w:before="50"/>
            </w:pPr>
            <w:r>
              <w:rPr>
                <w:b/>
                <w:color w:val="FFFFFF"/>
                <w:sz w:val="17"/>
              </w:rPr>
              <w:t>Form</w:t>
            </w:r>
          </w:p>
        </w:tc>
        <w:tc>
          <w:tcPr>
            <w:tcW w:type="dxa" w:w="5975"/>
            <w:shd w:val="clear" w:color="auto" w:fill="10375C"/>
          </w:tcPr>
          <w:p>
            <w:pPr>
              <w:spacing w:after="50" w:before="50"/>
            </w:pPr>
            <w:r>
              <w:rPr>
                <w:b/>
                <w:color w:val="FFFFFF"/>
                <w:sz w:val="17"/>
              </w:rPr>
              <w:t>Description</w:t>
            </w:r>
          </w:p>
        </w:tc>
      </w:tr>
      <w:tr>
        <w:tc>
          <w:tcPr>
            <w:tcW w:type="dxa" w:w="3493"/>
          </w:tcPr>
          <w:p>
            <w:pPr>
              <w:spacing w:after="50" w:before="50" w:line="252" w:lineRule="auto"/>
            </w:pPr>
            <w:r>
              <w:rPr>
                <w:b/>
                <w:sz w:val="17"/>
              </w:rPr>
              <w:t>Joint research projects</w:t>
            </w:r>
          </w:p>
        </w:tc>
        <w:tc>
          <w:tcPr>
            <w:tcW w:type="dxa" w:w="5975"/>
          </w:tcPr>
          <w:p>
            <w:pPr>
              <w:spacing w:after="50" w:before="50" w:line="252" w:lineRule="auto"/>
            </w:pPr>
            <w:r>
              <w:rPr>
                <w:sz w:val="17"/>
              </w:rPr>
              <w:t>Defined projects with an agreed scope, budget, timeline and outputs, recorded in a project note signed by both Nodal Officers</w:t>
            </w:r>
          </w:p>
        </w:tc>
      </w:tr>
      <w:tr>
        <w:tc>
          <w:tcPr>
            <w:tcW w:type="dxa" w:w="3493"/>
            <w:shd w:val="clear" w:color="auto" w:fill="EAF1F4"/>
          </w:tcPr>
          <w:p>
            <w:pPr>
              <w:spacing w:after="50" w:before="50" w:line="252" w:lineRule="auto"/>
            </w:pPr>
            <w:r>
              <w:rPr>
                <w:b/>
                <w:sz w:val="17"/>
              </w:rPr>
              <w:t>Research chair or centre</w:t>
            </w:r>
          </w:p>
        </w:tc>
        <w:tc>
          <w:tcPr>
            <w:tcW w:type="dxa" w:w="5975"/>
            <w:shd w:val="clear" w:color="auto" w:fill="EAF1F4"/>
          </w:tcPr>
          <w:p>
            <w:pPr>
              <w:spacing w:after="50" w:before="50" w:line="252" w:lineRule="auto"/>
            </w:pPr>
            <w:r>
              <w:rPr>
                <w:sz w:val="17"/>
              </w:rPr>
              <w:t>Where provided in the Activity Calendar, a co-branded research position or centre, on terms separately agreed</w:t>
            </w:r>
          </w:p>
        </w:tc>
      </w:tr>
      <w:tr>
        <w:tc>
          <w:tcPr>
            <w:tcW w:type="dxa" w:w="3493"/>
          </w:tcPr>
          <w:p>
            <w:pPr>
              <w:spacing w:after="50" w:before="50" w:line="252" w:lineRule="auto"/>
            </w:pPr>
            <w:r>
              <w:rPr>
                <w:b/>
                <w:sz w:val="17"/>
              </w:rPr>
              <w:t>Research internships</w:t>
            </w:r>
          </w:p>
        </w:tc>
        <w:tc>
          <w:tcPr>
            <w:tcW w:type="dxa" w:w="5975"/>
          </w:tcPr>
          <w:p>
            <w:pPr>
              <w:spacing w:after="50" w:before="50" w:line="252" w:lineRule="auto"/>
            </w:pPr>
            <w:r>
              <w:rPr>
                <w:sz w:val="17"/>
              </w:rPr>
              <w:t>Level IV placements under Schedule A</w:t>
            </w:r>
          </w:p>
        </w:tc>
      </w:tr>
      <w:tr>
        <w:tc>
          <w:tcPr>
            <w:tcW w:type="dxa" w:w="3493"/>
            <w:shd w:val="clear" w:color="auto" w:fill="EAF1F4"/>
          </w:tcPr>
          <w:p>
            <w:pPr>
              <w:spacing w:after="50" w:before="50" w:line="252" w:lineRule="auto"/>
            </w:pPr>
            <w:r>
              <w:rPr>
                <w:b/>
                <w:sz w:val="17"/>
              </w:rPr>
              <w:t>Annual national report</w:t>
            </w:r>
          </w:p>
        </w:tc>
        <w:tc>
          <w:tcPr>
            <w:tcW w:type="dxa" w:w="5975"/>
            <w:shd w:val="clear" w:color="auto" w:fill="EAF1F4"/>
          </w:tcPr>
          <w:p>
            <w:pPr>
              <w:spacing w:after="50" w:before="50" w:line="252" w:lineRule="auto"/>
            </w:pPr>
            <w:r>
              <w:rPr>
                <w:sz w:val="17"/>
              </w:rPr>
              <w:t>Contribution to the Institute's annual report on the state of mediation practice</w:t>
            </w:r>
          </w:p>
        </w:tc>
      </w:tr>
      <w:tr>
        <w:tc>
          <w:tcPr>
            <w:tcW w:type="dxa" w:w="3493"/>
          </w:tcPr>
          <w:p>
            <w:pPr>
              <w:spacing w:after="50" w:before="50" w:line="252" w:lineRule="auto"/>
            </w:pPr>
            <w:r>
              <w:rPr>
                <w:b/>
                <w:sz w:val="17"/>
              </w:rPr>
              <w:t>Working paper series</w:t>
            </w:r>
          </w:p>
        </w:tc>
        <w:tc>
          <w:tcPr>
            <w:tcW w:type="dxa" w:w="5975"/>
          </w:tcPr>
          <w:p>
            <w:pPr>
              <w:spacing w:after="50" w:before="50" w:line="252" w:lineRule="auto"/>
            </w:pPr>
            <w:r>
              <w:rPr>
                <w:sz w:val="17"/>
              </w:rPr>
              <w:t>Co-published working papers</w:t>
            </w:r>
          </w:p>
        </w:tc>
      </w:tr>
      <w:tr>
        <w:tc>
          <w:tcPr>
            <w:tcW w:type="dxa" w:w="3493"/>
            <w:shd w:val="clear" w:color="auto" w:fill="EAF1F4"/>
          </w:tcPr>
          <w:p>
            <w:pPr>
              <w:spacing w:after="50" w:before="50" w:line="252" w:lineRule="auto"/>
            </w:pPr>
            <w:r>
              <w:rPr>
                <w:b/>
                <w:sz w:val="17"/>
              </w:rPr>
              <w:t>Doctoral supervision support</w:t>
            </w:r>
          </w:p>
        </w:tc>
        <w:tc>
          <w:tcPr>
            <w:tcW w:type="dxa" w:w="5975"/>
            <w:shd w:val="clear" w:color="auto" w:fill="EAF1F4"/>
          </w:tcPr>
          <w:p>
            <w:pPr>
              <w:spacing w:after="50" w:before="50" w:line="252" w:lineRule="auto"/>
            </w:pPr>
            <w:r>
              <w:rPr>
                <w:sz w:val="17"/>
              </w:rPr>
              <w:t>Access, subject to protocol, to Institute practitioners as external examiners or co-supervisors, at the University's request</w:t>
            </w:r>
          </w:p>
        </w:tc>
      </w:tr>
      <w:tr>
        <w:tc>
          <w:tcPr>
            <w:tcW w:type="dxa" w:w="3493"/>
          </w:tcPr>
          <w:p>
            <w:pPr>
              <w:spacing w:after="50" w:before="50" w:line="252" w:lineRule="auto"/>
            </w:pPr>
            <w:r>
              <w:rPr>
                <w:b/>
                <w:sz w:val="17"/>
              </w:rPr>
              <w:t>Journal and law review</w:t>
            </w:r>
          </w:p>
        </w:tc>
        <w:tc>
          <w:tcPr>
            <w:tcW w:type="dxa" w:w="5975"/>
          </w:tcPr>
          <w:p>
            <w:pPr>
              <w:spacing w:after="50" w:before="50" w:line="252" w:lineRule="auto"/>
            </w:pPr>
            <w:r>
              <w:rPr>
                <w:sz w:val="17"/>
              </w:rPr>
              <w:t>Contribution of practitioner content; peer review support</w:t>
            </w:r>
          </w:p>
        </w:tc>
      </w:tr>
    </w:tbl>
    <w:p>
      <w:pPr>
        <w:spacing w:after="80" w:before="0"/>
      </w:pPr>
    </w:p>
    <w:p>
      <w:pPr>
        <w:pStyle w:val="Heading2"/>
      </w:pPr>
      <w:r>
        <w:t>E3. Data access and protocol</w:t>
      </w:r>
    </w:p>
    <w:p>
      <w:r>
        <w:rPr>
          <w:b/>
        </w:rPr>
        <w:t>E3.1</w:t>
      </w:r>
      <w:r>
        <w:t xml:space="preserve"> The Institute may make available anonymised and aggregated data derived from matters it or Equator Resolution administers, </w:t>
      </w:r>
      <w:r>
        <w:rPr>
          <w:b/>
        </w:rPr>
        <w:t>strictly</w:t>
      </w:r>
      <w:r>
        <w:t xml:space="preserve"> in accordance with its Research Ethics and Data Protocol.</w:t>
      </w:r>
    </w:p>
    <w:p>
      <w:r>
        <w:rPr>
          <w:b/>
        </w:rPr>
        <w:t>E3.2</w:t>
      </w:r>
      <w:r>
        <w:t xml:space="preserve"> No data shall be released which identifies, or is reasonably capable of identifying, any party, neutral or matter. Small-cell suppression and other disclosure controls shall be applied.</w:t>
      </w:r>
    </w:p>
    <w:p>
      <w:r>
        <w:rPr>
          <w:b/>
        </w:rPr>
        <w:t>E3.3</w:t>
      </w:r>
      <w:r>
        <w:t xml:space="preserve"> Release of any data set requires the written approval of the Institute's Research Lead and Data Protection Officer, recorded in a data release note.</w:t>
      </w:r>
    </w:p>
    <w:p>
      <w:r>
        <w:rPr>
          <w:b/>
        </w:rPr>
        <w:t>E3.4</w:t>
      </w:r>
      <w:r>
        <w:t xml:space="preserve"> Nothing in this Schedule permits disclosure of anything protected by the confidentiality provisions of the Mediation Act, 2023 or by any obligation owed to a party to a matter. Where there is any doubt, data shall not be released.</w:t>
      </w:r>
    </w:p>
    <w:p>
      <w:r>
        <w:rPr>
          <w:b/>
        </w:rPr>
        <w:t>E3.5</w:t>
      </w:r>
      <w:r>
        <w:t xml:space="preserve"> Researchers accessing data shall execute the Institute's researcher undertaking, and shall not attempt to re-identify any individual or matter.</w:t>
      </w:r>
    </w:p>
    <w:p>
      <w:pPr>
        <w:pStyle w:val="Heading2"/>
      </w:pPr>
      <w:r>
        <w:t>E4. Authorship and publication</w:t>
      </w:r>
    </w:p>
    <w:p>
      <w:r>
        <w:rPr>
          <w:b/>
        </w:rPr>
        <w:t>E4.1</w:t>
      </w:r>
      <w:r>
        <w:t xml:space="preserve"> Authorship is determined by substantive intellectual contribution, in accordance with the Institute's Authorship, IP and Publication Policy. Position and seniority do not confer authorship.</w:t>
      </w:r>
    </w:p>
    <w:p>
      <w:r>
        <w:rPr>
          <w:b/>
        </w:rPr>
        <w:t>E4.2</w:t>
      </w:r>
      <w:r>
        <w:t xml:space="preserve"> Every intended author shall approve the final manuscript before submission.</w:t>
      </w:r>
    </w:p>
    <w:p>
      <w:r>
        <w:rPr>
          <w:b/>
        </w:rPr>
        <w:t>E4.3</w:t>
      </w:r>
      <w:r>
        <w:t xml:space="preserve"> The Institute shall be given </w:t>
      </w:r>
      <w:r>
        <w:rPr>
          <w:b/>
        </w:rPr>
        <w:t>thirty days</w:t>
      </w:r>
      <w:r>
        <w:t xml:space="preserve"> to review any manuscript drawing on its data or materials, solely to verify that no confidential or identifying information is disclosed and that no statement is made that misrepresents the Institute's practice. </w:t>
      </w:r>
      <w:r>
        <w:rPr>
          <w:b/>
        </w:rPr>
        <w:t>The Institute shall not have the right to suppress a finding on the ground that it is unfavourable</w:t>
      </w:r>
      <w:r>
        <w:t>, and this limitation is expressly recorded as a condition of academic freedom.</w:t>
      </w:r>
    </w:p>
    <w:p>
      <w:r>
        <w:rPr>
          <w:b/>
        </w:rPr>
        <w:t>E4.4</w:t>
      </w:r>
      <w:r>
        <w:t xml:space="preserve"> Publications shall carry the affiliations of both institutions and shall acknowledge the collaboration.</w:t>
      </w:r>
    </w:p>
    <w:p>
      <w:r>
        <w:rPr>
          <w:b/>
        </w:rPr>
        <w:t>E4.5</w:t>
      </w:r>
      <w:r>
        <w:t xml:space="preserve"> Neither Party shall use a publication in advertising in a manner that overstates its findings.</w:t>
      </w:r>
    </w:p>
    <w:p>
      <w:pPr>
        <w:pStyle w:val="Heading2"/>
      </w:pPr>
      <w:r>
        <w:t>E5. Funding and outputs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90"/>
            <w:shd w:val="clear" w:color="auto" w:fill="10375C"/>
          </w:tcPr>
          <w:p>
            <w:pPr>
              <w:spacing w:after="50" w:before="50"/>
            </w:pPr>
            <w:r>
              <w:rPr>
                <w:b/>
                <w:color w:val="FFFFFF"/>
                <w:sz w:val="17"/>
              </w:rPr>
              <w:t>Item</w:t>
            </w:r>
          </w:p>
        </w:tc>
        <w:tc>
          <w:tcPr>
            <w:tcW w:type="dxa" w:w="6777"/>
            <w:shd w:val="clear" w:color="auto" w:fill="10375C"/>
          </w:tcPr>
          <w:p>
            <w:pPr>
              <w:spacing w:after="50" w:before="50"/>
            </w:pPr>
            <w:r>
              <w:rPr>
                <w:b/>
                <w:color w:val="FFFFFF"/>
                <w:sz w:val="17"/>
              </w:rPr>
              <w:t>Position</w:t>
            </w:r>
          </w:p>
        </w:tc>
      </w:tr>
      <w:tr>
        <w:tc>
          <w:tcPr>
            <w:tcW w:type="dxa" w:w="2690"/>
          </w:tcPr>
          <w:p>
            <w:pPr>
              <w:spacing w:after="50" w:before="50" w:line="252" w:lineRule="auto"/>
            </w:pPr>
            <w:r>
              <w:rPr>
                <w:sz w:val="17"/>
              </w:rPr>
              <w:t>Funding</w:t>
            </w:r>
          </w:p>
        </w:tc>
        <w:tc>
          <w:tcPr>
            <w:tcW w:type="dxa" w:w="6777"/>
          </w:tcPr>
          <w:p>
            <w:pPr>
              <w:spacing w:after="50" w:before="50" w:line="252" w:lineRule="auto"/>
            </w:pPr>
            <w:r>
              <w:rPr>
                <w:sz w:val="17"/>
              </w:rPr>
              <w:t>As agreed per project; either Party may seek external funding on notice to the other</w:t>
            </w:r>
          </w:p>
        </w:tc>
      </w:tr>
      <w:tr>
        <w:tc>
          <w:tcPr>
            <w:tcW w:type="dxa" w:w="2690"/>
            <w:shd w:val="clear" w:color="auto" w:fill="EAF1F4"/>
          </w:tcPr>
          <w:p>
            <w:pPr>
              <w:spacing w:after="50" w:before="50" w:line="252" w:lineRule="auto"/>
            </w:pPr>
            <w:r>
              <w:rPr>
                <w:sz w:val="17"/>
              </w:rPr>
              <w:t>Ownership of research outputs</w:t>
            </w:r>
          </w:p>
        </w:tc>
        <w:tc>
          <w:tcPr>
            <w:tcW w:type="dxa" w:w="6777"/>
            <w:shd w:val="clear" w:color="auto" w:fill="EAF1F4"/>
          </w:tcPr>
          <w:p>
            <w:pPr>
              <w:spacing w:after="50" w:before="50" w:line="252" w:lineRule="auto"/>
            </w:pPr>
            <w:r>
              <w:rPr>
                <w:sz w:val="17"/>
              </w:rPr>
              <w:t>Joint, in proportion to contribution, unless the project note provides otherwise</w:t>
            </w:r>
          </w:p>
        </w:tc>
      </w:tr>
      <w:tr>
        <w:tc>
          <w:tcPr>
            <w:tcW w:type="dxa" w:w="2690"/>
          </w:tcPr>
          <w:p>
            <w:pPr>
              <w:spacing w:after="50" w:before="50" w:line="252" w:lineRule="auto"/>
            </w:pPr>
            <w:r>
              <w:rPr>
                <w:sz w:val="17"/>
              </w:rPr>
              <w:t>Commercialisation</w:t>
            </w:r>
          </w:p>
        </w:tc>
        <w:tc>
          <w:tcPr>
            <w:tcW w:type="dxa" w:w="6777"/>
          </w:tcPr>
          <w:p>
            <w:pPr>
              <w:spacing w:after="50" w:before="50" w:line="252" w:lineRule="auto"/>
            </w:pPr>
            <w:r>
              <w:rPr>
                <w:sz w:val="17"/>
              </w:rPr>
              <w:t>Not without the written consent of both Parties</w:t>
            </w:r>
          </w:p>
        </w:tc>
      </w:tr>
      <w:tr>
        <w:tc>
          <w:tcPr>
            <w:tcW w:type="dxa" w:w="2690"/>
            <w:shd w:val="clear" w:color="auto" w:fill="EAF1F4"/>
          </w:tcPr>
          <w:p>
            <w:pPr>
              <w:spacing w:after="50" w:before="50" w:line="252" w:lineRule="auto"/>
            </w:pPr>
            <w:r>
              <w:rPr>
                <w:sz w:val="17"/>
              </w:rPr>
              <w:t>Open access</w:t>
            </w:r>
          </w:p>
        </w:tc>
        <w:tc>
          <w:tcPr>
            <w:tcW w:type="dxa" w:w="6777"/>
            <w:shd w:val="clear" w:color="auto" w:fill="EAF1F4"/>
          </w:tcPr>
          <w:p>
            <w:pPr>
              <w:spacing w:after="50" w:before="50" w:line="252" w:lineRule="auto"/>
            </w:pPr>
            <w:r>
              <w:rPr>
                <w:sz w:val="17"/>
              </w:rPr>
              <w:t>Preferred where the publisher permits</w:t>
            </w:r>
          </w:p>
        </w:tc>
      </w:tr>
      <w:tr>
        <w:tc>
          <w:tcPr>
            <w:tcW w:type="dxa" w:w="2690"/>
          </w:tcPr>
          <w:p>
            <w:pPr>
              <w:spacing w:after="50" w:before="50" w:line="252" w:lineRule="auto"/>
            </w:pPr>
            <w:r>
              <w:rPr>
                <w:sz w:val="17"/>
              </w:rPr>
              <w:t>Data retention</w:t>
            </w:r>
          </w:p>
        </w:tc>
        <w:tc>
          <w:tcPr>
            <w:tcW w:type="dxa" w:w="6777"/>
          </w:tcPr>
          <w:p>
            <w:pPr>
              <w:spacing w:after="50" w:before="50" w:line="252" w:lineRule="auto"/>
            </w:pPr>
            <w:r>
              <w:rPr>
                <w:sz w:val="17"/>
              </w:rPr>
              <w:t>As stated in the project note and the data protocol</w:t>
            </w:r>
          </w:p>
        </w:tc>
      </w:tr>
    </w:tbl>
    <w:p>
      <w:pPr>
        <w:spacing w:after="80" w:before="0"/>
      </w:pPr>
    </w:p>
    <w:p>
      <w:pPr>
        <w:spacing w:before="80" w:after="160"/>
        <w:pBdr>
          <w:bottom w:val="single" w:sz="6" w:space="1" w:color="C9D6DE"/>
        </w:pBdr>
      </w:pPr>
    </w:p>
    <w:p>
      <w:r>
        <w:br w:type="page"/>
      </w:r>
    </w:p>
    <w:p>
      <w:pPr>
        <w:pStyle w:val="Heading1"/>
        <w:pBdr>
          <w:bottom w:val="single" w:sz="8" w:space="4" w:color="C9D6DE"/>
        </w:pBdr>
      </w:pPr>
      <w:r>
        <w:t>SCHEDULE F · Campus Infrastructure and the ADR Laboratory</w:t>
      </w:r>
    </w:p>
    <w:p>
      <w:pPr>
        <w:pStyle w:val="Heading2"/>
      </w:pPr>
      <w:r>
        <w:t>F1. Facilities made available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4057"/>
            <w:shd w:val="clear" w:color="auto" w:fill="10375C"/>
          </w:tcPr>
          <w:p>
            <w:pPr>
              <w:spacing w:after="50" w:before="50"/>
            </w:pPr>
            <w:r>
              <w:rPr>
                <w:b/>
                <w:color w:val="FFFFFF"/>
                <w:sz w:val="17"/>
              </w:rPr>
              <w:t>Facility</w:t>
            </w:r>
          </w:p>
        </w:tc>
        <w:tc>
          <w:tcPr>
            <w:tcW w:type="dxa" w:w="1223"/>
            <w:shd w:val="clear" w:color="auto" w:fill="10375C"/>
          </w:tcPr>
          <w:p>
            <w:pPr>
              <w:spacing w:after="50" w:before="50"/>
            </w:pPr>
            <w:r>
              <w:rPr>
                <w:b/>
                <w:color w:val="FFFFFF"/>
                <w:sz w:val="17"/>
              </w:rPr>
              <w:t>Description</w:t>
            </w:r>
          </w:p>
        </w:tc>
        <w:tc>
          <w:tcPr>
            <w:tcW w:type="dxa" w:w="1809"/>
            <w:shd w:val="clear" w:color="auto" w:fill="10375C"/>
          </w:tcPr>
          <w:p>
            <w:pPr>
              <w:spacing w:after="50" w:before="50"/>
            </w:pPr>
            <w:r>
              <w:rPr>
                <w:b/>
                <w:color w:val="FFFFFF"/>
                <w:sz w:val="17"/>
              </w:rPr>
              <w:t>Basis</w:t>
            </w:r>
          </w:p>
        </w:tc>
        <w:tc>
          <w:tcPr>
            <w:tcW w:type="dxa" w:w="2379"/>
            <w:shd w:val="clear" w:color="auto" w:fill="10375C"/>
          </w:tcPr>
          <w:p>
            <w:pPr>
              <w:spacing w:after="50" w:before="50"/>
            </w:pPr>
            <w:r>
              <w:rPr>
                <w:b/>
                <w:color w:val="FFFFFF"/>
                <w:sz w:val="17"/>
              </w:rPr>
              <w:t>Availability</w:t>
            </w:r>
          </w:p>
        </w:tc>
      </w:tr>
      <w:tr>
        <w:tc>
          <w:tcPr>
            <w:tcW w:type="dxa" w:w="4057"/>
          </w:tcPr>
          <w:p>
            <w:pPr>
              <w:spacing w:after="50" w:before="50" w:line="252" w:lineRule="auto"/>
            </w:pPr>
            <w:r>
              <w:rPr>
                <w:sz w:val="17"/>
              </w:rPr>
              <w:t>Classrooms and seminar rooms</w:t>
            </w:r>
          </w:p>
        </w:tc>
        <w:tc>
          <w:tcPr>
            <w:tcW w:type="dxa" w:w="1223"/>
          </w:tcPr>
          <w:p>
            <w:pPr>
              <w:spacing w:after="50" w:before="50" w:line="252" w:lineRule="auto"/>
            </w:pPr>
            <w:r>
              <w:rPr>
                <w:sz w:val="17"/>
              </w:rPr>
              <w:t>[●]</w:t>
            </w:r>
          </w:p>
        </w:tc>
        <w:tc>
          <w:tcPr>
            <w:tcW w:type="dxa" w:w="1809"/>
          </w:tcPr>
          <w:p>
            <w:pPr>
              <w:spacing w:after="50" w:before="50" w:line="252" w:lineRule="auto"/>
            </w:pPr>
            <w:r>
              <w:rPr>
                <w:sz w:val="17"/>
              </w:rPr>
              <w:t>[●]</w:t>
            </w:r>
          </w:p>
        </w:tc>
        <w:tc>
          <w:tcPr>
            <w:tcW w:type="dxa" w:w="2379"/>
          </w:tcPr>
          <w:p>
            <w:pPr>
              <w:spacing w:after="50" w:before="50" w:line="252" w:lineRule="auto"/>
            </w:pPr>
            <w:r>
              <w:rPr>
                <w:sz w:val="17"/>
              </w:rPr>
              <w:t>[●]</w:t>
            </w:r>
          </w:p>
        </w:tc>
      </w:tr>
      <w:tr>
        <w:tc>
          <w:tcPr>
            <w:tcW w:type="dxa" w:w="4057"/>
            <w:shd w:val="clear" w:color="auto" w:fill="EAF1F4"/>
          </w:tcPr>
          <w:p>
            <w:pPr>
              <w:spacing w:after="50" w:before="50" w:line="252" w:lineRule="auto"/>
            </w:pPr>
            <w:r>
              <w:rPr>
                <w:sz w:val="17"/>
              </w:rPr>
              <w:t>Breakout rooms for simulation</w:t>
            </w:r>
          </w:p>
        </w:tc>
        <w:tc>
          <w:tcPr>
            <w:tcW w:type="dxa" w:w="1223"/>
            <w:shd w:val="clear" w:color="auto" w:fill="EAF1F4"/>
          </w:tcPr>
          <w:p>
            <w:pPr>
              <w:spacing w:after="50" w:before="50" w:line="252" w:lineRule="auto"/>
            </w:pPr>
            <w:r>
              <w:rPr>
                <w:sz w:val="17"/>
              </w:rPr>
              <w:t>[●] rooms</w:t>
            </w:r>
          </w:p>
        </w:tc>
        <w:tc>
          <w:tcPr>
            <w:tcW w:type="dxa" w:w="1809"/>
            <w:shd w:val="clear" w:color="auto" w:fill="EAF1F4"/>
          </w:tcPr>
          <w:p>
            <w:pPr>
              <w:spacing w:after="50" w:before="50" w:line="252" w:lineRule="auto"/>
            </w:pPr>
            <w:r>
              <w:rPr>
                <w:sz w:val="17"/>
              </w:rPr>
              <w:t>[●]</w:t>
            </w:r>
          </w:p>
        </w:tc>
        <w:tc>
          <w:tcPr>
            <w:tcW w:type="dxa" w:w="2379"/>
            <w:shd w:val="clear" w:color="auto" w:fill="EAF1F4"/>
          </w:tcPr>
          <w:p>
            <w:pPr>
              <w:spacing w:after="50" w:before="50" w:line="252" w:lineRule="auto"/>
            </w:pPr>
            <w:r>
              <w:rPr>
                <w:sz w:val="17"/>
              </w:rPr>
              <w:t>[●]</w:t>
            </w:r>
          </w:p>
        </w:tc>
      </w:tr>
      <w:tr>
        <w:tc>
          <w:tcPr>
            <w:tcW w:type="dxa" w:w="4057"/>
          </w:tcPr>
          <w:p>
            <w:pPr>
              <w:spacing w:after="50" w:before="50" w:line="252" w:lineRule="auto"/>
            </w:pPr>
            <w:r>
              <w:rPr>
                <w:sz w:val="17"/>
              </w:rPr>
              <w:t>Moot court hall or auditorium</w:t>
            </w:r>
          </w:p>
        </w:tc>
        <w:tc>
          <w:tcPr>
            <w:tcW w:type="dxa" w:w="1223"/>
          </w:tcPr>
          <w:p>
            <w:pPr>
              <w:spacing w:after="50" w:before="50" w:line="252" w:lineRule="auto"/>
            </w:pPr>
            <w:r>
              <w:rPr>
                <w:sz w:val="17"/>
              </w:rPr>
              <w:t>[●]</w:t>
            </w:r>
          </w:p>
        </w:tc>
        <w:tc>
          <w:tcPr>
            <w:tcW w:type="dxa" w:w="1809"/>
          </w:tcPr>
          <w:p>
            <w:pPr>
              <w:spacing w:after="50" w:before="50" w:line="252" w:lineRule="auto"/>
            </w:pPr>
            <w:r>
              <w:rPr>
                <w:sz w:val="17"/>
              </w:rPr>
              <w:t>[●]</w:t>
            </w:r>
          </w:p>
        </w:tc>
        <w:tc>
          <w:tcPr>
            <w:tcW w:type="dxa" w:w="2379"/>
          </w:tcPr>
          <w:p>
            <w:pPr>
              <w:spacing w:after="50" w:before="50" w:line="252" w:lineRule="auto"/>
            </w:pPr>
            <w:r>
              <w:rPr>
                <w:sz w:val="17"/>
              </w:rPr>
              <w:t>[●]</w:t>
            </w:r>
          </w:p>
        </w:tc>
      </w:tr>
      <w:tr>
        <w:tc>
          <w:tcPr>
            <w:tcW w:type="dxa" w:w="4057"/>
            <w:shd w:val="clear" w:color="auto" w:fill="EAF1F4"/>
          </w:tcPr>
          <w:p>
            <w:pPr>
              <w:spacing w:after="50" w:before="50" w:line="252" w:lineRule="auto"/>
            </w:pPr>
            <w:r>
              <w:rPr>
                <w:sz w:val="17"/>
              </w:rPr>
              <w:t>Equator ADR Laboratory</w:t>
            </w:r>
          </w:p>
        </w:tc>
        <w:tc>
          <w:tcPr>
            <w:tcW w:type="dxa" w:w="1223"/>
            <w:shd w:val="clear" w:color="auto" w:fill="EAF1F4"/>
          </w:tcPr>
          <w:p>
            <w:pPr>
              <w:spacing w:after="50" w:before="50" w:line="252" w:lineRule="auto"/>
            </w:pPr>
            <w:r>
              <w:rPr>
                <w:sz w:val="17"/>
              </w:rPr>
              <w:t>See F2</w:t>
            </w:r>
          </w:p>
        </w:tc>
        <w:tc>
          <w:tcPr>
            <w:tcW w:type="dxa" w:w="1809"/>
            <w:shd w:val="clear" w:color="auto" w:fill="EAF1F4"/>
          </w:tcPr>
          <w:p>
            <w:pPr>
              <w:spacing w:after="50" w:before="50" w:line="252" w:lineRule="auto"/>
            </w:pPr>
            <w:r>
              <w:rPr>
                <w:sz w:val="17"/>
              </w:rPr>
              <w:t>Dedicated</w:t>
            </w:r>
          </w:p>
        </w:tc>
        <w:tc>
          <w:tcPr>
            <w:tcW w:type="dxa" w:w="2379"/>
            <w:shd w:val="clear" w:color="auto" w:fill="EAF1F4"/>
          </w:tcPr>
          <w:p>
            <w:pPr>
              <w:spacing w:after="50" w:before="50" w:line="252" w:lineRule="auto"/>
            </w:pPr>
            <w:r>
              <w:rPr>
                <w:sz w:val="17"/>
              </w:rPr>
              <w:t>[●]</w:t>
            </w:r>
          </w:p>
        </w:tc>
      </w:tr>
      <w:tr>
        <w:tc>
          <w:tcPr>
            <w:tcW w:type="dxa" w:w="4057"/>
          </w:tcPr>
          <w:p>
            <w:pPr>
              <w:spacing w:after="50" w:before="50" w:line="252" w:lineRule="auto"/>
            </w:pPr>
            <w:r>
              <w:rPr>
                <w:sz w:val="17"/>
              </w:rPr>
              <w:t>Hostel accommodation</w:t>
            </w:r>
          </w:p>
        </w:tc>
        <w:tc>
          <w:tcPr>
            <w:tcW w:type="dxa" w:w="1223"/>
          </w:tcPr>
          <w:p>
            <w:pPr>
              <w:spacing w:after="50" w:before="50" w:line="252" w:lineRule="auto"/>
            </w:pPr>
            <w:r>
              <w:rPr>
                <w:sz w:val="17"/>
              </w:rPr>
              <w:t>[●] rooms</w:t>
            </w:r>
          </w:p>
        </w:tc>
        <w:tc>
          <w:tcPr>
            <w:tcW w:type="dxa" w:w="1809"/>
          </w:tcPr>
          <w:p>
            <w:pPr>
              <w:spacing w:after="50" w:before="50" w:line="252" w:lineRule="auto"/>
            </w:pPr>
            <w:r>
              <w:rPr>
                <w:sz w:val="17"/>
              </w:rPr>
              <w:t>₹[●] per person per night</w:t>
            </w:r>
          </w:p>
        </w:tc>
        <w:tc>
          <w:tcPr>
            <w:tcW w:type="dxa" w:w="2379"/>
          </w:tcPr>
          <w:p>
            <w:pPr>
              <w:spacing w:after="50" w:before="50" w:line="252" w:lineRule="auto"/>
            </w:pPr>
            <w:r>
              <w:rPr>
                <w:sz w:val="17"/>
              </w:rPr>
              <w:t>Vacation periods and by arrangement</w:t>
            </w:r>
          </w:p>
        </w:tc>
      </w:tr>
      <w:tr>
        <w:tc>
          <w:tcPr>
            <w:tcW w:type="dxa" w:w="4057"/>
            <w:shd w:val="clear" w:color="auto" w:fill="EAF1F4"/>
          </w:tcPr>
          <w:p>
            <w:pPr>
              <w:spacing w:after="50" w:before="50" w:line="252" w:lineRule="auto"/>
            </w:pPr>
            <w:r>
              <w:rPr>
                <w:sz w:val="17"/>
              </w:rPr>
              <w:t>Recording or studio facility</w:t>
            </w:r>
          </w:p>
        </w:tc>
        <w:tc>
          <w:tcPr>
            <w:tcW w:type="dxa" w:w="1223"/>
            <w:shd w:val="clear" w:color="auto" w:fill="EAF1F4"/>
          </w:tcPr>
          <w:p>
            <w:pPr>
              <w:spacing w:after="50" w:before="50" w:line="252" w:lineRule="auto"/>
            </w:pPr>
            <w:r>
              <w:rPr>
                <w:sz w:val="17"/>
              </w:rPr>
              <w:t>[●]</w:t>
            </w:r>
          </w:p>
        </w:tc>
        <w:tc>
          <w:tcPr>
            <w:tcW w:type="dxa" w:w="1809"/>
            <w:shd w:val="clear" w:color="auto" w:fill="EAF1F4"/>
          </w:tcPr>
          <w:p>
            <w:pPr>
              <w:spacing w:after="50" w:before="50" w:line="252" w:lineRule="auto"/>
            </w:pPr>
            <w:r>
              <w:rPr>
                <w:sz w:val="17"/>
              </w:rPr>
              <w:t>[●]</w:t>
            </w:r>
          </w:p>
        </w:tc>
        <w:tc>
          <w:tcPr>
            <w:tcW w:type="dxa" w:w="2379"/>
            <w:shd w:val="clear" w:color="auto" w:fill="EAF1F4"/>
          </w:tcPr>
          <w:p>
            <w:pPr>
              <w:spacing w:after="50" w:before="50" w:line="252" w:lineRule="auto"/>
            </w:pPr>
            <w:r>
              <w:rPr>
                <w:sz w:val="17"/>
              </w:rPr>
              <w:t>[●]</w:t>
            </w:r>
          </w:p>
        </w:tc>
      </w:tr>
      <w:tr>
        <w:tc>
          <w:tcPr>
            <w:tcW w:type="dxa" w:w="4057"/>
          </w:tcPr>
          <w:p>
            <w:pPr>
              <w:spacing w:after="50" w:before="50" w:line="252" w:lineRule="auto"/>
            </w:pPr>
            <w:r>
              <w:rPr>
                <w:sz w:val="17"/>
              </w:rPr>
              <w:t>Office or administrative space</w:t>
            </w:r>
          </w:p>
        </w:tc>
        <w:tc>
          <w:tcPr>
            <w:tcW w:type="dxa" w:w="1223"/>
          </w:tcPr>
          <w:p>
            <w:pPr>
              <w:spacing w:after="50" w:before="50" w:line="252" w:lineRule="auto"/>
            </w:pPr>
            <w:r>
              <w:rPr>
                <w:sz w:val="17"/>
              </w:rPr>
              <w:t>[●] sq ft</w:t>
            </w:r>
          </w:p>
        </w:tc>
        <w:tc>
          <w:tcPr>
            <w:tcW w:type="dxa" w:w="1809"/>
          </w:tcPr>
          <w:p>
            <w:pPr>
              <w:spacing w:after="50" w:before="50" w:line="252" w:lineRule="auto"/>
            </w:pPr>
            <w:r>
              <w:rPr>
                <w:sz w:val="17"/>
              </w:rPr>
              <w:t>[●]</w:t>
            </w:r>
          </w:p>
        </w:tc>
        <w:tc>
          <w:tcPr>
            <w:tcW w:type="dxa" w:w="2379"/>
          </w:tcPr>
          <w:p>
            <w:pPr>
              <w:spacing w:after="50" w:before="50" w:line="252" w:lineRule="auto"/>
            </w:pPr>
            <w:r>
              <w:rPr>
                <w:sz w:val="17"/>
              </w:rPr>
              <w:t>[●]</w:t>
            </w:r>
          </w:p>
        </w:tc>
      </w:tr>
    </w:tbl>
    <w:p>
      <w:pPr>
        <w:spacing w:after="80" w:before="0"/>
      </w:pPr>
    </w:p>
    <w:p>
      <w:pPr>
        <w:pStyle w:val="Heading2"/>
      </w:pPr>
      <w:r>
        <w:t>F2. The Equator ADR Laboratory</w:t>
      </w:r>
    </w:p>
    <w:p>
      <w:r>
        <w:rPr>
          <w:b/>
        </w:rPr>
        <w:t>F2.1</w:t>
      </w:r>
      <w:r>
        <w:t xml:space="preserve"> Where the Parties so agree, the University shall make available space of approximately </w:t>
      </w:r>
      <w:r>
        <w:rPr>
          <w:b/>
        </w:rPr>
        <w:t>[●] square feet</w:t>
      </w:r>
      <w:r>
        <w:t xml:space="preserve">, comprising one plenary room and not fewer than </w:t>
      </w:r>
      <w:r>
        <w:rPr>
          <w:b/>
        </w:rPr>
        <w:t>[●]</w:t>
      </w:r>
      <w:r>
        <w:t xml:space="preserve"> breakout rooms, to be established as the </w:t>
      </w:r>
      <w:r>
        <w:rPr>
          <w:b/>
        </w:rPr>
        <w:t>Equator ADR Laboratory, [●] University</w:t>
      </w:r>
      <w:r>
        <w:t>.</w:t>
      </w:r>
    </w:p>
    <w:p>
      <w:r>
        <w:rPr>
          <w:b/>
        </w:rPr>
        <w:t>F2.2 Contributions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7514"/>
            <w:shd w:val="clear" w:color="auto" w:fill="10375C"/>
          </w:tcPr>
          <w:p>
            <w:pPr>
              <w:spacing w:after="50" w:before="50"/>
            </w:pPr>
            <w:r>
              <w:rPr>
                <w:b/>
                <w:color w:val="FFFFFF"/>
                <w:sz w:val="17"/>
              </w:rPr>
              <w:t>Element</w:t>
            </w:r>
          </w:p>
        </w:tc>
        <w:tc>
          <w:tcPr>
            <w:tcW w:type="dxa" w:w="977"/>
            <w:shd w:val="clear" w:color="auto" w:fill="10375C"/>
          </w:tcPr>
          <w:p>
            <w:pPr>
              <w:spacing w:after="50" w:before="50"/>
            </w:pPr>
            <w:r>
              <w:rPr>
                <w:b/>
                <w:color w:val="FFFFFF"/>
                <w:sz w:val="17"/>
              </w:rPr>
              <w:t>University</w:t>
            </w:r>
          </w:p>
        </w:tc>
        <w:tc>
          <w:tcPr>
            <w:tcW w:type="dxa" w:w="977"/>
            <w:shd w:val="clear" w:color="auto" w:fill="10375C"/>
          </w:tcPr>
          <w:p>
            <w:pPr>
              <w:spacing w:after="50" w:before="50"/>
            </w:pPr>
            <w:r>
              <w:rPr>
                <w:b/>
                <w:color w:val="FFFFFF"/>
                <w:sz w:val="17"/>
              </w:rPr>
              <w:t>Institute</w:t>
            </w:r>
          </w:p>
        </w:tc>
      </w:tr>
      <w:tr>
        <w:tc>
          <w:tcPr>
            <w:tcW w:type="dxa" w:w="7514"/>
          </w:tcPr>
          <w:p>
            <w:pPr>
              <w:spacing w:after="50" w:before="50" w:line="252" w:lineRule="auto"/>
            </w:pPr>
            <w:r>
              <w:rPr>
                <w:sz w:val="17"/>
              </w:rPr>
              <w:t>Space, on a term of not less than [●] years</w:t>
            </w:r>
          </w:p>
        </w:tc>
        <w:tc>
          <w:tcPr>
            <w:tcW w:type="dxa" w:w="977"/>
          </w:tcPr>
          <w:p>
            <w:pPr>
              <w:spacing w:after="50" w:before="50" w:line="252" w:lineRule="auto"/>
            </w:pPr>
            <w:r>
              <w:rPr>
                <w:sz w:val="17"/>
              </w:rPr>
              <w:t>✔</w:t>
            </w:r>
          </w:p>
        </w:tc>
        <w:tc>
          <w:tcPr>
            <w:tcW w:type="dxa" w:w="977"/>
          </w:tcPr>
          <w:p>
            <w:pPr>
              <w:spacing w:after="50" w:before="50" w:line="252" w:lineRule="auto"/>
            </w:pPr>
          </w:p>
        </w:tc>
      </w:tr>
      <w:tr>
        <w:tc>
          <w:tcPr>
            <w:tcW w:type="dxa" w:w="7514"/>
            <w:shd w:val="clear" w:color="auto" w:fill="EAF1F4"/>
          </w:tcPr>
          <w:p>
            <w:pPr>
              <w:spacing w:after="50" w:before="50" w:line="252" w:lineRule="auto"/>
            </w:pPr>
            <w:r>
              <w:rPr>
                <w:sz w:val="17"/>
              </w:rPr>
              <w:t>Civil work, electrical, network, furniture</w:t>
            </w:r>
          </w:p>
        </w:tc>
        <w:tc>
          <w:tcPr>
            <w:tcW w:type="dxa" w:w="977"/>
            <w:shd w:val="clear" w:color="auto" w:fill="EAF1F4"/>
          </w:tcPr>
          <w:p>
            <w:pPr>
              <w:spacing w:after="50" w:before="50" w:line="252" w:lineRule="auto"/>
            </w:pPr>
            <w:r>
              <w:rPr>
                <w:sz w:val="17"/>
              </w:rPr>
              <w:t>✔</w:t>
            </w:r>
          </w:p>
        </w:tc>
        <w:tc>
          <w:tcPr>
            <w:tcW w:type="dxa" w:w="977"/>
            <w:shd w:val="clear" w:color="auto" w:fill="EAF1F4"/>
          </w:tcPr>
          <w:p>
            <w:pPr>
              <w:spacing w:after="50" w:before="50" w:line="252" w:lineRule="auto"/>
            </w:pPr>
          </w:p>
        </w:tc>
      </w:tr>
      <w:tr>
        <w:tc>
          <w:tcPr>
            <w:tcW w:type="dxa" w:w="7514"/>
          </w:tcPr>
          <w:p>
            <w:pPr>
              <w:spacing w:after="50" w:before="50" w:line="252" w:lineRule="auto"/>
            </w:pPr>
            <w:r>
              <w:rPr>
                <w:sz w:val="17"/>
              </w:rPr>
              <w:t>Housekeeping, security, utilities</w:t>
            </w:r>
          </w:p>
        </w:tc>
        <w:tc>
          <w:tcPr>
            <w:tcW w:type="dxa" w:w="977"/>
          </w:tcPr>
          <w:p>
            <w:pPr>
              <w:spacing w:after="50" w:before="50" w:line="252" w:lineRule="auto"/>
            </w:pPr>
            <w:r>
              <w:rPr>
                <w:sz w:val="17"/>
              </w:rPr>
              <w:t>✔</w:t>
            </w:r>
          </w:p>
        </w:tc>
        <w:tc>
          <w:tcPr>
            <w:tcW w:type="dxa" w:w="977"/>
          </w:tcPr>
          <w:p>
            <w:pPr>
              <w:spacing w:after="50" w:before="50" w:line="252" w:lineRule="auto"/>
            </w:pPr>
          </w:p>
        </w:tc>
      </w:tr>
      <w:tr>
        <w:tc>
          <w:tcPr>
            <w:tcW w:type="dxa" w:w="7514"/>
            <w:shd w:val="clear" w:color="auto" w:fill="EAF1F4"/>
          </w:tcPr>
          <w:p>
            <w:pPr>
              <w:spacing w:after="50" w:before="50" w:line="252" w:lineRule="auto"/>
            </w:pPr>
            <w:r>
              <w:rPr>
                <w:sz w:val="17"/>
              </w:rPr>
              <w:t>Design specification and layout</w:t>
            </w:r>
          </w:p>
        </w:tc>
        <w:tc>
          <w:tcPr>
            <w:tcW w:type="dxa" w:w="977"/>
            <w:shd w:val="clear" w:color="auto" w:fill="EAF1F4"/>
          </w:tcPr>
          <w:p>
            <w:pPr>
              <w:spacing w:after="50" w:before="50" w:line="252" w:lineRule="auto"/>
            </w:pPr>
          </w:p>
        </w:tc>
        <w:tc>
          <w:tcPr>
            <w:tcW w:type="dxa" w:w="977"/>
            <w:shd w:val="clear" w:color="auto" w:fill="EAF1F4"/>
          </w:tcPr>
          <w:p>
            <w:pPr>
              <w:spacing w:after="50" w:before="50" w:line="252" w:lineRule="auto"/>
            </w:pPr>
            <w:r>
              <w:rPr>
                <w:sz w:val="17"/>
              </w:rPr>
              <w:t>✔</w:t>
            </w:r>
          </w:p>
        </w:tc>
      </w:tr>
      <w:tr>
        <w:tc>
          <w:tcPr>
            <w:tcW w:type="dxa" w:w="7514"/>
          </w:tcPr>
          <w:p>
            <w:pPr>
              <w:spacing w:after="50" w:before="50" w:line="252" w:lineRule="auto"/>
            </w:pPr>
            <w:r>
              <w:rPr>
                <w:sz w:val="17"/>
              </w:rPr>
              <w:t>Signage and branding</w:t>
            </w:r>
          </w:p>
        </w:tc>
        <w:tc>
          <w:tcPr>
            <w:tcW w:type="dxa" w:w="977"/>
          </w:tcPr>
          <w:p>
            <w:pPr>
              <w:spacing w:after="50" w:before="50" w:line="252" w:lineRule="auto"/>
            </w:pPr>
          </w:p>
        </w:tc>
        <w:tc>
          <w:tcPr>
            <w:tcW w:type="dxa" w:w="977"/>
          </w:tcPr>
          <w:p>
            <w:pPr>
              <w:spacing w:after="50" w:before="50" w:line="252" w:lineRule="auto"/>
            </w:pPr>
            <w:r>
              <w:rPr>
                <w:sz w:val="17"/>
              </w:rPr>
              <w:t>✔</w:t>
            </w:r>
          </w:p>
        </w:tc>
      </w:tr>
      <w:tr>
        <w:tc>
          <w:tcPr>
            <w:tcW w:type="dxa" w:w="7514"/>
            <w:shd w:val="clear" w:color="auto" w:fill="EAF1F4"/>
          </w:tcPr>
          <w:p>
            <w:pPr>
              <w:spacing w:after="50" w:before="50" w:line="252" w:lineRule="auto"/>
            </w:pPr>
            <w:r>
              <w:rPr>
                <w:sz w:val="17"/>
              </w:rPr>
              <w:t>Library, materials and simulation resources</w:t>
            </w:r>
          </w:p>
        </w:tc>
        <w:tc>
          <w:tcPr>
            <w:tcW w:type="dxa" w:w="977"/>
            <w:shd w:val="clear" w:color="auto" w:fill="EAF1F4"/>
          </w:tcPr>
          <w:p>
            <w:pPr>
              <w:spacing w:after="50" w:before="50" w:line="252" w:lineRule="auto"/>
            </w:pPr>
          </w:p>
        </w:tc>
        <w:tc>
          <w:tcPr>
            <w:tcW w:type="dxa" w:w="977"/>
            <w:shd w:val="clear" w:color="auto" w:fill="EAF1F4"/>
          </w:tcPr>
          <w:p>
            <w:pPr>
              <w:spacing w:after="50" w:before="50" w:line="252" w:lineRule="auto"/>
            </w:pPr>
            <w:r>
              <w:rPr>
                <w:sz w:val="17"/>
              </w:rPr>
              <w:t>✔</w:t>
            </w:r>
          </w:p>
        </w:tc>
      </w:tr>
      <w:tr>
        <w:tc>
          <w:tcPr>
            <w:tcW w:type="dxa" w:w="7514"/>
          </w:tcPr>
          <w:p>
            <w:pPr>
              <w:spacing w:after="50" w:before="50" w:line="252" w:lineRule="auto"/>
            </w:pPr>
            <w:r>
              <w:rPr>
                <w:sz w:val="17"/>
              </w:rPr>
              <w:t>Observation facility specification</w:t>
            </w:r>
          </w:p>
        </w:tc>
        <w:tc>
          <w:tcPr>
            <w:tcW w:type="dxa" w:w="977"/>
          </w:tcPr>
          <w:p>
            <w:pPr>
              <w:spacing w:after="50" w:before="50" w:line="252" w:lineRule="auto"/>
            </w:pPr>
          </w:p>
        </w:tc>
        <w:tc>
          <w:tcPr>
            <w:tcW w:type="dxa" w:w="977"/>
          </w:tcPr>
          <w:p>
            <w:pPr>
              <w:spacing w:after="50" w:before="50" w:line="252" w:lineRule="auto"/>
            </w:pPr>
            <w:r>
              <w:rPr>
                <w:sz w:val="17"/>
              </w:rPr>
              <w:t>✔</w:t>
            </w:r>
          </w:p>
        </w:tc>
      </w:tr>
      <w:tr>
        <w:tc>
          <w:tcPr>
            <w:tcW w:type="dxa" w:w="7514"/>
            <w:shd w:val="clear" w:color="auto" w:fill="EAF1F4"/>
          </w:tcPr>
          <w:p>
            <w:pPr>
              <w:spacing w:after="50" w:before="50" w:line="252" w:lineRule="auto"/>
            </w:pPr>
            <w:r>
              <w:rPr>
                <w:sz w:val="17"/>
              </w:rPr>
              <w:t>Programme calendar, trainers, supervision</w:t>
            </w:r>
          </w:p>
        </w:tc>
        <w:tc>
          <w:tcPr>
            <w:tcW w:type="dxa" w:w="977"/>
            <w:shd w:val="clear" w:color="auto" w:fill="EAF1F4"/>
          </w:tcPr>
          <w:p>
            <w:pPr>
              <w:spacing w:after="50" w:before="50" w:line="252" w:lineRule="auto"/>
            </w:pPr>
          </w:p>
        </w:tc>
        <w:tc>
          <w:tcPr>
            <w:tcW w:type="dxa" w:w="977"/>
            <w:shd w:val="clear" w:color="auto" w:fill="EAF1F4"/>
          </w:tcPr>
          <w:p>
            <w:pPr>
              <w:spacing w:after="50" w:before="50" w:line="252" w:lineRule="auto"/>
            </w:pPr>
            <w:r>
              <w:rPr>
                <w:sz w:val="17"/>
              </w:rPr>
              <w:t>✔</w:t>
            </w:r>
          </w:p>
        </w:tc>
      </w:tr>
      <w:tr>
        <w:tc>
          <w:tcPr>
            <w:tcW w:type="dxa" w:w="7514"/>
          </w:tcPr>
          <w:p>
            <w:pPr>
              <w:spacing w:after="50" w:before="50" w:line="252" w:lineRule="auto"/>
            </w:pPr>
            <w:r>
              <w:rPr>
                <w:sz w:val="17"/>
              </w:rPr>
              <w:t>Quality assurance</w:t>
            </w:r>
          </w:p>
        </w:tc>
        <w:tc>
          <w:tcPr>
            <w:tcW w:type="dxa" w:w="977"/>
          </w:tcPr>
          <w:p>
            <w:pPr>
              <w:spacing w:after="50" w:before="50" w:line="252" w:lineRule="auto"/>
            </w:pPr>
          </w:p>
        </w:tc>
        <w:tc>
          <w:tcPr>
            <w:tcW w:type="dxa" w:w="977"/>
          </w:tcPr>
          <w:p>
            <w:pPr>
              <w:spacing w:after="50" w:before="50" w:line="252" w:lineRule="auto"/>
            </w:pPr>
            <w:r>
              <w:rPr>
                <w:sz w:val="17"/>
              </w:rPr>
              <w:t>✔</w:t>
            </w:r>
          </w:p>
        </w:tc>
      </w:tr>
    </w:tbl>
    <w:p>
      <w:pPr>
        <w:spacing w:after="80" w:before="0"/>
      </w:pPr>
    </w:p>
    <w:p>
      <w:r>
        <w:rPr>
          <w:b/>
        </w:rPr>
        <w:t>F2.3 Utilisation.</w:t>
      </w:r>
      <w:r>
        <w:t xml:space="preserve"> Priority is given to University academic use during scheduled teaching hours, and to Institute programmes outside those hours, save that live sessions under F3 take priority when scheduled with not less than seven days' notice.</w:t>
      </w:r>
    </w:p>
    <w:p>
      <w:r>
        <w:rPr>
          <w:b/>
        </w:rPr>
        <w:t>F2.4 Naming.</w:t>
      </w:r>
      <w:r>
        <w:t xml:space="preserve"> The Laboratory is named as stated in F2.1. Naming rights subsist for the Term and cease on expiry or termination, when all Institute signage and branding shall be removed within thirty days.</w:t>
      </w:r>
    </w:p>
    <w:p>
      <w:r>
        <w:rPr>
          <w:b/>
        </w:rPr>
        <w:t>F2.5 Capital contribution.</w:t>
      </w:r>
      <w:r>
        <w:t xml:space="preserve"> Any capital contribution by the Institute is stated in Schedule H. Fixtures affixed to the premises become the property of the University on expiry, save for movable equipment and branded items, which the Institute may remove.</w:t>
      </w:r>
    </w:p>
    <w:p>
      <w:pPr>
        <w:pStyle w:val="Heading2"/>
      </w:pPr>
      <w:r>
        <w:t>F3. Live sessions on campus</w:t>
      </w:r>
    </w:p>
    <w:p>
      <w:r>
        <w:rPr>
          <w:b/>
        </w:rPr>
        <w:t>F3.1</w:t>
      </w:r>
      <w:r>
        <w:t xml:space="preserve"> The Institute may, with the written agreement of the University, conduct live mediation, conciliation or other proceedings on University premises.</w:t>
      </w:r>
    </w:p>
    <w:p>
      <w:r>
        <w:rPr>
          <w:b/>
        </w:rPr>
        <w:t>F3.2</w:t>
      </w:r>
      <w:r>
        <w:t xml:space="preserve"> For any such session:</w:t>
      </w:r>
    </w:p>
    <w:p>
      <w:r>
        <w:t>(a) the room shall be secured and private, and access controlled;</w:t>
      </w:r>
    </w:p>
    <w:p>
      <w:r>
        <w:t xml:space="preserve">(b) the confidentiality requirements of the Mediation Act, 2023 apply in full, and </w:t>
      </w:r>
      <w:r>
        <w:rPr>
          <w:b/>
        </w:rPr>
        <w:t>no audio or video recording of any kind is permitted</w:t>
      </w:r>
      <w:r>
        <w:t>;</w:t>
      </w:r>
    </w:p>
    <w:p>
      <w:r>
        <w:t>(c) student observation is permitted only with the informed written consent of all parties to the matter and after execution of specific confidentiality undertakings;</w:t>
      </w:r>
    </w:p>
    <w:p>
      <w:r>
        <w:t>(d) no University officer or employee shall attend without the consent of the parties; and</w:t>
      </w:r>
    </w:p>
    <w:p>
      <w:r>
        <w:t>(e) no reference to the matter shall be made in any communication, publication or social media.</w:t>
      </w:r>
    </w:p>
    <w:p>
      <w:r>
        <w:rPr>
          <w:b/>
        </w:rPr>
        <w:t>F3.3</w:t>
      </w:r>
      <w:r>
        <w:t xml:space="preserve"> The University shall not be informed of, and shall not seek, the identity of parties or the substance of any matter.</w:t>
      </w:r>
    </w:p>
    <w:p>
      <w:pPr>
        <w:pStyle w:val="Heading2"/>
      </w:pPr>
      <w:r>
        <w:t>F4. Conditions of use</w:t>
      </w:r>
    </w:p>
    <w:p>
      <w:r>
        <w:rPr>
          <w:b/>
        </w:rPr>
        <w:t>F4.1</w:t>
      </w:r>
      <w:r>
        <w:t xml:space="preserve"> The Institute shall use facilities only for the purposes of Activities, shall comply with the University's rules and reasonable directions, shall not alter the premises without consent, and shall make good any damage caused by it.</w:t>
      </w:r>
    </w:p>
    <w:p>
      <w:r>
        <w:rPr>
          <w:b/>
        </w:rPr>
        <w:t>F4.2</w:t>
      </w:r>
      <w:r>
        <w:t xml:space="preserve"> The Institute is a licensee only. </w:t>
      </w:r>
      <w:r>
        <w:rPr>
          <w:b/>
        </w:rPr>
        <w:t>Nothing in this Schedule creates a tenancy, lease or interest in land</w:t>
      </w:r>
      <w:r>
        <w:t>, and the arrangement is personal to the Institute and non-assignable.</w:t>
      </w:r>
    </w:p>
    <w:p>
      <w:r>
        <w:rPr>
          <w:b/>
        </w:rPr>
        <w:t>F4.3</w:t>
      </w:r>
      <w:r>
        <w:t xml:space="preserve"> The University shall give not less than </w:t>
      </w:r>
      <w:r>
        <w:rPr>
          <w:b/>
        </w:rPr>
        <w:t>[●] days'</w:t>
      </w:r>
      <w:r>
        <w:t xml:space="preserve"> notice of any withdrawal of a facility, and shall use reasonable endeavours to provide an equivalent alternative.</w:t>
      </w:r>
    </w:p>
    <w:p>
      <w:pPr>
        <w:spacing w:before="80" w:after="160"/>
        <w:pBdr>
          <w:bottom w:val="single" w:sz="6" w:space="1" w:color="C9D6DE"/>
        </w:pBdr>
      </w:pPr>
    </w:p>
    <w:p>
      <w:r>
        <w:br w:type="page"/>
      </w:r>
    </w:p>
    <w:p>
      <w:pPr>
        <w:pStyle w:val="Heading1"/>
        <w:pBdr>
          <w:bottom w:val="single" w:sz="8" w:space="4" w:color="C9D6DE"/>
        </w:pBdr>
      </w:pPr>
      <w:r>
        <w:t>SCHEDULE G · Brand, Marketing and Social Media</w:t>
      </w:r>
    </w:p>
    <w:p>
      <w:pPr>
        <w:pStyle w:val="Heading2"/>
      </w:pPr>
      <w:r>
        <w:t>G1. Licence of Marks</w:t>
      </w:r>
    </w:p>
    <w:p>
      <w:r>
        <w:rPr>
          <w:b/>
        </w:rPr>
        <w:t>G1.1</w:t>
      </w:r>
      <w:r>
        <w:t xml:space="preserve"> Each Party grants the other a non-exclusive, non-transferable, non-sublicensable, revocable, royalty-free licence to use its Marks solely for the purposes permitted by this Schedule, for the Term.</w:t>
      </w:r>
    </w:p>
    <w:p>
      <w:r>
        <w:rPr>
          <w:b/>
        </w:rPr>
        <w:t>G1.2</w:t>
      </w:r>
      <w:r>
        <w:t xml:space="preserve"> Permitted uses, without further approval:</w:t>
      </w:r>
    </w:p>
    <w:p>
      <w:r>
        <w:t>(a) factual identification of the other Party as a collaborator on a website page listing collaborations;</w:t>
      </w:r>
    </w:p>
    <w:p>
      <w:r>
        <w:t>(b) event collateral for an Activity recorded in the Activity Calendar, in a form previously approved;</w:t>
      </w:r>
    </w:p>
    <w:p>
      <w:r>
        <w:t>(c) certificates issued for an Activity, in a form previously approved; and</w:t>
      </w:r>
    </w:p>
    <w:p>
      <w:r>
        <w:t>(d) internal presentations.</w:t>
      </w:r>
    </w:p>
    <w:p>
      <w:r>
        <w:rPr>
          <w:b/>
        </w:rPr>
        <w:t>G1.3</w:t>
      </w:r>
      <w:r>
        <w:t xml:space="preserve"> All other uses require prior written approval, to be given or withheld within </w:t>
      </w:r>
      <w:r>
        <w:rPr>
          <w:b/>
        </w:rPr>
        <w:t>five business days</w:t>
      </w:r>
      <w:r>
        <w:t xml:space="preserve"> of request. Failure to respond is not deemed approval.</w:t>
      </w:r>
    </w:p>
    <w:p>
      <w:r>
        <w:rPr>
          <w:b/>
        </w:rPr>
        <w:t>G1.4</w:t>
      </w:r>
      <w:r>
        <w:t xml:space="preserve"> Marks shall be used only in the approved form, colour and proportion, without alteration, and with correct attribution. Neither Party shall use the other's Marks in a manner implying endorsement of a product, service or opinion not agreed.</w:t>
      </w:r>
    </w:p>
    <w:p>
      <w:r>
        <w:rPr>
          <w:b/>
        </w:rPr>
        <w:t>G1.5</w:t>
      </w:r>
      <w:r>
        <w:t xml:space="preserve"> On expiry or termination, all use ceases within </w:t>
      </w:r>
      <w:r>
        <w:rPr>
          <w:b/>
        </w:rPr>
        <w:t>thirty days</w:t>
      </w:r>
      <w:r>
        <w:t>, including removal from websites, social media profiles, brochures and signage.</w:t>
      </w:r>
    </w:p>
    <w:p>
      <w:pPr>
        <w:pStyle w:val="Heading2"/>
      </w:pPr>
      <w:r>
        <w:t>G2. Approval route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3183"/>
            <w:shd w:val="clear" w:color="auto" w:fill="10375C"/>
          </w:tcPr>
          <w:p>
            <w:pPr>
              <w:spacing w:after="50" w:before="50"/>
            </w:pPr>
            <w:r>
              <w:rPr>
                <w:b/>
                <w:color w:val="FFFFFF"/>
                <w:sz w:val="17"/>
              </w:rPr>
              <w:t>Content</w:t>
            </w:r>
          </w:p>
        </w:tc>
        <w:tc>
          <w:tcPr>
            <w:tcW w:type="dxa" w:w="2027"/>
            <w:shd w:val="clear" w:color="auto" w:fill="10375C"/>
          </w:tcPr>
          <w:p>
            <w:pPr>
              <w:spacing w:after="50" w:before="50"/>
            </w:pPr>
            <w:r>
              <w:rPr>
                <w:b/>
                <w:color w:val="FFFFFF"/>
                <w:sz w:val="17"/>
              </w:rPr>
              <w:t>Approver, University</w:t>
            </w:r>
          </w:p>
        </w:tc>
        <w:tc>
          <w:tcPr>
            <w:tcW w:type="dxa" w:w="2801"/>
            <w:shd w:val="clear" w:color="auto" w:fill="10375C"/>
          </w:tcPr>
          <w:p>
            <w:pPr>
              <w:spacing w:after="50" w:before="50"/>
            </w:pPr>
            <w:r>
              <w:rPr>
                <w:b/>
                <w:color w:val="FFFFFF"/>
                <w:sz w:val="17"/>
              </w:rPr>
              <w:t>Approver, Institute</w:t>
            </w:r>
          </w:p>
        </w:tc>
        <w:tc>
          <w:tcPr>
            <w:tcW w:type="dxa" w:w="1457"/>
            <w:shd w:val="clear" w:color="auto" w:fill="10375C"/>
          </w:tcPr>
          <w:p>
            <w:pPr>
              <w:spacing w:after="50" w:before="50"/>
            </w:pPr>
            <w:r>
              <w:rPr>
                <w:b/>
                <w:color w:val="FFFFFF"/>
                <w:sz w:val="17"/>
              </w:rPr>
              <w:t>Turnaround</w:t>
            </w:r>
          </w:p>
        </w:tc>
      </w:tr>
      <w:tr>
        <w:tc>
          <w:tcPr>
            <w:tcW w:type="dxa" w:w="3183"/>
          </w:tcPr>
          <w:p>
            <w:pPr>
              <w:spacing w:after="50" w:before="50" w:line="252" w:lineRule="auto"/>
            </w:pPr>
            <w:r>
              <w:rPr>
                <w:sz w:val="17"/>
              </w:rPr>
              <w:t>Joint press release</w:t>
            </w:r>
          </w:p>
        </w:tc>
        <w:tc>
          <w:tcPr>
            <w:tcW w:type="dxa" w:w="2027"/>
          </w:tcPr>
          <w:p>
            <w:pPr>
              <w:spacing w:after="50" w:before="50" w:line="252" w:lineRule="auto"/>
            </w:pPr>
            <w:r>
              <w:rPr>
                <w:sz w:val="17"/>
              </w:rPr>
              <w:t>Registrar or nominee</w:t>
            </w:r>
          </w:p>
        </w:tc>
        <w:tc>
          <w:tcPr>
            <w:tcW w:type="dxa" w:w="2801"/>
          </w:tcPr>
          <w:p>
            <w:pPr>
              <w:spacing w:after="50" w:before="50" w:line="252" w:lineRule="auto"/>
            </w:pPr>
            <w:r>
              <w:rPr>
                <w:sz w:val="17"/>
              </w:rPr>
              <w:t>Programme Director</w:t>
            </w:r>
          </w:p>
        </w:tc>
        <w:tc>
          <w:tcPr>
            <w:tcW w:type="dxa" w:w="1457"/>
          </w:tcPr>
          <w:p>
            <w:pPr>
              <w:spacing w:after="50" w:before="50" w:line="252" w:lineRule="auto"/>
            </w:pPr>
            <w:r>
              <w:rPr>
                <w:sz w:val="17"/>
              </w:rPr>
              <w:t>5 business days</w:t>
            </w:r>
          </w:p>
        </w:tc>
      </w:tr>
      <w:tr>
        <w:tc>
          <w:tcPr>
            <w:tcW w:type="dxa" w:w="3183"/>
            <w:shd w:val="clear" w:color="auto" w:fill="EAF1F4"/>
          </w:tcPr>
          <w:p>
            <w:pPr>
              <w:spacing w:after="50" w:before="50" w:line="252" w:lineRule="auto"/>
            </w:pPr>
            <w:r>
              <w:rPr>
                <w:sz w:val="17"/>
              </w:rPr>
              <w:t>Event creative and posters</w:t>
            </w:r>
          </w:p>
        </w:tc>
        <w:tc>
          <w:tcPr>
            <w:tcW w:type="dxa" w:w="2027"/>
            <w:shd w:val="clear" w:color="auto" w:fill="EAF1F4"/>
          </w:tcPr>
          <w:p>
            <w:pPr>
              <w:spacing w:after="50" w:before="50" w:line="252" w:lineRule="auto"/>
            </w:pPr>
            <w:r>
              <w:rPr>
                <w:sz w:val="17"/>
              </w:rPr>
              <w:t>Nodal Officer</w:t>
            </w:r>
          </w:p>
        </w:tc>
        <w:tc>
          <w:tcPr>
            <w:tcW w:type="dxa" w:w="2801"/>
            <w:shd w:val="clear" w:color="auto" w:fill="EAF1F4"/>
          </w:tcPr>
          <w:p>
            <w:pPr>
              <w:spacing w:after="50" w:before="50" w:line="252" w:lineRule="auto"/>
            </w:pPr>
            <w:r>
              <w:rPr>
                <w:sz w:val="17"/>
              </w:rPr>
              <w:t>Marketing, countersigned by Nodal Officer</w:t>
            </w:r>
          </w:p>
        </w:tc>
        <w:tc>
          <w:tcPr>
            <w:tcW w:type="dxa" w:w="1457"/>
            <w:shd w:val="clear" w:color="auto" w:fill="EAF1F4"/>
          </w:tcPr>
          <w:p>
            <w:pPr>
              <w:spacing w:after="50" w:before="50" w:line="252" w:lineRule="auto"/>
            </w:pPr>
            <w:r>
              <w:rPr>
                <w:sz w:val="17"/>
              </w:rPr>
              <w:t>3 business days</w:t>
            </w:r>
          </w:p>
        </w:tc>
      </w:tr>
      <w:tr>
        <w:tc>
          <w:tcPr>
            <w:tcW w:type="dxa" w:w="3183"/>
          </w:tcPr>
          <w:p>
            <w:pPr>
              <w:spacing w:after="50" w:before="50" w:line="252" w:lineRule="auto"/>
            </w:pPr>
            <w:r>
              <w:rPr>
                <w:sz w:val="17"/>
              </w:rPr>
              <w:t>Social media post naming the other Party</w:t>
            </w:r>
          </w:p>
        </w:tc>
        <w:tc>
          <w:tcPr>
            <w:tcW w:type="dxa" w:w="2027"/>
          </w:tcPr>
          <w:p>
            <w:pPr>
              <w:spacing w:after="50" w:before="50" w:line="252" w:lineRule="auto"/>
            </w:pPr>
            <w:r>
              <w:rPr>
                <w:sz w:val="17"/>
              </w:rPr>
              <w:t>Nodal Officer</w:t>
            </w:r>
          </w:p>
        </w:tc>
        <w:tc>
          <w:tcPr>
            <w:tcW w:type="dxa" w:w="2801"/>
          </w:tcPr>
          <w:p>
            <w:pPr>
              <w:spacing w:after="50" w:before="50" w:line="252" w:lineRule="auto"/>
            </w:pPr>
            <w:r>
              <w:rPr>
                <w:sz w:val="17"/>
              </w:rPr>
              <w:t>Nodal Officer</w:t>
            </w:r>
          </w:p>
        </w:tc>
        <w:tc>
          <w:tcPr>
            <w:tcW w:type="dxa" w:w="1457"/>
          </w:tcPr>
          <w:p>
            <w:pPr>
              <w:spacing w:after="50" w:before="50" w:line="252" w:lineRule="auto"/>
            </w:pPr>
            <w:r>
              <w:rPr>
                <w:sz w:val="17"/>
              </w:rPr>
              <w:t>2 business days</w:t>
            </w:r>
          </w:p>
        </w:tc>
      </w:tr>
      <w:tr>
        <w:tc>
          <w:tcPr>
            <w:tcW w:type="dxa" w:w="3183"/>
            <w:shd w:val="clear" w:color="auto" w:fill="EAF1F4"/>
          </w:tcPr>
          <w:p>
            <w:pPr>
              <w:spacing w:after="50" w:before="50" w:line="252" w:lineRule="auto"/>
            </w:pPr>
            <w:r>
              <w:rPr>
                <w:sz w:val="17"/>
              </w:rPr>
              <w:t>Website listing</w:t>
            </w:r>
          </w:p>
        </w:tc>
        <w:tc>
          <w:tcPr>
            <w:tcW w:type="dxa" w:w="2027"/>
            <w:shd w:val="clear" w:color="auto" w:fill="EAF1F4"/>
          </w:tcPr>
          <w:p>
            <w:pPr>
              <w:spacing w:after="50" w:before="50" w:line="252" w:lineRule="auto"/>
            </w:pPr>
            <w:r>
              <w:rPr>
                <w:sz w:val="17"/>
              </w:rPr>
              <w:t>Nodal Officer</w:t>
            </w:r>
          </w:p>
        </w:tc>
        <w:tc>
          <w:tcPr>
            <w:tcW w:type="dxa" w:w="2801"/>
            <w:shd w:val="clear" w:color="auto" w:fill="EAF1F4"/>
          </w:tcPr>
          <w:p>
            <w:pPr>
              <w:spacing w:after="50" w:before="50" w:line="252" w:lineRule="auto"/>
            </w:pPr>
            <w:r>
              <w:rPr>
                <w:sz w:val="17"/>
              </w:rPr>
              <w:t>Nodal Officer</w:t>
            </w:r>
          </w:p>
        </w:tc>
        <w:tc>
          <w:tcPr>
            <w:tcW w:type="dxa" w:w="1457"/>
            <w:shd w:val="clear" w:color="auto" w:fill="EAF1F4"/>
          </w:tcPr>
          <w:p>
            <w:pPr>
              <w:spacing w:after="50" w:before="50" w:line="252" w:lineRule="auto"/>
            </w:pPr>
            <w:r>
              <w:rPr>
                <w:sz w:val="17"/>
              </w:rPr>
              <w:t>5 business days</w:t>
            </w:r>
          </w:p>
        </w:tc>
      </w:tr>
      <w:tr>
        <w:tc>
          <w:tcPr>
            <w:tcW w:type="dxa" w:w="3183"/>
          </w:tcPr>
          <w:p>
            <w:pPr>
              <w:spacing w:after="50" w:before="50" w:line="252" w:lineRule="auto"/>
            </w:pPr>
            <w:r>
              <w:rPr>
                <w:sz w:val="17"/>
              </w:rPr>
              <w:t>Any statement of a legal or regulatory position</w:t>
            </w:r>
          </w:p>
        </w:tc>
        <w:tc>
          <w:tcPr>
            <w:tcW w:type="dxa" w:w="2027"/>
          </w:tcPr>
          <w:p>
            <w:pPr>
              <w:spacing w:after="50" w:before="50" w:line="252" w:lineRule="auto"/>
            </w:pPr>
            <w:r>
              <w:rPr>
                <w:sz w:val="17"/>
              </w:rPr>
              <w:t>Registrar</w:t>
            </w:r>
          </w:p>
        </w:tc>
        <w:tc>
          <w:tcPr>
            <w:tcW w:type="dxa" w:w="2801"/>
          </w:tcPr>
          <w:p>
            <w:pPr>
              <w:spacing w:after="50" w:before="50" w:line="252" w:lineRule="auto"/>
            </w:pPr>
            <w:r>
              <w:rPr>
                <w:sz w:val="17"/>
              </w:rPr>
              <w:t>Programme Director and General Counsel</w:t>
            </w:r>
          </w:p>
        </w:tc>
        <w:tc>
          <w:tcPr>
            <w:tcW w:type="dxa" w:w="1457"/>
          </w:tcPr>
          <w:p>
            <w:pPr>
              <w:spacing w:after="50" w:before="50" w:line="252" w:lineRule="auto"/>
            </w:pPr>
            <w:r>
              <w:rPr>
                <w:sz w:val="17"/>
              </w:rPr>
              <w:t>10 business days</w:t>
            </w:r>
          </w:p>
        </w:tc>
      </w:tr>
      <w:tr>
        <w:tc>
          <w:tcPr>
            <w:tcW w:type="dxa" w:w="3183"/>
            <w:shd w:val="clear" w:color="auto" w:fill="EAF1F4"/>
          </w:tcPr>
          <w:p>
            <w:pPr>
              <w:spacing w:after="50" w:before="50" w:line="252" w:lineRule="auto"/>
            </w:pPr>
            <w:r>
              <w:rPr>
                <w:sz w:val="17"/>
              </w:rPr>
              <w:t>Photographs and video of participants</w:t>
            </w:r>
          </w:p>
        </w:tc>
        <w:tc>
          <w:tcPr>
            <w:tcW w:type="dxa" w:w="2027"/>
            <w:shd w:val="clear" w:color="auto" w:fill="EAF1F4"/>
          </w:tcPr>
          <w:p>
            <w:pPr>
              <w:spacing w:after="50" w:before="50" w:line="252" w:lineRule="auto"/>
            </w:pPr>
            <w:r>
              <w:rPr>
                <w:sz w:val="17"/>
              </w:rPr>
              <w:t>Nodal Officer, consent verified</w:t>
            </w:r>
          </w:p>
        </w:tc>
        <w:tc>
          <w:tcPr>
            <w:tcW w:type="dxa" w:w="2801"/>
            <w:shd w:val="clear" w:color="auto" w:fill="EAF1F4"/>
          </w:tcPr>
          <w:p>
            <w:pPr>
              <w:spacing w:after="50" w:before="50" w:line="252" w:lineRule="auto"/>
            </w:pPr>
            <w:r>
              <w:rPr>
                <w:sz w:val="17"/>
              </w:rPr>
              <w:t>Marketing, consent verified</w:t>
            </w:r>
          </w:p>
        </w:tc>
        <w:tc>
          <w:tcPr>
            <w:tcW w:type="dxa" w:w="1457"/>
            <w:shd w:val="clear" w:color="auto" w:fill="EAF1F4"/>
          </w:tcPr>
          <w:p>
            <w:pPr>
              <w:spacing w:after="50" w:before="50" w:line="252" w:lineRule="auto"/>
            </w:pPr>
            <w:r>
              <w:rPr>
                <w:sz w:val="17"/>
              </w:rPr>
              <w:t>3 business days</w:t>
            </w:r>
          </w:p>
        </w:tc>
      </w:tr>
    </w:tbl>
    <w:p>
      <w:pPr>
        <w:spacing w:after="80" w:before="0"/>
      </w:pPr>
    </w:p>
    <w:p>
      <w:pPr>
        <w:pStyle w:val="Heading2"/>
      </w:pPr>
      <w:r>
        <w:t>G3. Prohibited statements</w:t>
      </w:r>
    </w:p>
    <w:p>
      <w:r>
        <w:t>Neither Party shall state or imply that:</w:t>
      </w:r>
    </w:p>
    <w:p>
      <w:r>
        <w:t>(a) any certificate issued by the Institute is a degree, diploma or statutory qualification;</w:t>
      </w:r>
    </w:p>
    <w:p>
      <w:r>
        <w:t>(b) any Institute certification is accredited, recognised or approved by the Mediation Council of India or by any Government authority;</w:t>
      </w:r>
    </w:p>
    <w:p>
      <w:r>
        <w:t>(c) any Participant is assured of employment or placement;</w:t>
      </w:r>
    </w:p>
    <w:p>
      <w:r>
        <w:t>(d) the University endorses any commercial service of Equator Resolution, or that Equator Resolution is the University's exclusive dispute resolution provider, unless expressly agreed; or</w:t>
      </w:r>
    </w:p>
    <w:p>
      <w:r>
        <w:t>(e) any outcome, settlement rate or statistic that has not been verified and approved by both Parties in writing.</w:t>
      </w:r>
    </w:p>
    <w:p>
      <w:pPr>
        <w:pStyle w:val="Heading2"/>
      </w:pPr>
      <w:r>
        <w:t>G4. Social media collaboration</w:t>
      </w:r>
    </w:p>
    <w:p>
      <w:r>
        <w:rPr>
          <w:b/>
        </w:rPr>
        <w:t>G4.1</w:t>
      </w:r>
      <w:r>
        <w:t xml:space="preserve"> The Parties may cross-promote Activities on their respective channels. Each remains responsible for content on its own channels.</w:t>
      </w:r>
    </w:p>
    <w:p>
      <w:r>
        <w:rPr>
          <w:b/>
        </w:rPr>
        <w:t>G4.2</w:t>
      </w:r>
      <w:r>
        <w:t xml:space="preserve"> Where students create content under the collaboration, they shall do so under the Institute's Student Ambassador Programme terms, and shall not be represented as spokespersons for either Party.</w:t>
      </w:r>
    </w:p>
    <w:p>
      <w:r>
        <w:rPr>
          <w:b/>
        </w:rPr>
        <w:t>G4.3</w:t>
      </w:r>
      <w:r>
        <w:t xml:space="preserve"> Neither Party shall publish content depicting an identifiable Participant without a signed media release. Content depicting a Participant under eighteen requires guardian consent.</w:t>
      </w:r>
    </w:p>
    <w:p>
      <w:r>
        <w:rPr>
          <w:b/>
        </w:rPr>
        <w:t>G4.4</w:t>
      </w:r>
      <w:r>
        <w:t xml:space="preserve"> Neither Party shall publish anything concerning a live matter, a party to a matter, or anything from which either might be identified.</w:t>
      </w:r>
    </w:p>
    <w:p>
      <w:r>
        <w:rPr>
          <w:b/>
        </w:rPr>
        <w:t>G4.5</w:t>
      </w:r>
      <w:r>
        <w:t xml:space="preserve"> Each Party shall remove content on the reasonable written request of the other within </w:t>
      </w:r>
      <w:r>
        <w:rPr>
          <w:b/>
        </w:rPr>
        <w:t>three business days</w:t>
      </w:r>
      <w:r>
        <w:t>, and shall do so immediately where the request concerns confidentiality, personal data or safeguarding.</w:t>
      </w:r>
    </w:p>
    <w:p>
      <w:pPr>
        <w:pStyle w:val="Heading2"/>
      </w:pPr>
      <w:r>
        <w:t>G5. Attribution and disclaimers</w:t>
      </w:r>
    </w:p>
    <w:p>
      <w:r>
        <w:rPr>
          <w:b/>
        </w:rPr>
        <w:t>G5.1</w:t>
      </w:r>
      <w:r>
        <w:t xml:space="preserve"> Co-branded materials shall carry: </w:t>
      </w:r>
      <w:r>
        <w:rPr>
          <w:i/>
        </w:rPr>
        <w:t>An initiative of Equator ADR Institute in collaboration with [●] University.</w:t>
      </w:r>
    </w:p>
    <w:p>
      <w:r>
        <w:rPr>
          <w:b/>
        </w:rPr>
        <w:t>G5.2</w:t>
      </w:r>
      <w:r>
        <w:t xml:space="preserve"> Training and certification materials shall carry: </w:t>
      </w:r>
      <w:r>
        <w:rPr>
          <w:i/>
        </w:rPr>
        <w:t>This certificate evidences completion of training and assessment conducted by Equator ADR Institute. It is not a degree or diploma and is not a statutory qualification.</w:t>
      </w:r>
    </w:p>
    <w:p>
      <w:pPr>
        <w:spacing w:before="80" w:after="160"/>
        <w:pBdr>
          <w:bottom w:val="single" w:sz="6" w:space="1" w:color="C9D6DE"/>
        </w:pBdr>
      </w:pPr>
    </w:p>
    <w:p>
      <w:r>
        <w:br w:type="page"/>
      </w:r>
    </w:p>
    <w:p>
      <w:pPr>
        <w:pStyle w:val="Heading1"/>
        <w:pBdr>
          <w:bottom w:val="single" w:sz="8" w:space="4" w:color="C9D6DE"/>
        </w:pBdr>
      </w:pPr>
      <w:r>
        <w:t>SCHEDULE H · Commercial Terms</w:t>
      </w:r>
    </w:p>
    <w:p>
      <w:pPr>
        <w:pStyle w:val="Heading2"/>
      </w:pPr>
      <w:r>
        <w:t>H1. Basis</w:t>
      </w:r>
    </w:p>
    <w:p>
      <w:r>
        <w:rPr>
          <w:b/>
        </w:rPr>
        <w:t>H1.1</w:t>
      </w:r>
      <w:r>
        <w:t xml:space="preserve"> All amounts are in Indian Rupees and </w:t>
      </w:r>
      <w:r>
        <w:rPr>
          <w:b/>
        </w:rPr>
        <w:t>exclusive of applicable taxes</w:t>
      </w:r>
      <w:r>
        <w:t xml:space="preserve">, which shall be charged in addition. The characterisation of supplies for tax purposes is subject to confirmation. </w:t>
      </w:r>
      <w:r>
        <w:rPr>
          <w:b/>
        </w:rPr>
        <w:t>[verify — U1.]</w:t>
      </w:r>
    </w:p>
    <w:p>
      <w:r>
        <w:rPr>
          <w:b/>
        </w:rPr>
        <w:t>H1.2</w:t>
      </w:r>
      <w:r>
        <w:t xml:space="preserve"> Fees are those stated in this Schedule. Where a fee is not stated, the Institute's rate card in force applies.</w:t>
      </w:r>
    </w:p>
    <w:p>
      <w:r>
        <w:rPr>
          <w:b/>
        </w:rPr>
        <w:t>H1.3</w:t>
      </w:r>
      <w:r>
        <w:t xml:space="preserve"> Fees are reviewed annually and may be revised on </w:t>
      </w:r>
      <w:r>
        <w:rPr>
          <w:b/>
        </w:rPr>
        <w:t>sixty days'</w:t>
      </w:r>
      <w:r>
        <w:t xml:space="preserve"> written notice, effective from the next Academic Year, provided that fees for Activities already in the Activity Calendar shall not be revised.</w:t>
      </w:r>
    </w:p>
    <w:p>
      <w:pPr>
        <w:pStyle w:val="Heading2"/>
      </w:pPr>
      <w:r>
        <w:t>H2. Programme fees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487"/>
            <w:shd w:val="clear" w:color="auto" w:fill="10375C"/>
          </w:tcPr>
          <w:p>
            <w:pPr>
              <w:spacing w:after="50" w:before="50"/>
            </w:pPr>
            <w:r>
              <w:rPr>
                <w:b/>
                <w:color w:val="FFFFFF"/>
                <w:sz w:val="17"/>
              </w:rPr>
              <w:t>Code</w:t>
            </w:r>
          </w:p>
        </w:tc>
        <w:tc>
          <w:tcPr>
            <w:tcW w:type="dxa" w:w="3765"/>
            <w:shd w:val="clear" w:color="auto" w:fill="10375C"/>
          </w:tcPr>
          <w:p>
            <w:pPr>
              <w:spacing w:after="50" w:before="50"/>
            </w:pPr>
            <w:r>
              <w:rPr>
                <w:b/>
                <w:color w:val="FFFFFF"/>
                <w:sz w:val="17"/>
              </w:rPr>
              <w:t>Programme</w:t>
            </w:r>
          </w:p>
        </w:tc>
        <w:tc>
          <w:tcPr>
            <w:tcW w:type="dxa" w:w="2588"/>
            <w:shd w:val="clear" w:color="auto" w:fill="10375C"/>
          </w:tcPr>
          <w:p>
            <w:pPr>
              <w:spacing w:after="50" w:before="50"/>
            </w:pPr>
            <w:r>
              <w:rPr>
                <w:b/>
                <w:color w:val="FFFFFF"/>
                <w:sz w:val="17"/>
              </w:rPr>
              <w:t>Basis</w:t>
            </w:r>
          </w:p>
        </w:tc>
        <w:tc>
          <w:tcPr>
            <w:tcW w:type="dxa" w:w="850"/>
            <w:shd w:val="clear" w:color="auto" w:fill="10375C"/>
          </w:tcPr>
          <w:p>
            <w:pPr>
              <w:spacing w:after="50" w:before="50"/>
            </w:pPr>
            <w:r>
              <w:rPr>
                <w:b/>
                <w:color w:val="FFFFFF"/>
                <w:sz w:val="17"/>
              </w:rPr>
              <w:t>Fee</w:t>
            </w:r>
          </w:p>
        </w:tc>
      </w:tr>
      <w:tr>
        <w:tc>
          <w:tcPr>
            <w:tcW w:type="dxa" w:w="2487"/>
          </w:tcPr>
          <w:p>
            <w:pPr>
              <w:spacing w:after="50" w:before="50" w:line="252" w:lineRule="auto"/>
            </w:pPr>
            <w:r>
              <w:rPr>
                <w:sz w:val="17"/>
              </w:rPr>
              <w:t>T-40</w:t>
            </w:r>
          </w:p>
        </w:tc>
        <w:tc>
          <w:tcPr>
            <w:tcW w:type="dxa" w:w="3765"/>
          </w:tcPr>
          <w:p>
            <w:pPr>
              <w:spacing w:after="50" w:before="50" w:line="252" w:lineRule="auto"/>
            </w:pPr>
            <w:r>
              <w:rPr>
                <w:sz w:val="17"/>
              </w:rPr>
              <w:t>Basic Mediation Training, 40 hours</w:t>
            </w:r>
          </w:p>
        </w:tc>
        <w:tc>
          <w:tcPr>
            <w:tcW w:type="dxa" w:w="2588"/>
          </w:tcPr>
          <w:p>
            <w:pPr>
              <w:spacing w:after="50" w:before="50" w:line="252" w:lineRule="auto"/>
            </w:pPr>
            <w:r>
              <w:rPr>
                <w:sz w:val="17"/>
              </w:rPr>
              <w:t>Per participant</w:t>
            </w:r>
          </w:p>
        </w:tc>
        <w:tc>
          <w:tcPr>
            <w:tcW w:type="dxa" w:w="850"/>
          </w:tcPr>
          <w:p>
            <w:pPr>
              <w:spacing w:after="50" w:before="50" w:line="252" w:lineRule="auto"/>
            </w:pPr>
            <w:r>
              <w:rPr>
                <w:sz w:val="17"/>
              </w:rPr>
              <w:t>₹[●]</w:t>
            </w:r>
          </w:p>
        </w:tc>
      </w:tr>
      <w:tr>
        <w:tc>
          <w:tcPr>
            <w:tcW w:type="dxa" w:w="2487"/>
            <w:shd w:val="clear" w:color="auto" w:fill="EAF1F4"/>
          </w:tcPr>
          <w:p>
            <w:pPr>
              <w:spacing w:after="50" w:before="50" w:line="252" w:lineRule="auto"/>
            </w:pPr>
            <w:r>
              <w:rPr>
                <w:sz w:val="17"/>
              </w:rPr>
              <w:t>T-40</w:t>
            </w:r>
          </w:p>
        </w:tc>
        <w:tc>
          <w:tcPr>
            <w:tcW w:type="dxa" w:w="3765"/>
            <w:shd w:val="clear" w:color="auto" w:fill="EAF1F4"/>
          </w:tcPr>
          <w:p>
            <w:pPr>
              <w:spacing w:after="50" w:before="50" w:line="252" w:lineRule="auto"/>
            </w:pPr>
            <w:r>
              <w:rPr>
                <w:sz w:val="17"/>
              </w:rPr>
              <w:t>Basic Mediation Training</w:t>
            </w:r>
          </w:p>
        </w:tc>
        <w:tc>
          <w:tcPr>
            <w:tcW w:type="dxa" w:w="2588"/>
            <w:shd w:val="clear" w:color="auto" w:fill="EAF1F4"/>
          </w:tcPr>
          <w:p>
            <w:pPr>
              <w:spacing w:after="50" w:before="50" w:line="252" w:lineRule="auto"/>
            </w:pPr>
            <w:r>
              <w:rPr>
                <w:sz w:val="17"/>
              </w:rPr>
              <w:t>Per cohort, block booking up to 30</w:t>
            </w:r>
          </w:p>
        </w:tc>
        <w:tc>
          <w:tcPr>
            <w:tcW w:type="dxa" w:w="850"/>
            <w:shd w:val="clear" w:color="auto" w:fill="EAF1F4"/>
          </w:tcPr>
          <w:p>
            <w:pPr>
              <w:spacing w:after="50" w:before="50" w:line="252" w:lineRule="auto"/>
            </w:pPr>
            <w:r>
              <w:rPr>
                <w:sz w:val="17"/>
              </w:rPr>
              <w:t>₹[●]</w:t>
            </w:r>
          </w:p>
        </w:tc>
      </w:tr>
      <w:tr>
        <w:tc>
          <w:tcPr>
            <w:tcW w:type="dxa" w:w="2487"/>
          </w:tcPr>
          <w:p>
            <w:pPr>
              <w:spacing w:after="50" w:before="50" w:line="252" w:lineRule="auto"/>
            </w:pPr>
            <w:r>
              <w:rPr>
                <w:sz w:val="17"/>
              </w:rPr>
              <w:t>T-20</w:t>
            </w:r>
          </w:p>
        </w:tc>
        <w:tc>
          <w:tcPr>
            <w:tcW w:type="dxa" w:w="3765"/>
          </w:tcPr>
          <w:p>
            <w:pPr>
              <w:spacing w:after="50" w:before="50" w:line="252" w:lineRule="auto"/>
            </w:pPr>
            <w:r>
              <w:rPr>
                <w:sz w:val="17"/>
              </w:rPr>
              <w:t>Advanced Mediation Training, 20 hours</w:t>
            </w:r>
          </w:p>
        </w:tc>
        <w:tc>
          <w:tcPr>
            <w:tcW w:type="dxa" w:w="2588"/>
          </w:tcPr>
          <w:p>
            <w:pPr>
              <w:spacing w:after="50" w:before="50" w:line="252" w:lineRule="auto"/>
            </w:pPr>
            <w:r>
              <w:rPr>
                <w:sz w:val="17"/>
              </w:rPr>
              <w:t>Per participant</w:t>
            </w:r>
          </w:p>
        </w:tc>
        <w:tc>
          <w:tcPr>
            <w:tcW w:type="dxa" w:w="850"/>
          </w:tcPr>
          <w:p>
            <w:pPr>
              <w:spacing w:after="50" w:before="50" w:line="252" w:lineRule="auto"/>
            </w:pPr>
            <w:r>
              <w:rPr>
                <w:sz w:val="17"/>
              </w:rPr>
              <w:t>₹[●]</w:t>
            </w:r>
          </w:p>
        </w:tc>
      </w:tr>
      <w:tr>
        <w:tc>
          <w:tcPr>
            <w:tcW w:type="dxa" w:w="2487"/>
            <w:shd w:val="clear" w:color="auto" w:fill="EAF1F4"/>
          </w:tcPr>
          <w:p>
            <w:pPr>
              <w:spacing w:after="50" w:before="50" w:line="252" w:lineRule="auto"/>
            </w:pPr>
            <w:r>
              <w:rPr>
                <w:sz w:val="17"/>
              </w:rPr>
              <w:t>T-FDP</w:t>
            </w:r>
          </w:p>
        </w:tc>
        <w:tc>
          <w:tcPr>
            <w:tcW w:type="dxa" w:w="3765"/>
            <w:shd w:val="clear" w:color="auto" w:fill="EAF1F4"/>
          </w:tcPr>
          <w:p>
            <w:pPr>
              <w:spacing w:after="50" w:before="50" w:line="252" w:lineRule="auto"/>
            </w:pPr>
            <w:r>
              <w:rPr>
                <w:sz w:val="17"/>
              </w:rPr>
              <w:t>Faculty Development Programme, 5 days</w:t>
            </w:r>
          </w:p>
        </w:tc>
        <w:tc>
          <w:tcPr>
            <w:tcW w:type="dxa" w:w="2588"/>
            <w:shd w:val="clear" w:color="auto" w:fill="EAF1F4"/>
          </w:tcPr>
          <w:p>
            <w:pPr>
              <w:spacing w:after="50" w:before="50" w:line="252" w:lineRule="auto"/>
            </w:pPr>
            <w:r>
              <w:rPr>
                <w:sz w:val="17"/>
              </w:rPr>
              <w:t>Per programme, up to 30 faculty</w:t>
            </w:r>
          </w:p>
        </w:tc>
        <w:tc>
          <w:tcPr>
            <w:tcW w:type="dxa" w:w="850"/>
            <w:shd w:val="clear" w:color="auto" w:fill="EAF1F4"/>
          </w:tcPr>
          <w:p>
            <w:pPr>
              <w:spacing w:after="50" w:before="50" w:line="252" w:lineRule="auto"/>
            </w:pPr>
            <w:r>
              <w:rPr>
                <w:sz w:val="17"/>
              </w:rPr>
              <w:t>₹[●]</w:t>
            </w:r>
          </w:p>
        </w:tc>
      </w:tr>
      <w:tr>
        <w:tc>
          <w:tcPr>
            <w:tcW w:type="dxa" w:w="2487"/>
          </w:tcPr>
          <w:p>
            <w:pPr>
              <w:spacing w:after="50" w:before="50" w:line="252" w:lineRule="auto"/>
            </w:pPr>
            <w:r>
              <w:rPr>
                <w:sz w:val="17"/>
              </w:rPr>
              <w:t>T-TTT</w:t>
            </w:r>
          </w:p>
        </w:tc>
        <w:tc>
          <w:tcPr>
            <w:tcW w:type="dxa" w:w="3765"/>
          </w:tcPr>
          <w:p>
            <w:pPr>
              <w:spacing w:after="50" w:before="50" w:line="252" w:lineRule="auto"/>
            </w:pPr>
            <w:r>
              <w:rPr>
                <w:sz w:val="17"/>
              </w:rPr>
              <w:t>Train the Trainer, 3 days</w:t>
            </w:r>
          </w:p>
        </w:tc>
        <w:tc>
          <w:tcPr>
            <w:tcW w:type="dxa" w:w="2588"/>
          </w:tcPr>
          <w:p>
            <w:pPr>
              <w:spacing w:after="50" w:before="50" w:line="252" w:lineRule="auto"/>
            </w:pPr>
            <w:r>
              <w:rPr>
                <w:sz w:val="17"/>
              </w:rPr>
              <w:t>Per participant</w:t>
            </w:r>
          </w:p>
        </w:tc>
        <w:tc>
          <w:tcPr>
            <w:tcW w:type="dxa" w:w="850"/>
          </w:tcPr>
          <w:p>
            <w:pPr>
              <w:spacing w:after="50" w:before="50" w:line="252" w:lineRule="auto"/>
            </w:pPr>
            <w:r>
              <w:rPr>
                <w:sz w:val="17"/>
              </w:rPr>
              <w:t>₹[●]</w:t>
            </w:r>
          </w:p>
        </w:tc>
      </w:tr>
      <w:tr>
        <w:tc>
          <w:tcPr>
            <w:tcW w:type="dxa" w:w="2487"/>
            <w:shd w:val="clear" w:color="auto" w:fill="EAF1F4"/>
          </w:tcPr>
          <w:p>
            <w:pPr>
              <w:spacing w:after="50" w:before="50" w:line="252" w:lineRule="auto"/>
            </w:pPr>
            <w:r>
              <w:rPr>
                <w:sz w:val="17"/>
              </w:rPr>
              <w:t>W-*</w:t>
            </w:r>
          </w:p>
        </w:tc>
        <w:tc>
          <w:tcPr>
            <w:tcW w:type="dxa" w:w="3765"/>
            <w:shd w:val="clear" w:color="auto" w:fill="EAF1F4"/>
          </w:tcPr>
          <w:p>
            <w:pPr>
              <w:spacing w:after="50" w:before="50" w:line="252" w:lineRule="auto"/>
            </w:pPr>
            <w:r>
              <w:rPr>
                <w:sz w:val="17"/>
              </w:rPr>
              <w:t>Workshops, half day</w:t>
            </w:r>
          </w:p>
        </w:tc>
        <w:tc>
          <w:tcPr>
            <w:tcW w:type="dxa" w:w="2588"/>
            <w:shd w:val="clear" w:color="auto" w:fill="EAF1F4"/>
          </w:tcPr>
          <w:p>
            <w:pPr>
              <w:spacing w:after="50" w:before="50" w:line="252" w:lineRule="auto"/>
            </w:pPr>
            <w:r>
              <w:rPr>
                <w:sz w:val="17"/>
              </w:rPr>
              <w:t>Per session</w:t>
            </w:r>
          </w:p>
        </w:tc>
        <w:tc>
          <w:tcPr>
            <w:tcW w:type="dxa" w:w="850"/>
            <w:shd w:val="clear" w:color="auto" w:fill="EAF1F4"/>
          </w:tcPr>
          <w:p>
            <w:pPr>
              <w:spacing w:after="50" w:before="50" w:line="252" w:lineRule="auto"/>
            </w:pPr>
            <w:r>
              <w:rPr>
                <w:sz w:val="17"/>
              </w:rPr>
              <w:t>₹[●]</w:t>
            </w:r>
          </w:p>
        </w:tc>
      </w:tr>
      <w:tr>
        <w:tc>
          <w:tcPr>
            <w:tcW w:type="dxa" w:w="2487"/>
          </w:tcPr>
          <w:p>
            <w:pPr>
              <w:spacing w:after="50" w:before="50" w:line="252" w:lineRule="auto"/>
            </w:pPr>
            <w:r>
              <w:rPr>
                <w:sz w:val="17"/>
              </w:rPr>
              <w:t>W-*</w:t>
            </w:r>
          </w:p>
        </w:tc>
        <w:tc>
          <w:tcPr>
            <w:tcW w:type="dxa" w:w="3765"/>
          </w:tcPr>
          <w:p>
            <w:pPr>
              <w:spacing w:after="50" w:before="50" w:line="252" w:lineRule="auto"/>
            </w:pPr>
            <w:r>
              <w:rPr>
                <w:sz w:val="17"/>
              </w:rPr>
              <w:t>Workshops, full day</w:t>
            </w:r>
          </w:p>
        </w:tc>
        <w:tc>
          <w:tcPr>
            <w:tcW w:type="dxa" w:w="2588"/>
          </w:tcPr>
          <w:p>
            <w:pPr>
              <w:spacing w:after="50" w:before="50" w:line="252" w:lineRule="auto"/>
            </w:pPr>
            <w:r>
              <w:rPr>
                <w:sz w:val="17"/>
              </w:rPr>
              <w:t>Per session</w:t>
            </w:r>
          </w:p>
        </w:tc>
        <w:tc>
          <w:tcPr>
            <w:tcW w:type="dxa" w:w="850"/>
          </w:tcPr>
          <w:p>
            <w:pPr>
              <w:spacing w:after="50" w:before="50" w:line="252" w:lineRule="auto"/>
            </w:pPr>
            <w:r>
              <w:rPr>
                <w:sz w:val="17"/>
              </w:rPr>
              <w:t>₹[●]</w:t>
            </w:r>
          </w:p>
        </w:tc>
      </w:tr>
      <w:tr>
        <w:tc>
          <w:tcPr>
            <w:tcW w:type="dxa" w:w="2487"/>
            <w:shd w:val="clear" w:color="auto" w:fill="EAF1F4"/>
          </w:tcPr>
          <w:p>
            <w:pPr>
              <w:spacing w:after="50" w:before="50" w:line="252" w:lineRule="auto"/>
            </w:pPr>
            <w:r>
              <w:rPr>
                <w:sz w:val="17"/>
              </w:rPr>
              <w:t>C-CERT</w:t>
            </w:r>
          </w:p>
        </w:tc>
        <w:tc>
          <w:tcPr>
            <w:tcW w:type="dxa" w:w="3765"/>
            <w:shd w:val="clear" w:color="auto" w:fill="EAF1F4"/>
          </w:tcPr>
          <w:p>
            <w:pPr>
              <w:spacing w:after="50" w:before="50" w:line="252" w:lineRule="auto"/>
            </w:pPr>
            <w:r>
              <w:rPr>
                <w:sz w:val="17"/>
              </w:rPr>
              <w:t>Credit-bearing certificate course</w:t>
            </w:r>
          </w:p>
        </w:tc>
        <w:tc>
          <w:tcPr>
            <w:tcW w:type="dxa" w:w="2588"/>
            <w:shd w:val="clear" w:color="auto" w:fill="EAF1F4"/>
          </w:tcPr>
          <w:p>
            <w:pPr>
              <w:spacing w:after="50" w:before="50" w:line="252" w:lineRule="auto"/>
            </w:pPr>
            <w:r>
              <w:rPr>
                <w:sz w:val="17"/>
              </w:rPr>
              <w:t>Per participant</w:t>
            </w:r>
          </w:p>
        </w:tc>
        <w:tc>
          <w:tcPr>
            <w:tcW w:type="dxa" w:w="850"/>
            <w:shd w:val="clear" w:color="auto" w:fill="EAF1F4"/>
          </w:tcPr>
          <w:p>
            <w:pPr>
              <w:spacing w:after="50" w:before="50" w:line="252" w:lineRule="auto"/>
            </w:pPr>
            <w:r>
              <w:rPr>
                <w:sz w:val="17"/>
              </w:rPr>
              <w:t>₹[●]</w:t>
            </w:r>
          </w:p>
        </w:tc>
      </w:tr>
      <w:tr>
        <w:tc>
          <w:tcPr>
            <w:tcW w:type="dxa" w:w="2487"/>
          </w:tcPr>
          <w:p>
            <w:pPr>
              <w:spacing w:after="50" w:before="50" w:line="252" w:lineRule="auto"/>
            </w:pPr>
            <w:r>
              <w:rPr>
                <w:sz w:val="17"/>
              </w:rPr>
              <w:t>Summer school</w:t>
            </w:r>
          </w:p>
        </w:tc>
        <w:tc>
          <w:tcPr>
            <w:tcW w:type="dxa" w:w="3765"/>
          </w:tcPr>
          <w:p>
            <w:pPr>
              <w:spacing w:after="50" w:before="50" w:line="252" w:lineRule="auto"/>
            </w:pPr>
            <w:r>
              <w:rPr>
                <w:sz w:val="17"/>
              </w:rPr>
              <w:t>Residential, [●] days</w:t>
            </w:r>
          </w:p>
        </w:tc>
        <w:tc>
          <w:tcPr>
            <w:tcW w:type="dxa" w:w="2588"/>
          </w:tcPr>
          <w:p>
            <w:pPr>
              <w:spacing w:after="50" w:before="50" w:line="252" w:lineRule="auto"/>
            </w:pPr>
            <w:r>
              <w:rPr>
                <w:sz w:val="17"/>
              </w:rPr>
              <w:t>Per participant</w:t>
            </w:r>
          </w:p>
        </w:tc>
        <w:tc>
          <w:tcPr>
            <w:tcW w:type="dxa" w:w="850"/>
          </w:tcPr>
          <w:p>
            <w:pPr>
              <w:spacing w:after="50" w:before="50" w:line="252" w:lineRule="auto"/>
            </w:pPr>
            <w:r>
              <w:rPr>
                <w:sz w:val="17"/>
              </w:rPr>
              <w:t>₹[●]</w:t>
            </w:r>
          </w:p>
        </w:tc>
      </w:tr>
      <w:tr>
        <w:tc>
          <w:tcPr>
            <w:tcW w:type="dxa" w:w="2487"/>
            <w:shd w:val="clear" w:color="auto" w:fill="EAF1F4"/>
          </w:tcPr>
          <w:p>
            <w:pPr>
              <w:spacing w:after="50" w:before="50" w:line="252" w:lineRule="auto"/>
            </w:pPr>
            <w:r>
              <w:rPr>
                <w:sz w:val="17"/>
              </w:rPr>
              <w:t>Coaching, international competition</w:t>
            </w:r>
          </w:p>
        </w:tc>
        <w:tc>
          <w:tcPr>
            <w:tcW w:type="dxa" w:w="3765"/>
            <w:shd w:val="clear" w:color="auto" w:fill="EAF1F4"/>
          </w:tcPr>
          <w:p>
            <w:pPr>
              <w:spacing w:after="50" w:before="50" w:line="252" w:lineRule="auto"/>
            </w:pPr>
            <w:r>
              <w:rPr>
                <w:sz w:val="17"/>
              </w:rPr>
              <w:t>Per team per season</w:t>
            </w:r>
          </w:p>
        </w:tc>
        <w:tc>
          <w:tcPr>
            <w:tcW w:type="dxa" w:w="2588"/>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p>
        </w:tc>
      </w:tr>
      <w:tr>
        <w:tc>
          <w:tcPr>
            <w:tcW w:type="dxa" w:w="2487"/>
          </w:tcPr>
          <w:p>
            <w:pPr>
              <w:spacing w:after="50" w:before="50" w:line="252" w:lineRule="auto"/>
            </w:pPr>
            <w:r>
              <w:rPr>
                <w:sz w:val="17"/>
              </w:rPr>
              <w:t>A-POSH</w:t>
            </w:r>
          </w:p>
        </w:tc>
        <w:tc>
          <w:tcPr>
            <w:tcW w:type="dxa" w:w="3765"/>
          </w:tcPr>
          <w:p>
            <w:pPr>
              <w:spacing w:after="50" w:before="50" w:line="252" w:lineRule="auto"/>
            </w:pPr>
            <w:r>
              <w:rPr>
                <w:sz w:val="17"/>
              </w:rPr>
              <w:t>Internal Committee training</w:t>
            </w:r>
          </w:p>
        </w:tc>
        <w:tc>
          <w:tcPr>
            <w:tcW w:type="dxa" w:w="2588"/>
          </w:tcPr>
          <w:p>
            <w:pPr>
              <w:spacing w:after="50" w:before="50" w:line="252" w:lineRule="auto"/>
            </w:pPr>
            <w:r>
              <w:rPr>
                <w:sz w:val="17"/>
              </w:rPr>
              <w:t>Per session</w:t>
            </w:r>
          </w:p>
        </w:tc>
        <w:tc>
          <w:tcPr>
            <w:tcW w:type="dxa" w:w="850"/>
          </w:tcPr>
          <w:p>
            <w:pPr>
              <w:spacing w:after="50" w:before="50" w:line="252" w:lineRule="auto"/>
            </w:pPr>
            <w:r>
              <w:rPr>
                <w:sz w:val="17"/>
              </w:rPr>
              <w:t>₹[●]</w:t>
            </w:r>
          </w:p>
        </w:tc>
      </w:tr>
      <w:tr>
        <w:tc>
          <w:tcPr>
            <w:tcW w:type="dxa" w:w="2487"/>
            <w:shd w:val="clear" w:color="auto" w:fill="EAF1F4"/>
          </w:tcPr>
          <w:p>
            <w:pPr>
              <w:spacing w:after="50" w:before="50" w:line="252" w:lineRule="auto"/>
            </w:pPr>
            <w:r>
              <w:rPr>
                <w:sz w:val="17"/>
              </w:rPr>
              <w:t>A-SGRC</w:t>
            </w:r>
          </w:p>
        </w:tc>
        <w:tc>
          <w:tcPr>
            <w:tcW w:type="dxa" w:w="3765"/>
            <w:shd w:val="clear" w:color="auto" w:fill="EAF1F4"/>
          </w:tcPr>
          <w:p>
            <w:pPr>
              <w:spacing w:after="50" w:before="50" w:line="252" w:lineRule="auto"/>
            </w:pPr>
            <w:r>
              <w:rPr>
                <w:sz w:val="17"/>
              </w:rPr>
              <w:t>Grievance and Ombudsperson workshop</w:t>
            </w:r>
          </w:p>
        </w:tc>
        <w:tc>
          <w:tcPr>
            <w:tcW w:type="dxa" w:w="2588"/>
            <w:shd w:val="clear" w:color="auto" w:fill="EAF1F4"/>
          </w:tcPr>
          <w:p>
            <w:pPr>
              <w:spacing w:after="50" w:before="50" w:line="252" w:lineRule="auto"/>
            </w:pPr>
            <w:r>
              <w:rPr>
                <w:sz w:val="17"/>
              </w:rPr>
              <w:t>Per session</w:t>
            </w:r>
          </w:p>
        </w:tc>
        <w:tc>
          <w:tcPr>
            <w:tcW w:type="dxa" w:w="850"/>
            <w:shd w:val="clear" w:color="auto" w:fill="EAF1F4"/>
          </w:tcPr>
          <w:p>
            <w:pPr>
              <w:spacing w:after="50" w:before="50" w:line="252" w:lineRule="auto"/>
            </w:pPr>
            <w:r>
              <w:rPr>
                <w:sz w:val="17"/>
              </w:rPr>
              <w:t>₹[●]</w:t>
            </w:r>
          </w:p>
        </w:tc>
      </w:tr>
      <w:tr>
        <w:tc>
          <w:tcPr>
            <w:tcW w:type="dxa" w:w="2487"/>
          </w:tcPr>
          <w:p>
            <w:pPr>
              <w:spacing w:after="50" w:before="50" w:line="252" w:lineRule="auto"/>
            </w:pPr>
            <w:r>
              <w:rPr>
                <w:sz w:val="17"/>
              </w:rPr>
              <w:t>Institutional advisory retainer</w:t>
            </w:r>
          </w:p>
        </w:tc>
        <w:tc>
          <w:tcPr>
            <w:tcW w:type="dxa" w:w="3765"/>
          </w:tcPr>
          <w:p>
            <w:pPr>
              <w:spacing w:after="50" w:before="50" w:line="252" w:lineRule="auto"/>
            </w:pPr>
            <w:r>
              <w:rPr>
                <w:sz w:val="17"/>
              </w:rPr>
              <w:t>Per annum</w:t>
            </w:r>
          </w:p>
        </w:tc>
        <w:tc>
          <w:tcPr>
            <w:tcW w:type="dxa" w:w="2588"/>
          </w:tcPr>
          <w:p>
            <w:pPr>
              <w:spacing w:after="50" w:before="50" w:line="252" w:lineRule="auto"/>
            </w:pPr>
            <w:r>
              <w:rPr>
                <w:sz w:val="17"/>
              </w:rPr>
              <w:t>₹[●]</w:t>
            </w:r>
          </w:p>
        </w:tc>
        <w:tc>
          <w:tcPr>
            <w:tcW w:type="dxa" w:w="850"/>
          </w:tcPr>
          <w:p>
            <w:pPr>
              <w:spacing w:after="50" w:before="50" w:line="252" w:lineRule="auto"/>
            </w:pPr>
          </w:p>
        </w:tc>
      </w:tr>
      <w:tr>
        <w:tc>
          <w:tcPr>
            <w:tcW w:type="dxa" w:w="2487"/>
            <w:shd w:val="clear" w:color="auto" w:fill="EAF1F4"/>
          </w:tcPr>
          <w:p>
            <w:pPr>
              <w:spacing w:after="50" w:before="50" w:line="252" w:lineRule="auto"/>
            </w:pPr>
            <w:r>
              <w:rPr>
                <w:sz w:val="17"/>
              </w:rPr>
              <w:t>External committee member</w:t>
            </w:r>
          </w:p>
        </w:tc>
        <w:tc>
          <w:tcPr>
            <w:tcW w:type="dxa" w:w="3765"/>
            <w:shd w:val="clear" w:color="auto" w:fill="EAF1F4"/>
          </w:tcPr>
          <w:p>
            <w:pPr>
              <w:spacing w:after="50" w:before="50" w:line="252" w:lineRule="auto"/>
            </w:pPr>
            <w:r>
              <w:rPr>
                <w:sz w:val="17"/>
              </w:rPr>
              <w:t>Per sitting</w:t>
            </w:r>
          </w:p>
        </w:tc>
        <w:tc>
          <w:tcPr>
            <w:tcW w:type="dxa" w:w="2588"/>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p>
        </w:tc>
      </w:tr>
      <w:tr>
        <w:tc>
          <w:tcPr>
            <w:tcW w:type="dxa" w:w="2487"/>
          </w:tcPr>
          <w:p>
            <w:pPr>
              <w:spacing w:after="50" w:before="50" w:line="252" w:lineRule="auto"/>
            </w:pPr>
            <w:r>
              <w:rPr>
                <w:sz w:val="17"/>
              </w:rPr>
              <w:t>Curriculum or casebook licence</w:t>
            </w:r>
          </w:p>
        </w:tc>
        <w:tc>
          <w:tcPr>
            <w:tcW w:type="dxa" w:w="3765"/>
          </w:tcPr>
          <w:p>
            <w:pPr>
              <w:spacing w:after="50" w:before="50" w:line="252" w:lineRule="auto"/>
            </w:pPr>
            <w:r>
              <w:rPr>
                <w:sz w:val="17"/>
              </w:rPr>
              <w:t>Per annum</w:t>
            </w:r>
          </w:p>
        </w:tc>
        <w:tc>
          <w:tcPr>
            <w:tcW w:type="dxa" w:w="2588"/>
          </w:tcPr>
          <w:p>
            <w:pPr>
              <w:spacing w:after="50" w:before="50" w:line="252" w:lineRule="auto"/>
            </w:pPr>
            <w:r>
              <w:rPr>
                <w:sz w:val="17"/>
              </w:rPr>
              <w:t>₹[●]</w:t>
            </w:r>
          </w:p>
        </w:tc>
        <w:tc>
          <w:tcPr>
            <w:tcW w:type="dxa" w:w="850"/>
          </w:tcPr>
          <w:p>
            <w:pPr>
              <w:spacing w:after="50" w:before="50" w:line="252" w:lineRule="auto"/>
            </w:pPr>
          </w:p>
        </w:tc>
      </w:tr>
    </w:tbl>
    <w:p>
      <w:pPr>
        <w:spacing w:after="80" w:before="0"/>
      </w:pPr>
    </w:p>
    <w:p>
      <w:pPr>
        <w:pStyle w:val="Heading2"/>
      </w:pPr>
      <w:r>
        <w:t>H3. Revenue share on participant fees</w:t>
      </w:r>
    </w:p>
    <w:p>
      <w:r>
        <w:rPr>
          <w:b/>
        </w:rPr>
        <w:t>H3.1</w:t>
      </w:r>
      <w:r>
        <w:t xml:space="preserve"> Where participants pay a fee for a programme delivered on University premises, the fee shall be shared as follows: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4288"/>
            <w:shd w:val="clear" w:color="auto" w:fill="10375C"/>
          </w:tcPr>
          <w:p>
            <w:pPr>
              <w:spacing w:after="50" w:before="50"/>
            </w:pPr>
            <w:r>
              <w:rPr>
                <w:b/>
                <w:color w:val="FFFFFF"/>
                <w:sz w:val="17"/>
              </w:rPr>
              <w:t>Programme</w:t>
            </w:r>
          </w:p>
        </w:tc>
        <w:tc>
          <w:tcPr>
            <w:tcW w:type="dxa" w:w="2505"/>
            <w:shd w:val="clear" w:color="auto" w:fill="10375C"/>
          </w:tcPr>
          <w:p>
            <w:pPr>
              <w:spacing w:after="50" w:before="50"/>
            </w:pPr>
            <w:r>
              <w:rPr>
                <w:b/>
                <w:color w:val="FFFFFF"/>
                <w:sz w:val="17"/>
              </w:rPr>
              <w:t>Institute</w:t>
            </w:r>
          </w:p>
        </w:tc>
        <w:tc>
          <w:tcPr>
            <w:tcW w:type="dxa" w:w="2674"/>
            <w:shd w:val="clear" w:color="auto" w:fill="10375C"/>
          </w:tcPr>
          <w:p>
            <w:pPr>
              <w:spacing w:after="50" w:before="50"/>
            </w:pPr>
            <w:r>
              <w:rPr>
                <w:b/>
                <w:color w:val="FFFFFF"/>
                <w:sz w:val="17"/>
              </w:rPr>
              <w:t>University</w:t>
            </w:r>
          </w:p>
        </w:tc>
      </w:tr>
      <w:tr>
        <w:tc>
          <w:tcPr>
            <w:tcW w:type="dxa" w:w="4288"/>
          </w:tcPr>
          <w:p>
            <w:pPr>
              <w:spacing w:after="50" w:before="50" w:line="252" w:lineRule="auto"/>
            </w:pPr>
            <w:r>
              <w:rPr>
                <w:sz w:val="17"/>
              </w:rPr>
              <w:t>T-40, T-20</w:t>
            </w:r>
          </w:p>
        </w:tc>
        <w:tc>
          <w:tcPr>
            <w:tcW w:type="dxa" w:w="2505"/>
          </w:tcPr>
          <w:p>
            <w:pPr>
              <w:spacing w:after="50" w:before="50" w:line="252" w:lineRule="auto"/>
            </w:pPr>
            <w:r>
              <w:rPr>
                <w:sz w:val="17"/>
              </w:rPr>
              <w:t>[●]%</w:t>
            </w:r>
          </w:p>
        </w:tc>
        <w:tc>
          <w:tcPr>
            <w:tcW w:type="dxa" w:w="2674"/>
          </w:tcPr>
          <w:p>
            <w:pPr>
              <w:spacing w:after="50" w:before="50" w:line="252" w:lineRule="auto"/>
            </w:pPr>
            <w:r>
              <w:rPr>
                <w:sz w:val="17"/>
              </w:rPr>
              <w:t>[●]%</w:t>
            </w:r>
          </w:p>
        </w:tc>
      </w:tr>
      <w:tr>
        <w:tc>
          <w:tcPr>
            <w:tcW w:type="dxa" w:w="4288"/>
            <w:shd w:val="clear" w:color="auto" w:fill="EAF1F4"/>
          </w:tcPr>
          <w:p>
            <w:pPr>
              <w:spacing w:after="50" w:before="50" w:line="252" w:lineRule="auto"/>
            </w:pPr>
            <w:r>
              <w:rPr>
                <w:sz w:val="17"/>
              </w:rPr>
              <w:t>C-CERT</w:t>
            </w:r>
          </w:p>
        </w:tc>
        <w:tc>
          <w:tcPr>
            <w:tcW w:type="dxa" w:w="2505"/>
            <w:shd w:val="clear" w:color="auto" w:fill="EAF1F4"/>
          </w:tcPr>
          <w:p>
            <w:pPr>
              <w:spacing w:after="50" w:before="50" w:line="252" w:lineRule="auto"/>
            </w:pPr>
            <w:r>
              <w:rPr>
                <w:sz w:val="17"/>
              </w:rPr>
              <w:t>[●]%</w:t>
            </w:r>
          </w:p>
        </w:tc>
        <w:tc>
          <w:tcPr>
            <w:tcW w:type="dxa" w:w="2674"/>
            <w:shd w:val="clear" w:color="auto" w:fill="EAF1F4"/>
          </w:tcPr>
          <w:p>
            <w:pPr>
              <w:spacing w:after="50" w:before="50" w:line="252" w:lineRule="auto"/>
            </w:pPr>
            <w:r>
              <w:rPr>
                <w:sz w:val="17"/>
              </w:rPr>
              <w:t>[●]%</w:t>
            </w:r>
          </w:p>
        </w:tc>
      </w:tr>
      <w:tr>
        <w:tc>
          <w:tcPr>
            <w:tcW w:type="dxa" w:w="4288"/>
          </w:tcPr>
          <w:p>
            <w:pPr>
              <w:spacing w:after="50" w:before="50" w:line="252" w:lineRule="auto"/>
            </w:pPr>
            <w:r>
              <w:rPr>
                <w:sz w:val="17"/>
              </w:rPr>
              <w:t>Workshops</w:t>
            </w:r>
          </w:p>
        </w:tc>
        <w:tc>
          <w:tcPr>
            <w:tcW w:type="dxa" w:w="2505"/>
          </w:tcPr>
          <w:p>
            <w:pPr>
              <w:spacing w:after="50" w:before="50" w:line="252" w:lineRule="auto"/>
            </w:pPr>
            <w:r>
              <w:rPr>
                <w:sz w:val="17"/>
              </w:rPr>
              <w:t>[●]%</w:t>
            </w:r>
          </w:p>
        </w:tc>
        <w:tc>
          <w:tcPr>
            <w:tcW w:type="dxa" w:w="2674"/>
          </w:tcPr>
          <w:p>
            <w:pPr>
              <w:spacing w:after="50" w:before="50" w:line="252" w:lineRule="auto"/>
            </w:pPr>
            <w:r>
              <w:rPr>
                <w:sz w:val="17"/>
              </w:rPr>
              <w:t>[●]%</w:t>
            </w:r>
          </w:p>
        </w:tc>
      </w:tr>
      <w:tr>
        <w:tc>
          <w:tcPr>
            <w:tcW w:type="dxa" w:w="4288"/>
            <w:shd w:val="clear" w:color="auto" w:fill="EAF1F4"/>
          </w:tcPr>
          <w:p>
            <w:pPr>
              <w:spacing w:after="50" w:before="50" w:line="252" w:lineRule="auto"/>
            </w:pPr>
            <w:r>
              <w:rPr>
                <w:sz w:val="17"/>
              </w:rPr>
              <w:t>Summer school</w:t>
            </w:r>
          </w:p>
        </w:tc>
        <w:tc>
          <w:tcPr>
            <w:tcW w:type="dxa" w:w="2505"/>
            <w:shd w:val="clear" w:color="auto" w:fill="EAF1F4"/>
          </w:tcPr>
          <w:p>
            <w:pPr>
              <w:spacing w:after="50" w:before="50" w:line="252" w:lineRule="auto"/>
            </w:pPr>
            <w:r>
              <w:rPr>
                <w:sz w:val="17"/>
              </w:rPr>
              <w:t>[●]%</w:t>
            </w:r>
          </w:p>
        </w:tc>
        <w:tc>
          <w:tcPr>
            <w:tcW w:type="dxa" w:w="2674"/>
            <w:shd w:val="clear" w:color="auto" w:fill="EAF1F4"/>
          </w:tcPr>
          <w:p>
            <w:pPr>
              <w:spacing w:after="50" w:before="50" w:line="252" w:lineRule="auto"/>
            </w:pPr>
            <w:r>
              <w:rPr>
                <w:sz w:val="17"/>
              </w:rPr>
              <w:t>[●]%</w:t>
            </w:r>
          </w:p>
        </w:tc>
      </w:tr>
    </w:tbl>
    <w:p>
      <w:pPr>
        <w:spacing w:after="80" w:before="0"/>
      </w:pPr>
    </w:p>
    <w:p>
      <w:r>
        <w:rPr>
          <w:b/>
        </w:rPr>
        <w:t>H3.2 Collection.</w:t>
      </w:r>
      <w:r>
        <w:t xml:space="preserve"> Fees shall be collected by </w:t>
      </w:r>
      <w:r>
        <w:rPr>
          <w:b/>
        </w:rPr>
        <w:t>[the Institute / the University]</w:t>
      </w:r>
      <w:r>
        <w:t>. The collecting Party acts as collecting agent for the other in respect of the other's share, holds it to the other's account, and shall not set it off against any other claim.</w:t>
      </w:r>
    </w:p>
    <w:p>
      <w:r>
        <w:rPr>
          <w:b/>
        </w:rPr>
        <w:t>H3.3 Settlement.</w:t>
      </w:r>
      <w:r>
        <w:t xml:space="preserve"> The collecting Party shall settle the other's share within </w:t>
      </w:r>
      <w:r>
        <w:rPr>
          <w:b/>
        </w:rPr>
        <w:t>thirty days</w:t>
      </w:r>
      <w:r>
        <w:t xml:space="preserve"> of the completion of the programme, together with a statement showing gross collections, refunds, the number of participants and the computation.</w:t>
      </w:r>
    </w:p>
    <w:p>
      <w:r>
        <w:rPr>
          <w:b/>
        </w:rPr>
        <w:t>H3.4 Reconciliation.</w:t>
      </w:r>
      <w:r>
        <w:t xml:space="preserve"> Each Party may, on fourteen days' notice and not more than twice in an Academic Year, inspect the records relating to collections. Any shortfall identified shall be settled within fifteen days. Where a shortfall exceeds </w:t>
      </w:r>
      <w:r>
        <w:rPr>
          <w:b/>
        </w:rPr>
        <w:t>5%</w:t>
      </w:r>
      <w:r>
        <w:t>, the inspecting Party's reasonable costs of inspection shall be borne by the other.</w:t>
      </w:r>
    </w:p>
    <w:p>
      <w:r>
        <w:rPr>
          <w:b/>
        </w:rPr>
        <w:t>H3.5 Refunds.</w:t>
      </w:r>
      <w:r>
        <w:t xml:space="preserve"> Refunds are governed by the Institute's published refund policy and are deducted from gross collections before the share is computed.</w:t>
      </w:r>
    </w:p>
    <w:p>
      <w:pPr>
        <w:pStyle w:val="Heading2"/>
      </w:pPr>
      <w:r>
        <w:t>H4. Competitions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881"/>
            <w:shd w:val="clear" w:color="auto" w:fill="10375C"/>
          </w:tcPr>
          <w:p>
            <w:pPr>
              <w:spacing w:after="50" w:before="50"/>
            </w:pPr>
            <w:r>
              <w:rPr>
                <w:b/>
                <w:color w:val="FFFFFF"/>
                <w:sz w:val="17"/>
              </w:rPr>
              <w:t>Item</w:t>
            </w:r>
          </w:p>
        </w:tc>
        <w:tc>
          <w:tcPr>
            <w:tcW w:type="dxa" w:w="6586"/>
            <w:shd w:val="clear" w:color="auto" w:fill="10375C"/>
          </w:tcPr>
          <w:p>
            <w:pPr>
              <w:spacing w:after="50" w:before="50"/>
            </w:pPr>
            <w:r>
              <w:rPr>
                <w:b/>
                <w:color w:val="FFFFFF"/>
                <w:sz w:val="17"/>
              </w:rPr>
              <w:t>Position</w:t>
            </w:r>
          </w:p>
        </w:tc>
      </w:tr>
      <w:tr>
        <w:tc>
          <w:tcPr>
            <w:tcW w:type="dxa" w:w="2881"/>
          </w:tcPr>
          <w:p>
            <w:pPr>
              <w:spacing w:after="50" w:before="50" w:line="252" w:lineRule="auto"/>
            </w:pPr>
            <w:r>
              <w:rPr>
                <w:sz w:val="17"/>
              </w:rPr>
              <w:t>Registration fee</w:t>
            </w:r>
          </w:p>
        </w:tc>
        <w:tc>
          <w:tcPr>
            <w:tcW w:type="dxa" w:w="6586"/>
          </w:tcPr>
          <w:p>
            <w:pPr>
              <w:spacing w:after="50" w:before="50" w:line="252" w:lineRule="auto"/>
            </w:pPr>
            <w:r>
              <w:rPr>
                <w:sz w:val="17"/>
              </w:rPr>
              <w:t>₹[●] per team, set and collected by the Institute</w:t>
            </w:r>
          </w:p>
        </w:tc>
      </w:tr>
      <w:tr>
        <w:tc>
          <w:tcPr>
            <w:tcW w:type="dxa" w:w="2881"/>
            <w:shd w:val="clear" w:color="auto" w:fill="EAF1F4"/>
          </w:tcPr>
          <w:p>
            <w:pPr>
              <w:spacing w:after="50" w:before="50" w:line="252" w:lineRule="auto"/>
            </w:pPr>
            <w:r>
              <w:rPr>
                <w:sz w:val="17"/>
              </w:rPr>
              <w:t>Host contribution by the University</w:t>
            </w:r>
          </w:p>
        </w:tc>
        <w:tc>
          <w:tcPr>
            <w:tcW w:type="dxa" w:w="6586"/>
            <w:shd w:val="clear" w:color="auto" w:fill="EAF1F4"/>
          </w:tcPr>
          <w:p>
            <w:pPr>
              <w:spacing w:after="50" w:before="50" w:line="252" w:lineRule="auto"/>
            </w:pPr>
            <w:r>
              <w:rPr>
                <w:sz w:val="17"/>
              </w:rPr>
              <w:t>In kind, per Schedule C2.1</w:t>
            </w:r>
          </w:p>
        </w:tc>
      </w:tr>
      <w:tr>
        <w:tc>
          <w:tcPr>
            <w:tcW w:type="dxa" w:w="2881"/>
          </w:tcPr>
          <w:p>
            <w:pPr>
              <w:spacing w:after="50" w:before="50" w:line="252" w:lineRule="auto"/>
            </w:pPr>
            <w:r>
              <w:rPr>
                <w:sz w:val="17"/>
              </w:rPr>
              <w:t>Institute expenditure</w:t>
            </w:r>
          </w:p>
        </w:tc>
        <w:tc>
          <w:tcPr>
            <w:tcW w:type="dxa" w:w="6586"/>
          </w:tcPr>
          <w:p>
            <w:pPr>
              <w:spacing w:after="50" w:before="50" w:line="252" w:lineRule="auto"/>
            </w:pPr>
            <w:r>
              <w:rPr>
                <w:sz w:val="17"/>
              </w:rPr>
              <w:t>Problem, judges, materials, prizes, administration</w:t>
            </w:r>
          </w:p>
        </w:tc>
      </w:tr>
      <w:tr>
        <w:tc>
          <w:tcPr>
            <w:tcW w:type="dxa" w:w="2881"/>
            <w:shd w:val="clear" w:color="auto" w:fill="EAF1F4"/>
          </w:tcPr>
          <w:p>
            <w:pPr>
              <w:spacing w:after="50" w:before="50" w:line="252" w:lineRule="auto"/>
            </w:pPr>
            <w:r>
              <w:rPr>
                <w:sz w:val="17"/>
              </w:rPr>
              <w:t>Sponsorship</w:t>
            </w:r>
          </w:p>
        </w:tc>
        <w:tc>
          <w:tcPr>
            <w:tcW w:type="dxa" w:w="6586"/>
            <w:shd w:val="clear" w:color="auto" w:fill="EAF1F4"/>
          </w:tcPr>
          <w:p>
            <w:pPr>
              <w:spacing w:after="50" w:before="50" w:line="252" w:lineRule="auto"/>
            </w:pPr>
            <w:r>
              <w:rPr>
                <w:sz w:val="17"/>
              </w:rPr>
              <w:t>Solicited by [●]; proceeds applied first to event cost</w:t>
            </w:r>
          </w:p>
        </w:tc>
      </w:tr>
      <w:tr>
        <w:tc>
          <w:tcPr>
            <w:tcW w:type="dxa" w:w="2881"/>
          </w:tcPr>
          <w:p>
            <w:pPr>
              <w:spacing w:after="50" w:before="50" w:line="252" w:lineRule="auto"/>
            </w:pPr>
            <w:r>
              <w:rPr>
                <w:sz w:val="17"/>
              </w:rPr>
              <w:t>Surplus</w:t>
            </w:r>
          </w:p>
        </w:tc>
        <w:tc>
          <w:tcPr>
            <w:tcW w:type="dxa" w:w="6586"/>
          </w:tcPr>
          <w:p>
            <w:pPr>
              <w:spacing w:after="50" w:before="50" w:line="252" w:lineRule="auto"/>
            </w:pPr>
            <w:r>
              <w:rPr>
                <w:sz w:val="17"/>
              </w:rPr>
              <w:t>Shared [●]% to the Institute, [●]% to the University, after all event costs</w:t>
            </w:r>
          </w:p>
        </w:tc>
      </w:tr>
      <w:tr>
        <w:tc>
          <w:tcPr>
            <w:tcW w:type="dxa" w:w="2881"/>
            <w:shd w:val="clear" w:color="auto" w:fill="EAF1F4"/>
          </w:tcPr>
          <w:p>
            <w:pPr>
              <w:spacing w:after="50" w:before="50" w:line="252" w:lineRule="auto"/>
            </w:pPr>
            <w:r>
              <w:rPr>
                <w:sz w:val="17"/>
              </w:rPr>
              <w:t>Deficit</w:t>
            </w:r>
          </w:p>
        </w:tc>
        <w:tc>
          <w:tcPr>
            <w:tcW w:type="dxa" w:w="6586"/>
            <w:shd w:val="clear" w:color="auto" w:fill="EAF1F4"/>
          </w:tcPr>
          <w:p>
            <w:pPr>
              <w:spacing w:after="50" w:before="50" w:line="252" w:lineRule="auto"/>
            </w:pPr>
            <w:r>
              <w:rPr>
                <w:sz w:val="17"/>
              </w:rPr>
              <w:t>Borne by [●]</w:t>
            </w:r>
          </w:p>
        </w:tc>
      </w:tr>
      <w:tr>
        <w:tc>
          <w:tcPr>
            <w:tcW w:type="dxa" w:w="2881"/>
          </w:tcPr>
          <w:p>
            <w:pPr>
              <w:spacing w:after="50" w:before="50" w:line="252" w:lineRule="auto"/>
            </w:pPr>
            <w:r>
              <w:rPr>
                <w:sz w:val="17"/>
              </w:rPr>
              <w:t>Prize money</w:t>
            </w:r>
          </w:p>
        </w:tc>
        <w:tc>
          <w:tcPr>
            <w:tcW w:type="dxa" w:w="6586"/>
          </w:tcPr>
          <w:p>
            <w:pPr>
              <w:spacing w:after="50" w:before="50" w:line="252" w:lineRule="auto"/>
            </w:pPr>
            <w:r>
              <w:rPr>
                <w:sz w:val="17"/>
              </w:rPr>
              <w:t>₹[●] in aggregate, funded by [●]</w:t>
            </w:r>
          </w:p>
        </w:tc>
      </w:tr>
    </w:tbl>
    <w:p>
      <w:pPr>
        <w:spacing w:after="80" w:before="0"/>
      </w:pPr>
    </w:p>
    <w:p>
      <w:pPr>
        <w:pStyle w:val="Heading2"/>
      </w:pPr>
      <w:r>
        <w:t>H5. Campus infrastructure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5560"/>
            <w:shd w:val="clear" w:color="auto" w:fill="10375C"/>
          </w:tcPr>
          <w:p>
            <w:pPr>
              <w:spacing w:after="50" w:before="50"/>
            </w:pPr>
            <w:r>
              <w:rPr>
                <w:b/>
                <w:color w:val="FFFFFF"/>
                <w:sz w:val="17"/>
              </w:rPr>
              <w:t>Item</w:t>
            </w:r>
          </w:p>
        </w:tc>
        <w:tc>
          <w:tcPr>
            <w:tcW w:type="dxa" w:w="3908"/>
            <w:shd w:val="clear" w:color="auto" w:fill="10375C"/>
          </w:tcPr>
          <w:p>
            <w:pPr>
              <w:spacing w:after="50" w:before="50"/>
            </w:pPr>
            <w:r>
              <w:rPr>
                <w:b/>
                <w:color w:val="FFFFFF"/>
                <w:sz w:val="17"/>
              </w:rPr>
              <w:t>Position</w:t>
            </w:r>
          </w:p>
        </w:tc>
      </w:tr>
      <w:tr>
        <w:tc>
          <w:tcPr>
            <w:tcW w:type="dxa" w:w="5560"/>
          </w:tcPr>
          <w:p>
            <w:pPr>
              <w:spacing w:after="50" w:before="50" w:line="252" w:lineRule="auto"/>
            </w:pPr>
            <w:r>
              <w:rPr>
                <w:sz w:val="17"/>
              </w:rPr>
              <w:t>Facility charge payable by the Institute</w:t>
            </w:r>
          </w:p>
        </w:tc>
        <w:tc>
          <w:tcPr>
            <w:tcW w:type="dxa" w:w="3908"/>
          </w:tcPr>
          <w:p>
            <w:pPr>
              <w:spacing w:after="50" w:before="50" w:line="252" w:lineRule="auto"/>
            </w:pPr>
            <w:r>
              <w:rPr>
                <w:sz w:val="17"/>
              </w:rPr>
              <w:t>₹[●] per [●], or nil where stated</w:t>
            </w:r>
          </w:p>
        </w:tc>
      </w:tr>
      <w:tr>
        <w:tc>
          <w:tcPr>
            <w:tcW w:type="dxa" w:w="5560"/>
            <w:shd w:val="clear" w:color="auto" w:fill="EAF1F4"/>
          </w:tcPr>
          <w:p>
            <w:pPr>
              <w:spacing w:after="50" w:before="50" w:line="252" w:lineRule="auto"/>
            </w:pPr>
            <w:r>
              <w:rPr>
                <w:sz w:val="17"/>
              </w:rPr>
              <w:t>Hostel accommodation</w:t>
            </w:r>
          </w:p>
        </w:tc>
        <w:tc>
          <w:tcPr>
            <w:tcW w:type="dxa" w:w="3908"/>
            <w:shd w:val="clear" w:color="auto" w:fill="EAF1F4"/>
          </w:tcPr>
          <w:p>
            <w:pPr>
              <w:spacing w:after="50" w:before="50" w:line="252" w:lineRule="auto"/>
            </w:pPr>
            <w:r>
              <w:rPr>
                <w:sz w:val="17"/>
              </w:rPr>
              <w:t>₹[●] per person per night</w:t>
            </w:r>
          </w:p>
        </w:tc>
      </w:tr>
      <w:tr>
        <w:tc>
          <w:tcPr>
            <w:tcW w:type="dxa" w:w="5560"/>
          </w:tcPr>
          <w:p>
            <w:pPr>
              <w:spacing w:after="50" w:before="50" w:line="252" w:lineRule="auto"/>
            </w:pPr>
            <w:r>
              <w:rPr>
                <w:sz w:val="17"/>
              </w:rPr>
              <w:t>Institute capital contribution to the ADR Laboratory</w:t>
            </w:r>
          </w:p>
        </w:tc>
        <w:tc>
          <w:tcPr>
            <w:tcW w:type="dxa" w:w="3908"/>
          </w:tcPr>
          <w:p>
            <w:pPr>
              <w:spacing w:after="50" w:before="50" w:line="252" w:lineRule="auto"/>
            </w:pPr>
            <w:r>
              <w:rPr>
                <w:sz w:val="17"/>
              </w:rPr>
              <w:t>₹[●], payable [●]</w:t>
            </w:r>
          </w:p>
        </w:tc>
      </w:tr>
      <w:tr>
        <w:tc>
          <w:tcPr>
            <w:tcW w:type="dxa" w:w="5560"/>
            <w:shd w:val="clear" w:color="auto" w:fill="EAF1F4"/>
          </w:tcPr>
          <w:p>
            <w:pPr>
              <w:spacing w:after="50" w:before="50" w:line="252" w:lineRule="auto"/>
            </w:pPr>
            <w:r>
              <w:rPr>
                <w:sz w:val="17"/>
              </w:rPr>
              <w:t>Utilities and housekeeping</w:t>
            </w:r>
          </w:p>
        </w:tc>
        <w:tc>
          <w:tcPr>
            <w:tcW w:type="dxa" w:w="3908"/>
            <w:shd w:val="clear" w:color="auto" w:fill="EAF1F4"/>
          </w:tcPr>
          <w:p>
            <w:pPr>
              <w:spacing w:after="50" w:before="50" w:line="252" w:lineRule="auto"/>
            </w:pPr>
            <w:r>
              <w:rPr>
                <w:sz w:val="17"/>
              </w:rPr>
              <w:t>Borne by the University</w:t>
            </w:r>
          </w:p>
        </w:tc>
      </w:tr>
    </w:tbl>
    <w:p>
      <w:pPr>
        <w:spacing w:after="80" w:before="0"/>
      </w:pPr>
    </w:p>
    <w:p>
      <w:pPr>
        <w:pStyle w:val="Heading2"/>
      </w:pPr>
      <w:r>
        <w:t>H6. Invoicing and payment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460"/>
            <w:shd w:val="clear" w:color="auto" w:fill="10375C"/>
          </w:tcPr>
          <w:p>
            <w:pPr>
              <w:spacing w:after="50" w:before="50"/>
            </w:pPr>
            <w:r>
              <w:rPr>
                <w:b/>
                <w:color w:val="FFFFFF"/>
                <w:sz w:val="17"/>
              </w:rPr>
              <w:t>Item</w:t>
            </w:r>
          </w:p>
        </w:tc>
        <w:tc>
          <w:tcPr>
            <w:tcW w:type="dxa" w:w="7007"/>
            <w:shd w:val="clear" w:color="auto" w:fill="10375C"/>
          </w:tcPr>
          <w:p>
            <w:pPr>
              <w:spacing w:after="50" w:before="50"/>
            </w:pPr>
            <w:r>
              <w:rPr>
                <w:b/>
                <w:color w:val="FFFFFF"/>
                <w:sz w:val="17"/>
              </w:rPr>
              <w:t>Position</w:t>
            </w:r>
          </w:p>
        </w:tc>
      </w:tr>
      <w:tr>
        <w:tc>
          <w:tcPr>
            <w:tcW w:type="dxa" w:w="2460"/>
          </w:tcPr>
          <w:p>
            <w:pPr>
              <w:spacing w:after="50" w:before="50" w:line="252" w:lineRule="auto"/>
            </w:pPr>
            <w:r>
              <w:rPr>
                <w:sz w:val="17"/>
              </w:rPr>
              <w:t>Invoicing entity</w:t>
            </w:r>
          </w:p>
        </w:tc>
        <w:tc>
          <w:tcPr>
            <w:tcW w:type="dxa" w:w="7007"/>
          </w:tcPr>
          <w:p>
            <w:pPr>
              <w:spacing w:after="50" w:before="50" w:line="252" w:lineRule="auto"/>
            </w:pPr>
            <w:r>
              <w:rPr>
                <w:sz w:val="17"/>
              </w:rPr>
              <w:t>Equator ADR Institute, or Equator Resolution for commercial services</w:t>
            </w:r>
          </w:p>
        </w:tc>
      </w:tr>
      <w:tr>
        <w:tc>
          <w:tcPr>
            <w:tcW w:type="dxa" w:w="2460"/>
            <w:shd w:val="clear" w:color="auto" w:fill="EAF1F4"/>
          </w:tcPr>
          <w:p>
            <w:pPr>
              <w:spacing w:after="50" w:before="50" w:line="252" w:lineRule="auto"/>
            </w:pPr>
            <w:r>
              <w:rPr>
                <w:sz w:val="17"/>
              </w:rPr>
              <w:t>Payment terms</w:t>
            </w:r>
          </w:p>
        </w:tc>
        <w:tc>
          <w:tcPr>
            <w:tcW w:type="dxa" w:w="7007"/>
            <w:shd w:val="clear" w:color="auto" w:fill="EAF1F4"/>
          </w:tcPr>
          <w:p>
            <w:pPr>
              <w:spacing w:after="50" w:before="50" w:line="252" w:lineRule="auto"/>
            </w:pPr>
            <w:r>
              <w:rPr>
                <w:sz w:val="17"/>
              </w:rPr>
              <w:t>Thirty days from receipt of invoice</w:t>
            </w:r>
          </w:p>
        </w:tc>
      </w:tr>
      <w:tr>
        <w:tc>
          <w:tcPr>
            <w:tcW w:type="dxa" w:w="2460"/>
          </w:tcPr>
          <w:p>
            <w:pPr>
              <w:spacing w:after="50" w:before="50" w:line="252" w:lineRule="auto"/>
            </w:pPr>
            <w:r>
              <w:rPr>
                <w:sz w:val="17"/>
              </w:rPr>
              <w:t>Advance</w:t>
            </w:r>
          </w:p>
        </w:tc>
        <w:tc>
          <w:tcPr>
            <w:tcW w:type="dxa" w:w="7007"/>
          </w:tcPr>
          <w:p>
            <w:pPr>
              <w:spacing w:after="50" w:before="50" w:line="252" w:lineRule="auto"/>
            </w:pPr>
            <w:r>
              <w:rPr>
                <w:sz w:val="17"/>
              </w:rPr>
              <w:t>[●]% of programme fee payable on confirmation of dates; balance on completion</w:t>
            </w:r>
          </w:p>
        </w:tc>
      </w:tr>
      <w:tr>
        <w:tc>
          <w:tcPr>
            <w:tcW w:type="dxa" w:w="2460"/>
            <w:shd w:val="clear" w:color="auto" w:fill="EAF1F4"/>
          </w:tcPr>
          <w:p>
            <w:pPr>
              <w:spacing w:after="50" w:before="50" w:line="252" w:lineRule="auto"/>
            </w:pPr>
            <w:r>
              <w:rPr>
                <w:sz w:val="17"/>
              </w:rPr>
              <w:t>Mode</w:t>
            </w:r>
          </w:p>
        </w:tc>
        <w:tc>
          <w:tcPr>
            <w:tcW w:type="dxa" w:w="7007"/>
            <w:shd w:val="clear" w:color="auto" w:fill="EAF1F4"/>
          </w:tcPr>
          <w:p>
            <w:pPr>
              <w:spacing w:after="50" w:before="50" w:line="252" w:lineRule="auto"/>
            </w:pPr>
            <w:r>
              <w:rPr>
                <w:sz w:val="17"/>
              </w:rPr>
              <w:t>Electronic transfer to the account notified in writing</w:t>
            </w:r>
          </w:p>
        </w:tc>
      </w:tr>
      <w:tr>
        <w:tc>
          <w:tcPr>
            <w:tcW w:type="dxa" w:w="2460"/>
          </w:tcPr>
          <w:p>
            <w:pPr>
              <w:spacing w:after="50" w:before="50" w:line="252" w:lineRule="auto"/>
            </w:pPr>
            <w:r>
              <w:rPr>
                <w:sz w:val="17"/>
              </w:rPr>
              <w:t>Purchase order</w:t>
            </w:r>
          </w:p>
        </w:tc>
        <w:tc>
          <w:tcPr>
            <w:tcW w:type="dxa" w:w="7007"/>
          </w:tcPr>
          <w:p>
            <w:pPr>
              <w:spacing w:after="50" w:before="50" w:line="252" w:lineRule="auto"/>
            </w:pPr>
            <w:r>
              <w:rPr>
                <w:sz w:val="17"/>
              </w:rPr>
              <w:t>Where the University's procedure requires a purchase order, it shall be issued not less than fifteen days before the Activity, failing which the Institute may defer delivery</w:t>
            </w:r>
          </w:p>
        </w:tc>
      </w:tr>
      <w:tr>
        <w:tc>
          <w:tcPr>
            <w:tcW w:type="dxa" w:w="2460"/>
            <w:shd w:val="clear" w:color="auto" w:fill="EAF1F4"/>
          </w:tcPr>
          <w:p>
            <w:pPr>
              <w:spacing w:after="50" w:before="50" w:line="252" w:lineRule="auto"/>
            </w:pPr>
            <w:r>
              <w:rPr>
                <w:sz w:val="17"/>
              </w:rPr>
              <w:t>Withholding tax</w:t>
            </w:r>
          </w:p>
        </w:tc>
        <w:tc>
          <w:tcPr>
            <w:tcW w:type="dxa" w:w="7007"/>
            <w:shd w:val="clear" w:color="auto" w:fill="EAF1F4"/>
          </w:tcPr>
          <w:p>
            <w:pPr>
              <w:spacing w:after="50" w:before="50" w:line="252" w:lineRule="auto"/>
            </w:pPr>
            <w:r>
              <w:rPr>
                <w:sz w:val="17"/>
              </w:rPr>
              <w:t>To be deducted as required, with the certificate furnished within the statutory period</w:t>
            </w:r>
          </w:p>
        </w:tc>
      </w:tr>
      <w:tr>
        <w:tc>
          <w:tcPr>
            <w:tcW w:type="dxa" w:w="2460"/>
          </w:tcPr>
          <w:p>
            <w:pPr>
              <w:spacing w:after="50" w:before="50" w:line="252" w:lineRule="auto"/>
            </w:pPr>
            <w:r>
              <w:rPr>
                <w:sz w:val="17"/>
              </w:rPr>
              <w:t>Disputed invoices</w:t>
            </w:r>
          </w:p>
        </w:tc>
        <w:tc>
          <w:tcPr>
            <w:tcW w:type="dxa" w:w="7007"/>
          </w:tcPr>
          <w:p>
            <w:pPr>
              <w:spacing w:after="50" w:before="50" w:line="252" w:lineRule="auto"/>
            </w:pPr>
            <w:r>
              <w:rPr>
                <w:sz w:val="17"/>
              </w:rPr>
              <w:t>To be notified within fifteen days with reasons; undisputed portions remain payable</w:t>
            </w:r>
          </w:p>
        </w:tc>
      </w:tr>
      <w:tr>
        <w:tc>
          <w:tcPr>
            <w:tcW w:type="dxa" w:w="2460"/>
            <w:shd w:val="clear" w:color="auto" w:fill="EAF1F4"/>
          </w:tcPr>
          <w:p>
            <w:pPr>
              <w:spacing w:after="50" w:before="50" w:line="252" w:lineRule="auto"/>
            </w:pPr>
            <w:r>
              <w:rPr>
                <w:sz w:val="17"/>
              </w:rPr>
              <w:t>Interest on late payment</w:t>
            </w:r>
          </w:p>
        </w:tc>
        <w:tc>
          <w:tcPr>
            <w:tcW w:type="dxa" w:w="7007"/>
            <w:shd w:val="clear" w:color="auto" w:fill="EAF1F4"/>
          </w:tcPr>
          <w:p>
            <w:pPr>
              <w:spacing w:after="50" w:before="50" w:line="252" w:lineRule="auto"/>
            </w:pPr>
            <w:r>
              <w:rPr>
                <w:sz w:val="17"/>
              </w:rPr>
              <w:t xml:space="preserve">[●]% per annum after sixty days </w:t>
            </w:r>
            <w:r>
              <w:rPr>
                <w:b/>
                <w:sz w:val="17"/>
              </w:rPr>
              <w:t>[verify]</w:t>
            </w:r>
          </w:p>
        </w:tc>
      </w:tr>
    </w:tbl>
    <w:p>
      <w:pPr>
        <w:spacing w:after="80" w:before="0"/>
      </w:pPr>
    </w:p>
    <w:p>
      <w:pPr>
        <w:pStyle w:val="Heading2"/>
      </w:pPr>
      <w:r>
        <w:t>H7. Discounts and concessions</w:t>
      </w:r>
    </w:p>
    <w:p>
      <w:r>
        <w:rPr>
          <w:b/>
        </w:rPr>
        <w:t>H7.1</w:t>
      </w:r>
      <w:r>
        <w:t xml:space="preserve"> Any discount must be recorded in writing and approved under the Institute's internal delegation. No discount is implied by past practice.</w:t>
      </w:r>
    </w:p>
    <w:p>
      <w:r>
        <w:rPr>
          <w:b/>
        </w:rPr>
        <w:t>H7.2</w:t>
      </w:r>
      <w:r>
        <w:t xml:space="preserve"> The following are provided at no charge and do not create an entitlement to further concessions: one guest lecture per Academic Year; access for all students of the University to the Institute's national webinar programme; the Campus Mediation Cell toolkit; up to two curriculum consultation sessions; and Institute judges at competitions hosted by the University, travel at the University's cost.</w:t>
      </w:r>
    </w:p>
    <w:p>
      <w:pPr>
        <w:pStyle w:val="Heading2"/>
      </w:pPr>
      <w:r>
        <w:t>H8. Financial records and reporting</w:t>
      </w:r>
    </w:p>
    <w:p>
      <w:r>
        <w:rPr>
          <w:b/>
        </w:rPr>
        <w:t>H8.1</w:t>
      </w:r>
      <w:r>
        <w:t xml:space="preserve"> The Institute shall provide a financial summary for each paid Activity within thirty days of completion, comprising participants, gross collections, refunds, the share computation and the amount settled.</w:t>
      </w:r>
    </w:p>
    <w:p>
      <w:r>
        <w:rPr>
          <w:b/>
        </w:rPr>
        <w:t>H8.2</w:t>
      </w:r>
      <w:r>
        <w:t xml:space="preserve"> The Parties shall review the commercial operation of this Schedule at each annual review, and may agree revisions for the following Academic Year in writing.</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EQ-UAP-033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Schedules E to H</w:t>
    </w:r>
    <w:r>
      <w:rPr>
        <w:rFonts w:ascii="Calibri" w:hAnsi="Calibri"/>
        <w:color w:val="595959"/>
        <w:sz w:val="16"/>
      </w:rPr>
      <w:tab/>
      <w:t>Confidential — Contract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AE65F83-856D-4F25-AA04-E10693443C1F}"/>
</file>

<file path=customXml/itemProps3.xml><?xml version="1.0" encoding="utf-8"?>
<ds:datastoreItem xmlns:ds="http://schemas.openxmlformats.org/officeDocument/2006/customXml" ds:itemID="{011184BE-98C8-49D3-8BE9-026A06D18C61}"/>
</file>

<file path=customXml/itemProps4.xml><?xml version="1.0" encoding="utf-8"?>
<ds:datastoreItem xmlns:ds="http://schemas.openxmlformats.org/officeDocument/2006/customXml" ds:itemID="{56FD387E-36EE-4278-8641-B92CD76081A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