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Mutual Non-Disclosure Agreement</w:t>
      </w:r>
    </w:p>
    <w:p>
      <w:pPr>
        <w:spacing w:after="280" w:line="276" w:lineRule="auto"/>
      </w:pPr>
      <w:r>
        <w:rPr>
          <w:rFonts w:ascii="Calibri" w:hAnsi="Calibri"/>
          <w:i/>
          <w:color w:val="3E6B8A"/>
          <w:sz w:val="25"/>
        </w:rPr>
        <w:t>Standard form for use before and alongside partnership discussions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MUTUAL NON-DISCLOSURE AGREEMENT</w:t>
      </w:r>
    </w:p>
    <w:p>
      <w:r>
        <w:rPr>
          <w:b/>
        </w:rPr>
        <w:t>Dated [●]</w:t>
      </w:r>
    </w:p>
    <w:p>
      <w:r>
        <w:rPr>
          <w:b/>
        </w:rPr>
        <w:t>BETWEEN</w:t>
      </w:r>
      <w:r>
        <w:t xml:space="preserve"> </w:t>
      </w:r>
      <w:r>
        <w:rPr>
          <w:b/>
        </w:rPr>
        <w:t>[●]</w:t>
      </w:r>
      <w:r>
        <w:t xml:space="preserve"> of [●] (</w:t>
      </w:r>
      <w:r>
        <w:rPr>
          <w:b/>
        </w:rPr>
        <w:t>the University</w:t>
      </w:r>
      <w:r>
        <w:t xml:space="preserve">) </w:t>
      </w:r>
      <w:r>
        <w:rPr>
          <w:b/>
        </w:rPr>
        <w:t>AND</w:t>
      </w:r>
      <w:r>
        <w:t xml:space="preserve"> </w:t>
      </w:r>
      <w:r>
        <w:rPr>
          <w:b/>
        </w:rPr>
        <w:t>Equator ADR Institute</w:t>
      </w:r>
      <w:r>
        <w:t>, [●], of [●] (</w:t>
      </w:r>
      <w:r>
        <w:rPr>
          <w:b/>
        </w:rPr>
        <w:t>the Institute</w:t>
      </w:r>
      <w:r>
        <w:t>).</w:t>
      </w:r>
    </w:p>
    <w:p>
      <w:r>
        <w:t xml:space="preserve">Each a </w:t>
      </w:r>
      <w:r>
        <w:rPr>
          <w:b/>
        </w:rPr>
        <w:t>Party</w:t>
      </w:r>
      <w:r>
        <w:t xml:space="preserve">; together the </w:t>
      </w:r>
      <w:r>
        <w:rPr>
          <w:b/>
        </w:rPr>
        <w:t>Parties</w:t>
      </w:r>
      <w:r>
        <w:t xml:space="preserve">. Each may act as </w:t>
      </w:r>
      <w:r>
        <w:rPr>
          <w:b/>
        </w:rPr>
        <w:t>Disclosing Party</w:t>
      </w:r>
      <w:r>
        <w:t xml:space="preserve"> and as </w:t>
      </w:r>
      <w:r>
        <w:rPr>
          <w:b/>
        </w:rPr>
        <w:t>Receiving Party</w:t>
      </w:r>
      <w:r>
        <w:t>.</w:t>
      </w:r>
    </w:p>
    <w:p>
      <w:pPr>
        <w:pStyle w:val="Heading2"/>
      </w:pPr>
      <w:r>
        <w:t>1. Purpose</w:t>
      </w:r>
    </w:p>
    <w:p>
      <w:r>
        <w:t>The Parties wish to explore and, if agreed, to conduct a collaboration in alternative dispute resolution comprising training, internships, competitions, research and allied activities (</w:t>
      </w:r>
      <w:r>
        <w:rPr>
          <w:b/>
        </w:rPr>
        <w:t>the Purpose</w:t>
      </w:r>
      <w:r>
        <w:t>), and will exchange confidential information for that Purpose.</w:t>
      </w:r>
    </w:p>
    <w:p>
      <w:pPr>
        <w:pStyle w:val="Heading2"/>
      </w:pPr>
      <w:r>
        <w:t>2. Confidential Information</w:t>
      </w:r>
    </w:p>
    <w:p>
      <w:r>
        <w:rPr>
          <w:b/>
        </w:rPr>
        <w:t>2.1</w:t>
      </w:r>
      <w:r>
        <w:t xml:space="preserve"> </w:t>
      </w:r>
      <w:r>
        <w:rPr>
          <w:b/>
        </w:rPr>
        <w:t>Confidential Information</w:t>
      </w:r>
      <w:r>
        <w:t xml:space="preserve"> means all information disclosed by or on behalf of a Disclosing Party, in any form and whether or not marked confidential, including: commercial terms, pricing and rate cards; curricula, session plans, workbooks and assessment instruments; competition problems, confidential briefs and scoring criteria before public release; research data and methodology; student, participant and personnel information; institutional strategy, plans and internal reports; and information relating to any live dispute or party.</w:t>
      </w:r>
    </w:p>
    <w:p>
      <w:r>
        <w:rPr>
          <w:b/>
        </w:rPr>
        <w:t>2.2</w:t>
      </w:r>
      <w:r>
        <w:t xml:space="preserve"> Confidential Information does not include information which the Receiving Party can show: was public at disclosure or became public otherwise than by breach; was lawfully in its possession without restriction before disclosure; was lawfully received from a third party free of restriction; or was independently developed without use of the Confidential Information.</w:t>
      </w:r>
    </w:p>
    <w:p>
      <w:pPr>
        <w:pStyle w:val="Heading2"/>
      </w:pPr>
      <w:r>
        <w:t>3. Obligations</w:t>
      </w:r>
    </w:p>
    <w:p>
      <w:r>
        <w:t>The Receiving Party shall:</w:t>
      </w:r>
    </w:p>
    <w:p>
      <w:r>
        <w:t>(a) keep Confidential Information secret and protect it with not less than the care it applies to its own confidential information, and in no case less than reasonable care;</w:t>
      </w:r>
    </w:p>
    <w:p>
      <w:r>
        <w:t>(b) use it solely for the Purpose;</w:t>
      </w:r>
    </w:p>
    <w:p>
      <w:r>
        <w:t>(c) disclose it only to those of its officers, employees, professional advisers and, in the case of the Institute, contracted trainers, who need to know it for the Purpose and who are bound by obligations no less protective, and remain responsible for their acts and omissions;</w:t>
      </w:r>
    </w:p>
    <w:p>
      <w:r>
        <w:t>(d) not copy or reproduce it except as necessary for the Purpose;</w:t>
      </w:r>
    </w:p>
    <w:p>
      <w:r>
        <w:t>(e) not reverse engineer, decompile or analyse any material supplied; and</w:t>
      </w:r>
    </w:p>
    <w:p>
      <w:r>
        <w:t>(f) notify the Disclosing Party promptly on becoming aware of any unauthorised use or disclosure and take steps to mitigate.</w:t>
      </w:r>
    </w:p>
    <w:p>
      <w:pPr>
        <w:pStyle w:val="Heading2"/>
      </w:pPr>
      <w:r>
        <w:t>4. Permitted disclosure</w:t>
      </w:r>
    </w:p>
    <w:p>
      <w:r>
        <w:t>Where required by Applicable Law or by an order of a court, tribunal or regulator, the Receiving Party may disclose Confidential Information, provided that it shall, where lawful and practicable, give prior notice to the Disclosing Party, disclose only the minimum required, and use reasonable endeavours to obtain confidential treatment.</w:t>
      </w:r>
    </w:p>
    <w:p>
      <w:pPr>
        <w:pStyle w:val="Heading2"/>
      </w:pPr>
      <w:r>
        <w:t>5. Mediation confidentiality</w:t>
      </w:r>
    </w:p>
    <w:p>
      <w:r>
        <w:t xml:space="preserve">Where any Confidential Information relates to a live mediation, conciliation or arbitration, the Receiving Party acknowledges that it is additionally protected by the Mediation Act, 2023 and other Applicable Law, that </w:t>
      </w:r>
      <w:r>
        <w:rPr>
          <w:b/>
        </w:rPr>
        <w:t>no audio or video recording is permitted</w:t>
      </w:r>
      <w:r>
        <w:t xml:space="preserve">, that it may not be used or disclosed in any proceeding, and that the obligations in respect of it are </w:t>
      </w:r>
      <w:r>
        <w:rPr>
          <w:b/>
        </w:rPr>
        <w:t>perpetual</w:t>
      </w:r>
      <w:r>
        <w:t>.</w:t>
      </w:r>
    </w:p>
    <w:p>
      <w:pPr>
        <w:pStyle w:val="Heading2"/>
      </w:pPr>
      <w:r>
        <w:t>6. Competition materials</w:t>
      </w:r>
    </w:p>
    <w:p>
      <w:r>
        <w:t>Competition problems, confidential briefs, mediator briefs and scoring criteria are Confidential Information until publicly released by the Institute. Any person who obtains access to them before release shall disclose that fact immediately and shall be ineligible to participate, coach or judge in that edition.</w:t>
      </w:r>
    </w:p>
    <w:p>
      <w:pPr>
        <w:pStyle w:val="Heading2"/>
      </w:pPr>
      <w:r>
        <w:t>7. Personal data</w:t>
      </w:r>
    </w:p>
    <w:p>
      <w:r>
        <w:t>Where Confidential Information includes Personal Data as defined in the Digital Personal Data Protection Act, 2023, the Receiving Party shall process it only for the Purpose, apply appropriate security safeguards, not retain it longer than necessary, and notify the Disclosing Party within twenty-four hours of any personal data breach. Sharing of Personal Data beyond what is necessary for evaluation requires a separate data sharing addendum.</w:t>
      </w:r>
    </w:p>
    <w:p>
      <w:pPr>
        <w:pStyle w:val="Heading2"/>
      </w:pPr>
      <w:r>
        <w:t>8. No licence, no obligation</w:t>
      </w:r>
    </w:p>
    <w:p>
      <w:r>
        <w:rPr>
          <w:b/>
        </w:rPr>
        <w:t>8.1</w:t>
      </w:r>
      <w:r>
        <w:t xml:space="preserve"> No licence or right in any intellectual property is granted, save the limited right to use Confidential Information for the Purpose.</w:t>
      </w:r>
    </w:p>
    <w:p>
      <w:r>
        <w:rPr>
          <w:b/>
        </w:rPr>
        <w:t>8.2</w:t>
      </w:r>
      <w:r>
        <w:t xml:space="preserve"> Nothing obliges either Party to disclose any information, to enter into any agreement, or to proceed with the Purpose. Neither Party makes any representation or warranty as to the accuracy or completeness of Confidential Information disclosed.</w:t>
      </w:r>
    </w:p>
    <w:p>
      <w:pPr>
        <w:pStyle w:val="Heading2"/>
      </w:pPr>
      <w:r>
        <w:t>9. Return and destruction</w:t>
      </w:r>
    </w:p>
    <w:p>
      <w:r>
        <w:t>On the written request of the Disclosing Party, or on termination, the Receiving Party shall within thirty days return or destroy all Confidential Information and copies, and certify that it has done so, save that it may retain one archival copy for compliance purposes and copies in routine electronic backup, which remain subject to this Agreement.</w:t>
      </w:r>
    </w:p>
    <w:p>
      <w:pPr>
        <w:pStyle w:val="Heading2"/>
      </w:pPr>
      <w:r>
        <w:t>10. Term and survival</w:t>
      </w:r>
    </w:p>
    <w:p>
      <w:r>
        <w:t xml:space="preserve">This Agreement commences on the date above and continues for </w:t>
      </w:r>
      <w:r>
        <w:rPr>
          <w:b/>
        </w:rPr>
        <w:t>two years</w:t>
      </w:r>
      <w:r>
        <w:t xml:space="preserve">. The obligations in respect of Confidential Information disclosed during that period survive for </w:t>
      </w:r>
      <w:r>
        <w:rPr>
          <w:b/>
        </w:rPr>
        <w:t>five years</w:t>
      </w:r>
      <w:r>
        <w:t xml:space="preserve"> from disclosure, and </w:t>
      </w:r>
      <w:r>
        <w:rPr>
          <w:b/>
        </w:rPr>
        <w:t>perpetually</w:t>
      </w:r>
      <w:r>
        <w:t xml:space="preserve"> in respect of information under clauses 5 and 6 and in respect of Personal Data.</w:t>
      </w:r>
    </w:p>
    <w:p>
      <w:pPr>
        <w:pStyle w:val="Heading2"/>
      </w:pPr>
      <w:r>
        <w:t>11. Remedies</w:t>
      </w:r>
    </w:p>
    <w:p>
      <w:r>
        <w:t>The Parties acknowledge that damages may be an inadequate remedy for breach, and that the Disclosing Party is entitled to seek injunctive relief in addition to any other remedy.</w:t>
      </w:r>
    </w:p>
    <w:p>
      <w:pPr>
        <w:pStyle w:val="Heading2"/>
      </w:pPr>
      <w:r>
        <w:t>12. General</w:t>
      </w:r>
    </w:p>
    <w:p>
      <w:r>
        <w:rPr>
          <w:b/>
        </w:rPr>
        <w:t>12.1</w:t>
      </w:r>
      <w:r>
        <w:t xml:space="preserve"> Neither Party may assign this Agreement without the other's written consent.</w:t>
      </w:r>
    </w:p>
    <w:p>
      <w:r>
        <w:rPr>
          <w:b/>
        </w:rPr>
        <w:t>12.2</w:t>
      </w:r>
      <w:r>
        <w:t xml:space="preserve"> This Agreement is governed by the laws of India, and the courts at </w:t>
      </w:r>
      <w:r>
        <w:rPr>
          <w:b/>
        </w:rPr>
        <w:t>[●]</w:t>
      </w:r>
      <w:r>
        <w:t xml:space="preserve"> have exclusive jurisdiction, save that either Party may seek urgent interim relief in any competent court.</w:t>
      </w:r>
    </w:p>
    <w:p>
      <w:r>
        <w:rPr>
          <w:b/>
        </w:rPr>
        <w:t>12.3</w:t>
      </w:r>
      <w:r>
        <w:t xml:space="preserve"> Variation must be in writing and signed by both Parties.</w:t>
      </w:r>
    </w:p>
    <w:p>
      <w:r>
        <w:rPr>
          <w:b/>
        </w:rPr>
        <w:t>12.4</w:t>
      </w:r>
      <w:r>
        <w:t xml:space="preserve"> This Agreement may be executed in counterparts, including electronically.</w:t>
      </w:r>
    </w:p>
    <w:p>
      <w:r>
        <w:rPr>
          <w:b/>
        </w:rPr>
        <w:t>12.5</w:t>
      </w:r>
      <w:r>
        <w:t xml:space="preserve"> If any provision is invalid or unenforceable it shall be severed and the remainder continue.</w:t>
      </w:r>
    </w:p>
    <w:p>
      <w:r>
        <w:rPr>
          <w:b/>
        </w:rPr>
        <w:t>12.6</w:t>
      </w:r>
      <w:r>
        <w:t xml:space="preserve"> This Agreement supersedes any prior confidentiality arrangement on the same subject matter and is superseded, as to matters within its scope, by clause 10 of any Memorandum of Understanding subsequently executed between the Parties.</w:t>
      </w:r>
    </w:p>
    <w:p>
      <w:pPr>
        <w:spacing w:before="80" w:after="160"/>
        <w:pBdr>
          <w:bottom w:val="single" w:sz="6" w:space="1" w:color="C9D6DE"/>
        </w:pBdr>
      </w:pPr>
    </w:p>
    <w:p>
      <w:pPr>
        <w:pStyle w:val="Heading1"/>
        <w:pBdr>
          <w:bottom w:val="single" w:sz="8" w:space="4" w:color="C9D6DE"/>
        </w:pBdr>
      </w:pPr>
      <w:r>
        <w:t>Execution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445"/>
            <w:shd w:val="clear" w:color="auto" w:fill="10375C"/>
          </w:tcPr>
          <w:p>
            <w:pPr>
              <w:spacing w:after="50" w:before="50"/>
            </w:pPr>
            <w:r>
              <w:rPr>
                <w:b/>
                <w:color w:val="FFFFFF"/>
                <w:sz w:val="17"/>
              </w:rPr>
              <w:t>For [●]</w:t>
            </w:r>
          </w:p>
        </w:tc>
        <w:tc>
          <w:tcPr>
            <w:tcW w:type="dxa" w:w="5023"/>
            <w:shd w:val="clear" w:color="auto" w:fill="10375C"/>
          </w:tcPr>
          <w:p>
            <w:pPr>
              <w:spacing w:after="50" w:before="50"/>
            </w:pPr>
            <w:r>
              <w:rPr>
                <w:b/>
                <w:color w:val="FFFFFF"/>
                <w:sz w:val="17"/>
              </w:rPr>
              <w:t>For Equator ADR Institute</w:t>
            </w:r>
          </w:p>
        </w:tc>
      </w:tr>
      <w:tr>
        <w:tc>
          <w:tcPr>
            <w:tcW w:type="dxa" w:w="4445"/>
          </w:tcPr>
          <w:p>
            <w:pPr>
              <w:spacing w:after="50" w:before="50" w:line="252" w:lineRule="auto"/>
            </w:pPr>
            <w:r>
              <w:rPr>
                <w:sz w:val="17"/>
              </w:rPr>
              <w:t>Signature: _______________________</w:t>
            </w:r>
          </w:p>
        </w:tc>
        <w:tc>
          <w:tcPr>
            <w:tcW w:type="dxa" w:w="5023"/>
          </w:tcPr>
          <w:p>
            <w:pPr>
              <w:spacing w:after="50" w:before="50" w:line="252" w:lineRule="auto"/>
            </w:pPr>
            <w:r>
              <w:rPr>
                <w:sz w:val="17"/>
              </w:rPr>
              <w:t>Signature: _______________________</w:t>
            </w:r>
          </w:p>
        </w:tc>
      </w:tr>
      <w:tr>
        <w:tc>
          <w:tcPr>
            <w:tcW w:type="dxa" w:w="4445"/>
            <w:shd w:val="clear" w:color="auto" w:fill="EAF1F4"/>
          </w:tcPr>
          <w:p>
            <w:pPr>
              <w:spacing w:after="50" w:before="50" w:line="252" w:lineRule="auto"/>
            </w:pPr>
            <w:r>
              <w:rPr>
                <w:sz w:val="17"/>
              </w:rPr>
              <w:t>Name: [●]</w:t>
            </w:r>
          </w:p>
        </w:tc>
        <w:tc>
          <w:tcPr>
            <w:tcW w:type="dxa" w:w="5023"/>
            <w:shd w:val="clear" w:color="auto" w:fill="EAF1F4"/>
          </w:tcPr>
          <w:p>
            <w:pPr>
              <w:spacing w:after="50" w:before="50" w:line="252" w:lineRule="auto"/>
            </w:pPr>
            <w:r>
              <w:rPr>
                <w:sz w:val="17"/>
              </w:rPr>
              <w:t>Name: [●]</w:t>
            </w:r>
          </w:p>
        </w:tc>
      </w:tr>
      <w:tr>
        <w:tc>
          <w:tcPr>
            <w:tcW w:type="dxa" w:w="4445"/>
          </w:tcPr>
          <w:p>
            <w:pPr>
              <w:spacing w:after="50" w:before="50" w:line="252" w:lineRule="auto"/>
            </w:pPr>
            <w:r>
              <w:rPr>
                <w:sz w:val="17"/>
              </w:rPr>
              <w:t>Designation: [●]</w:t>
            </w:r>
          </w:p>
        </w:tc>
        <w:tc>
          <w:tcPr>
            <w:tcW w:type="dxa" w:w="5023"/>
          </w:tcPr>
          <w:p>
            <w:pPr>
              <w:spacing w:after="50" w:before="50" w:line="252" w:lineRule="auto"/>
            </w:pPr>
            <w:r>
              <w:rPr>
                <w:sz w:val="17"/>
              </w:rPr>
              <w:t>Designation: [●]</w:t>
            </w:r>
          </w:p>
        </w:tc>
      </w:tr>
      <w:tr>
        <w:tc>
          <w:tcPr>
            <w:tcW w:type="dxa" w:w="4445"/>
            <w:shd w:val="clear" w:color="auto" w:fill="EAF1F4"/>
          </w:tcPr>
          <w:p>
            <w:pPr>
              <w:spacing w:after="50" w:before="50" w:line="252" w:lineRule="auto"/>
            </w:pPr>
            <w:r>
              <w:rPr>
                <w:sz w:val="17"/>
              </w:rPr>
              <w:t>Date: [●]</w:t>
            </w:r>
          </w:p>
        </w:tc>
        <w:tc>
          <w:tcPr>
            <w:tcW w:type="dxa" w:w="5023"/>
            <w:shd w:val="clear" w:color="auto" w:fill="EAF1F4"/>
          </w:tcPr>
          <w:p>
            <w:pPr>
              <w:spacing w:after="50" w:before="50" w:line="252" w:lineRule="auto"/>
            </w:pPr>
            <w:r>
              <w:rPr>
                <w:sz w:val="17"/>
              </w:rPr>
              <w:t>Date: [●]</w:t>
            </w:r>
          </w:p>
        </w:tc>
      </w:tr>
    </w:tbl>
    <w:p>
      <w:pPr>
        <w:spacing w:after="80" w:before="0"/>
      </w:pP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Witness</w:t>
            </w:r>
          </w:p>
        </w:tc>
        <w:tc>
          <w:tcPr>
            <w:tcW w:type="dxa" w:w="4734"/>
            <w:shd w:val="clear" w:color="auto" w:fill="10375C"/>
          </w:tcPr>
          <w:p>
            <w:pPr>
              <w:spacing w:after="50" w:before="50"/>
            </w:pPr>
            <w:r>
              <w:rPr>
                <w:b/>
                <w:color w:val="FFFFFF"/>
                <w:sz w:val="17"/>
              </w:rPr>
              <w:t>Witness</w:t>
            </w:r>
          </w:p>
        </w:tc>
      </w:tr>
      <w:tr>
        <w:tc>
          <w:tcPr>
            <w:tcW w:type="dxa" w:w="4734"/>
          </w:tcPr>
          <w:p>
            <w:pPr>
              <w:spacing w:after="50" w:before="50" w:line="252" w:lineRule="auto"/>
            </w:pPr>
            <w:r>
              <w:rPr>
                <w:sz w:val="17"/>
              </w:rPr>
              <w:t>Name and signature: [●]</w:t>
            </w:r>
          </w:p>
        </w:tc>
        <w:tc>
          <w:tcPr>
            <w:tcW w:type="dxa" w:w="4734"/>
          </w:tcPr>
          <w:p>
            <w:pPr>
              <w:spacing w:after="50" w:before="50" w:line="252" w:lineRule="auto"/>
            </w:pPr>
            <w:r>
              <w:rPr>
                <w:sz w:val="17"/>
              </w:rPr>
              <w:t>Name and signature: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Mutual Non-Disclosure Agreement</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B7001E-4367-4D64-9D89-085A2036A2BF}"/>
</file>

<file path=customXml/itemProps3.xml><?xml version="1.0" encoding="utf-8"?>
<ds:datastoreItem xmlns:ds="http://schemas.openxmlformats.org/officeDocument/2006/customXml" ds:itemID="{9480EEFD-1431-49C5-91FA-7229A9E4420E}"/>
</file>

<file path=customXml/itemProps4.xml><?xml version="1.0" encoding="utf-8"?>
<ds:datastoreItem xmlns:ds="http://schemas.openxmlformats.org/officeDocument/2006/customXml" ds:itemID="{2D52CFB9-9B61-4290-9291-5253F5D077F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