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Data Sharing &amp; DPDP Compliance Addendum</w:t>
      </w:r>
    </w:p>
    <w:p>
      <w:pPr>
        <w:spacing w:after="280" w:line="276" w:lineRule="auto"/>
      </w:pPr>
      <w:r>
        <w:rPr>
          <w:rFonts w:ascii="Calibri" w:hAnsi="Calibri"/>
          <w:i/>
          <w:color w:val="3E6B8A"/>
          <w:sz w:val="25"/>
        </w:rPr>
        <w:t>Schedule I to the Master MOU — roles, purposes, consent architecture, security, retention and breach response under the Digital Personal Data Protection Act, 2023 and Rules, 2025</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 · DPO review required</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Note</w:t>
      </w:r>
    </w:p>
    <w:p>
      <w:r>
        <w:t xml:space="preserve">This Addendum is Schedule I to the Master Memorandum of Understanding. </w:t>
      </w:r>
      <w:r>
        <w:rPr>
          <w:b/>
        </w:rPr>
        <w:t>It must be executed before any Personal Data passes between the Parties.</w:t>
      </w:r>
      <w:r>
        <w:t xml:space="preserve"> It must be reviewed by the Data Protection Officer of each Party before execution. Open item </w:t>
      </w:r>
      <w:r>
        <w:rPr>
          <w:b/>
        </w:rPr>
        <w:t>U3</w:t>
      </w:r>
      <w:r>
        <w:t xml:space="preserve"> must be cleared before the first registration portal goes live.</w:t>
      </w:r>
    </w:p>
    <w:p>
      <w:pPr>
        <w:spacing w:before="80" w:after="160"/>
        <w:pBdr>
          <w:bottom w:val="single" w:sz="6" w:space="1" w:color="C9D6DE"/>
        </w:pBdr>
      </w:pPr>
    </w:p>
    <w:p>
      <w:pPr>
        <w:pStyle w:val="Heading1"/>
        <w:pBdr>
          <w:bottom w:val="single" w:sz="8" w:space="4" w:color="C9D6DE"/>
        </w:pBdr>
      </w:pPr>
      <w:r>
        <w:t>1. Definitions</w:t>
      </w:r>
    </w:p>
    <w:p>
      <w:r>
        <w:t>Terms defined in the Digital Personal Data Protection Act, 2023 (</w:t>
      </w:r>
      <w:r>
        <w:rPr>
          <w:b/>
        </w:rPr>
        <w:t>the Act</w:t>
      </w:r>
      <w:r>
        <w:t>) and the Digital Personal Data Protection Rules, 2025 (</w:t>
      </w:r>
      <w:r>
        <w:rPr>
          <w:b/>
        </w:rPr>
        <w:t>the Rules</w:t>
      </w:r>
      <w:r>
        <w:t xml:space="preserve">) have the same meaning here, including </w:t>
      </w:r>
      <w:r>
        <w:rPr>
          <w:i/>
        </w:rPr>
        <w:t>Data Fiduciary</w:t>
      </w:r>
      <w:r>
        <w:t xml:space="preserve">, </w:t>
      </w:r>
      <w:r>
        <w:rPr>
          <w:i/>
        </w:rPr>
        <w:t>Data Processor</w:t>
      </w:r>
      <w:r>
        <w:t xml:space="preserve">, </w:t>
      </w:r>
      <w:r>
        <w:rPr>
          <w:i/>
        </w:rPr>
        <w:t>Data Principal</w:t>
      </w:r>
      <w:r>
        <w:t xml:space="preserve">, </w:t>
      </w:r>
      <w:r>
        <w:rPr>
          <w:i/>
        </w:rPr>
        <w:t>Personal Data</w:t>
      </w:r>
      <w:r>
        <w:t xml:space="preserve"> and </w:t>
      </w:r>
      <w:r>
        <w:rPr>
          <w:i/>
        </w:rPr>
        <w:t>personal data breach</w:t>
      </w:r>
      <w:r>
        <w:t>.</w:t>
      </w:r>
    </w:p>
    <w:p>
      <w:r>
        <w:rPr>
          <w:b/>
        </w:rPr>
        <w:t>Programme Data</w:t>
      </w:r>
      <w:r>
        <w:t xml:space="preserve"> means Personal Data processed in connection with an Activity under the Memorandum.</w:t>
      </w:r>
    </w:p>
    <w:p>
      <w:pPr>
        <w:spacing w:before="80" w:after="160"/>
        <w:pBdr>
          <w:bottom w:val="single" w:sz="6" w:space="1" w:color="C9D6DE"/>
        </w:pBdr>
      </w:pPr>
    </w:p>
    <w:p>
      <w:pPr>
        <w:pStyle w:val="Heading1"/>
        <w:pBdr>
          <w:bottom w:val="single" w:sz="8" w:space="4" w:color="C9D6DE"/>
        </w:pBdr>
      </w:pPr>
      <w:r>
        <w:t>2. Roles of the Parties</w:t>
      </w:r>
    </w:p>
    <w:p>
      <w:r>
        <w:rPr>
          <w:b/>
        </w:rPr>
        <w:t>2.1</w:t>
      </w:r>
      <w:r>
        <w:t xml:space="preserve"> The Parties record that, in general, </w:t>
      </w:r>
      <w:r>
        <w:rPr>
          <w:b/>
        </w:rPr>
        <w:t>each acts as an independent Data Fiduciary</w:t>
      </w:r>
      <w:r>
        <w:t xml:space="preserve"> in respect of Personal Data it collects directly, determining its own purposes and means. Neither is a Data Processor for the other unless expressly stated in the table at clause 3.</w:t>
      </w:r>
    </w:p>
    <w:p>
      <w:r>
        <w:rPr>
          <w:b/>
        </w:rPr>
        <w:t>2.2</w:t>
      </w:r>
      <w:r>
        <w:t xml:space="preserve"> Where an Activity involves joint determination of purposes and means, the Parties shall record that fact and their respective responsibilities in writing before the Activity commences.</w:t>
      </w:r>
    </w:p>
    <w:p>
      <w:r>
        <w:rPr>
          <w:b/>
        </w:rPr>
        <w:t>2.3 Registration data.</w:t>
      </w:r>
      <w:r>
        <w:t xml:space="preserve"> Personal Data collected from Participants at registration for a training programme, competition, workshop or internship is collected </w:t>
      </w:r>
      <w:r>
        <w:rPr>
          <w:b/>
        </w:rPr>
        <w:t>by the Institute as Data Fiduciary</w:t>
      </w:r>
      <w:r>
        <w:t>, directly from the Data Principal, under its own notice and consent. The University does not transfer it and is not responsible for it.</w:t>
      </w:r>
    </w:p>
    <w:p>
      <w:pPr>
        <w:spacing w:before="80" w:after="160"/>
        <w:pBdr>
          <w:bottom w:val="single" w:sz="6" w:space="1" w:color="C9D6DE"/>
        </w:pBdr>
      </w:pPr>
    </w:p>
    <w:p>
      <w:pPr>
        <w:pStyle w:val="Heading1"/>
        <w:pBdr>
          <w:bottom w:val="single" w:sz="8" w:space="4" w:color="C9D6DE"/>
        </w:pBdr>
      </w:pPr>
      <w:r>
        <w:t>3. Data map</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052"/>
        <w:gridCol w:w="1052"/>
        <w:gridCol w:w="1052"/>
        <w:gridCol w:w="1052"/>
        <w:gridCol w:w="1052"/>
        <w:gridCol w:w="1052"/>
        <w:gridCol w:w="1052"/>
        <w:gridCol w:w="1052"/>
        <w:gridCol w:w="1052"/>
      </w:tblGrid>
      <w:tr>
        <w:trPr>
          <w:tblHeader w:val="true"/>
        </w:trPr>
        <w:tc>
          <w:tcPr>
            <w:tcW w:type="dxa" w:w="850"/>
            <w:shd w:val="clear" w:color="auto" w:fill="10375C"/>
          </w:tcPr>
          <w:p>
            <w:pPr>
              <w:spacing w:after="50" w:before="50"/>
            </w:pPr>
            <w:r>
              <w:rPr>
                <w:b/>
                <w:color w:val="FFFFFF"/>
                <w:sz w:val="17"/>
              </w:rPr>
              <w:t>#</w:t>
            </w:r>
          </w:p>
        </w:tc>
        <w:tc>
          <w:tcPr>
            <w:tcW w:type="dxa" w:w="981"/>
            <w:shd w:val="clear" w:color="auto" w:fill="10375C"/>
          </w:tcPr>
          <w:p>
            <w:pPr>
              <w:spacing w:after="50" w:before="50"/>
            </w:pPr>
            <w:r>
              <w:rPr>
                <w:b/>
                <w:color w:val="FFFFFF"/>
                <w:sz w:val="17"/>
              </w:rPr>
              <w:t>Data set</w:t>
            </w:r>
          </w:p>
        </w:tc>
        <w:tc>
          <w:tcPr>
            <w:tcW w:type="dxa" w:w="2016"/>
            <w:shd w:val="clear" w:color="auto" w:fill="10375C"/>
          </w:tcPr>
          <w:p>
            <w:pPr>
              <w:spacing w:after="50" w:before="50"/>
            </w:pPr>
            <w:r>
              <w:rPr>
                <w:b/>
                <w:color w:val="FFFFFF"/>
                <w:sz w:val="17"/>
              </w:rPr>
              <w:t>Categories</w:t>
            </w:r>
          </w:p>
        </w:tc>
        <w:tc>
          <w:tcPr>
            <w:tcW w:type="dxa" w:w="850"/>
            <w:shd w:val="clear" w:color="auto" w:fill="10375C"/>
          </w:tcPr>
          <w:p>
            <w:pPr>
              <w:spacing w:after="50" w:before="50"/>
            </w:pPr>
            <w:r>
              <w:rPr>
                <w:b/>
                <w:color w:val="FFFFFF"/>
                <w:sz w:val="17"/>
              </w:rPr>
              <w:t>Source</w:t>
            </w:r>
          </w:p>
        </w:tc>
        <w:tc>
          <w:tcPr>
            <w:tcW w:type="dxa" w:w="850"/>
            <w:shd w:val="clear" w:color="auto" w:fill="10375C"/>
          </w:tcPr>
          <w:p>
            <w:pPr>
              <w:spacing w:after="50" w:before="50"/>
            </w:pPr>
            <w:r>
              <w:rPr>
                <w:b/>
                <w:color w:val="FFFFFF"/>
                <w:sz w:val="17"/>
              </w:rPr>
              <w:t>Collected by</w:t>
            </w:r>
          </w:p>
        </w:tc>
        <w:tc>
          <w:tcPr>
            <w:tcW w:type="dxa" w:w="850"/>
            <w:shd w:val="clear" w:color="auto" w:fill="10375C"/>
          </w:tcPr>
          <w:p>
            <w:pPr>
              <w:spacing w:after="50" w:before="50"/>
            </w:pPr>
            <w:r>
              <w:rPr>
                <w:b/>
                <w:color w:val="FFFFFF"/>
                <w:sz w:val="17"/>
              </w:rPr>
              <w:t>Role of Institute</w:t>
            </w:r>
          </w:p>
        </w:tc>
        <w:tc>
          <w:tcPr>
            <w:tcW w:type="dxa" w:w="1267"/>
            <w:shd w:val="clear" w:color="auto" w:fill="10375C"/>
          </w:tcPr>
          <w:p>
            <w:pPr>
              <w:spacing w:after="50" w:before="50"/>
            </w:pPr>
            <w:r>
              <w:rPr>
                <w:b/>
                <w:color w:val="FFFFFF"/>
                <w:sz w:val="17"/>
              </w:rPr>
              <w:t>Role of University</w:t>
            </w:r>
          </w:p>
        </w:tc>
        <w:tc>
          <w:tcPr>
            <w:tcW w:type="dxa" w:w="1591"/>
            <w:shd w:val="clear" w:color="auto" w:fill="10375C"/>
          </w:tcPr>
          <w:p>
            <w:pPr>
              <w:spacing w:after="50" w:before="50"/>
            </w:pPr>
            <w:r>
              <w:rPr>
                <w:b/>
                <w:color w:val="FFFFFF"/>
                <w:sz w:val="17"/>
              </w:rPr>
              <w:t>Purpose</w:t>
            </w:r>
          </w:p>
        </w:tc>
        <w:tc>
          <w:tcPr>
            <w:tcW w:type="dxa" w:w="1431"/>
            <w:shd w:val="clear" w:color="auto" w:fill="10375C"/>
          </w:tcPr>
          <w:p>
            <w:pPr>
              <w:spacing w:after="50" w:before="50"/>
            </w:pPr>
            <w:r>
              <w:rPr>
                <w:b/>
                <w:color w:val="FFFFFF"/>
                <w:sz w:val="17"/>
              </w:rPr>
              <w:t>Lawful basis</w:t>
            </w:r>
          </w:p>
        </w:tc>
      </w:tr>
      <w:tr>
        <w:tc>
          <w:tcPr>
            <w:tcW w:type="dxa" w:w="850"/>
          </w:tcPr>
          <w:p>
            <w:pPr>
              <w:spacing w:after="50" w:before="50" w:line="252" w:lineRule="auto"/>
            </w:pPr>
            <w:r>
              <w:rPr>
                <w:sz w:val="17"/>
              </w:rPr>
              <w:t>1</w:t>
            </w:r>
          </w:p>
        </w:tc>
        <w:tc>
          <w:tcPr>
            <w:tcW w:type="dxa" w:w="981"/>
          </w:tcPr>
          <w:p>
            <w:pPr>
              <w:spacing w:after="50" w:before="50" w:line="252" w:lineRule="auto"/>
            </w:pPr>
            <w:r>
              <w:rPr>
                <w:sz w:val="17"/>
              </w:rPr>
              <w:t>Programme registration</w:t>
            </w:r>
          </w:p>
        </w:tc>
        <w:tc>
          <w:tcPr>
            <w:tcW w:type="dxa" w:w="2016"/>
          </w:tcPr>
          <w:p>
            <w:pPr>
              <w:spacing w:after="50" w:before="50" w:line="252" w:lineRule="auto"/>
            </w:pPr>
            <w:r>
              <w:rPr>
                <w:sz w:val="17"/>
              </w:rPr>
              <w:t>Name, institution, enrolment number, email, phone, year of study</w:t>
            </w:r>
          </w:p>
        </w:tc>
        <w:tc>
          <w:tcPr>
            <w:tcW w:type="dxa" w:w="850"/>
          </w:tcPr>
          <w:p>
            <w:pPr>
              <w:spacing w:after="50" w:before="50" w:line="252" w:lineRule="auto"/>
            </w:pPr>
            <w:r>
              <w:rPr>
                <w:sz w:val="17"/>
              </w:rPr>
              <w:t>Participant</w:t>
            </w:r>
          </w:p>
        </w:tc>
        <w:tc>
          <w:tcPr>
            <w:tcW w:type="dxa" w:w="850"/>
          </w:tcPr>
          <w:p>
            <w:pPr>
              <w:spacing w:after="50" w:before="50" w:line="252" w:lineRule="auto"/>
            </w:pPr>
            <w:r>
              <w:rPr>
                <w:sz w:val="17"/>
              </w:rPr>
              <w:t>Institute</w:t>
            </w:r>
          </w:p>
        </w:tc>
        <w:tc>
          <w:tcPr>
            <w:tcW w:type="dxa" w:w="850"/>
          </w:tcPr>
          <w:p>
            <w:pPr>
              <w:spacing w:after="50" w:before="50" w:line="252" w:lineRule="auto"/>
            </w:pPr>
            <w:r>
              <w:rPr>
                <w:sz w:val="17"/>
              </w:rPr>
              <w:t>Fiduciary</w:t>
            </w:r>
          </w:p>
        </w:tc>
        <w:tc>
          <w:tcPr>
            <w:tcW w:type="dxa" w:w="1267"/>
          </w:tcPr>
          <w:p>
            <w:pPr>
              <w:spacing w:after="50" w:before="50" w:line="252" w:lineRule="auto"/>
            </w:pPr>
            <w:r>
              <w:rPr>
                <w:sz w:val="17"/>
              </w:rPr>
              <w:t>None</w:t>
            </w:r>
          </w:p>
        </w:tc>
        <w:tc>
          <w:tcPr>
            <w:tcW w:type="dxa" w:w="1591"/>
          </w:tcPr>
          <w:p>
            <w:pPr>
              <w:spacing w:after="50" w:before="50" w:line="252" w:lineRule="auto"/>
            </w:pPr>
            <w:r>
              <w:rPr>
                <w:sz w:val="17"/>
              </w:rPr>
              <w:t>Enrolment, delivery, assessment, certification</w:t>
            </w:r>
          </w:p>
        </w:tc>
        <w:tc>
          <w:tcPr>
            <w:tcW w:type="dxa" w:w="1431"/>
          </w:tcPr>
          <w:p>
            <w:pPr>
              <w:spacing w:after="50" w:before="50" w:line="252" w:lineRule="auto"/>
            </w:pPr>
            <w:r>
              <w:rPr>
                <w:sz w:val="17"/>
              </w:rPr>
              <w:t>Consent</w:t>
            </w:r>
          </w:p>
        </w:tc>
      </w:tr>
      <w:tr>
        <w:tc>
          <w:tcPr>
            <w:tcW w:type="dxa" w:w="850"/>
            <w:shd w:val="clear" w:color="auto" w:fill="EAF1F4"/>
          </w:tcPr>
          <w:p>
            <w:pPr>
              <w:spacing w:after="50" w:before="50" w:line="252" w:lineRule="auto"/>
            </w:pPr>
            <w:r>
              <w:rPr>
                <w:sz w:val="17"/>
              </w:rPr>
              <w:t>2</w:t>
            </w:r>
          </w:p>
        </w:tc>
        <w:tc>
          <w:tcPr>
            <w:tcW w:type="dxa" w:w="981"/>
            <w:shd w:val="clear" w:color="auto" w:fill="EAF1F4"/>
          </w:tcPr>
          <w:p>
            <w:pPr>
              <w:spacing w:after="50" w:before="50" w:line="252" w:lineRule="auto"/>
            </w:pPr>
            <w:r>
              <w:rPr>
                <w:sz w:val="17"/>
              </w:rPr>
              <w:t>Attendance and assessment</w:t>
            </w:r>
          </w:p>
        </w:tc>
        <w:tc>
          <w:tcPr>
            <w:tcW w:type="dxa" w:w="2016"/>
            <w:shd w:val="clear" w:color="auto" w:fill="EAF1F4"/>
          </w:tcPr>
          <w:p>
            <w:pPr>
              <w:spacing w:after="50" w:before="50" w:line="252" w:lineRule="auto"/>
            </w:pPr>
            <w:r>
              <w:rPr>
                <w:sz w:val="17"/>
              </w:rPr>
              <w:t>Attendance, marks, grade, feedback</w:t>
            </w:r>
          </w:p>
        </w:tc>
        <w:tc>
          <w:tcPr>
            <w:tcW w:type="dxa" w:w="850"/>
            <w:shd w:val="clear" w:color="auto" w:fill="EAF1F4"/>
          </w:tcPr>
          <w:p>
            <w:pPr>
              <w:spacing w:after="50" w:before="50" w:line="252" w:lineRule="auto"/>
            </w:pPr>
            <w:r>
              <w:rPr>
                <w:sz w:val="17"/>
              </w:rPr>
              <w:t>Institute</w:t>
            </w:r>
          </w:p>
        </w:tc>
        <w:tc>
          <w:tcPr>
            <w:tcW w:type="dxa" w:w="850"/>
            <w:shd w:val="clear" w:color="auto" w:fill="EAF1F4"/>
          </w:tcPr>
          <w:p>
            <w:pPr>
              <w:spacing w:after="50" w:before="50" w:line="252" w:lineRule="auto"/>
            </w:pPr>
            <w:r>
              <w:rPr>
                <w:sz w:val="17"/>
              </w:rPr>
              <w:t>Institute</w:t>
            </w:r>
          </w:p>
        </w:tc>
        <w:tc>
          <w:tcPr>
            <w:tcW w:type="dxa" w:w="850"/>
            <w:shd w:val="clear" w:color="auto" w:fill="EAF1F4"/>
          </w:tcPr>
          <w:p>
            <w:pPr>
              <w:spacing w:after="50" w:before="50" w:line="252" w:lineRule="auto"/>
            </w:pPr>
            <w:r>
              <w:rPr>
                <w:sz w:val="17"/>
              </w:rPr>
              <w:t>Fiduciary</w:t>
            </w:r>
          </w:p>
        </w:tc>
        <w:tc>
          <w:tcPr>
            <w:tcW w:type="dxa" w:w="1267"/>
            <w:shd w:val="clear" w:color="auto" w:fill="EAF1F4"/>
          </w:tcPr>
          <w:p>
            <w:pPr>
              <w:spacing w:after="50" w:before="50" w:line="252" w:lineRule="auto"/>
            </w:pPr>
            <w:r>
              <w:rPr>
                <w:sz w:val="17"/>
              </w:rPr>
              <w:t>Recipient of outcome data where credit is sought</w:t>
            </w:r>
          </w:p>
        </w:tc>
        <w:tc>
          <w:tcPr>
            <w:tcW w:type="dxa" w:w="1591"/>
            <w:shd w:val="clear" w:color="auto" w:fill="EAF1F4"/>
          </w:tcPr>
          <w:p>
            <w:pPr>
              <w:spacing w:after="50" w:before="50" w:line="252" w:lineRule="auto"/>
            </w:pPr>
            <w:r>
              <w:rPr>
                <w:sz w:val="17"/>
              </w:rPr>
              <w:t>Certification; credit support</w:t>
            </w:r>
          </w:p>
        </w:tc>
        <w:tc>
          <w:tcPr>
            <w:tcW w:type="dxa" w:w="1431"/>
            <w:shd w:val="clear" w:color="auto" w:fill="EAF1F4"/>
          </w:tcPr>
          <w:p>
            <w:pPr>
              <w:spacing w:after="50" w:before="50" w:line="252" w:lineRule="auto"/>
            </w:pPr>
            <w:r>
              <w:rPr>
                <w:sz w:val="17"/>
              </w:rPr>
              <w:t>Consent</w:t>
            </w:r>
          </w:p>
        </w:tc>
      </w:tr>
      <w:tr>
        <w:tc>
          <w:tcPr>
            <w:tcW w:type="dxa" w:w="850"/>
          </w:tcPr>
          <w:p>
            <w:pPr>
              <w:spacing w:after="50" w:before="50" w:line="252" w:lineRule="auto"/>
            </w:pPr>
            <w:r>
              <w:rPr>
                <w:sz w:val="17"/>
              </w:rPr>
              <w:t>3</w:t>
            </w:r>
          </w:p>
        </w:tc>
        <w:tc>
          <w:tcPr>
            <w:tcW w:type="dxa" w:w="981"/>
          </w:tcPr>
          <w:p>
            <w:pPr>
              <w:spacing w:after="50" w:before="50" w:line="252" w:lineRule="auto"/>
            </w:pPr>
            <w:r>
              <w:rPr>
                <w:sz w:val="17"/>
              </w:rPr>
              <w:t>Credit reconciliation list</w:t>
            </w:r>
          </w:p>
        </w:tc>
        <w:tc>
          <w:tcPr>
            <w:tcW w:type="dxa" w:w="2016"/>
          </w:tcPr>
          <w:p>
            <w:pPr>
              <w:spacing w:after="50" w:before="50" w:line="252" w:lineRule="auto"/>
            </w:pPr>
            <w:r>
              <w:rPr>
                <w:sz w:val="17"/>
              </w:rPr>
              <w:t>Name, enrolment number, programme</w:t>
            </w:r>
          </w:p>
        </w:tc>
        <w:tc>
          <w:tcPr>
            <w:tcW w:type="dxa" w:w="850"/>
          </w:tcPr>
          <w:p>
            <w:pPr>
              <w:spacing w:after="50" w:before="50" w:line="252" w:lineRule="auto"/>
            </w:pPr>
            <w:r>
              <w:rPr>
                <w:sz w:val="17"/>
              </w:rPr>
              <w:t>University</w:t>
            </w:r>
          </w:p>
        </w:tc>
        <w:tc>
          <w:tcPr>
            <w:tcW w:type="dxa" w:w="850"/>
          </w:tcPr>
          <w:p>
            <w:pPr>
              <w:spacing w:after="50" w:before="50" w:line="252" w:lineRule="auto"/>
            </w:pPr>
            <w:r>
              <w:rPr>
                <w:sz w:val="17"/>
              </w:rPr>
              <w:t>University</w:t>
            </w:r>
          </w:p>
        </w:tc>
        <w:tc>
          <w:tcPr>
            <w:tcW w:type="dxa" w:w="850"/>
          </w:tcPr>
          <w:p>
            <w:pPr>
              <w:spacing w:after="50" w:before="50" w:line="252" w:lineRule="auto"/>
            </w:pPr>
            <w:r>
              <w:rPr>
                <w:sz w:val="17"/>
              </w:rPr>
              <w:t>Recipient</w:t>
            </w:r>
          </w:p>
        </w:tc>
        <w:tc>
          <w:tcPr>
            <w:tcW w:type="dxa" w:w="1267"/>
          </w:tcPr>
          <w:p>
            <w:pPr>
              <w:spacing w:after="50" w:before="50" w:line="252" w:lineRule="auto"/>
            </w:pPr>
            <w:r>
              <w:rPr>
                <w:sz w:val="17"/>
              </w:rPr>
              <w:t>Fiduciary</w:t>
            </w:r>
          </w:p>
        </w:tc>
        <w:tc>
          <w:tcPr>
            <w:tcW w:type="dxa" w:w="1591"/>
          </w:tcPr>
          <w:p>
            <w:pPr>
              <w:spacing w:after="50" w:before="50" w:line="252" w:lineRule="auto"/>
            </w:pPr>
            <w:r>
              <w:rPr>
                <w:sz w:val="17"/>
              </w:rPr>
              <w:t>Verification of enrolment for credit-bearing delivery</w:t>
            </w:r>
          </w:p>
        </w:tc>
        <w:tc>
          <w:tcPr>
            <w:tcW w:type="dxa" w:w="1431"/>
          </w:tcPr>
          <w:p>
            <w:pPr>
              <w:spacing w:after="50" w:before="50" w:line="252" w:lineRule="auto"/>
            </w:pPr>
            <w:r>
              <w:rPr>
                <w:sz w:val="17"/>
              </w:rPr>
              <w:t>Consent; legitimate use as applicable</w:t>
            </w:r>
          </w:p>
        </w:tc>
      </w:tr>
      <w:tr>
        <w:tc>
          <w:tcPr>
            <w:tcW w:type="dxa" w:w="850"/>
            <w:shd w:val="clear" w:color="auto" w:fill="EAF1F4"/>
          </w:tcPr>
          <w:p>
            <w:pPr>
              <w:spacing w:after="50" w:before="50" w:line="252" w:lineRule="auto"/>
            </w:pPr>
            <w:r>
              <w:rPr>
                <w:sz w:val="17"/>
              </w:rPr>
              <w:t>4</w:t>
            </w:r>
          </w:p>
        </w:tc>
        <w:tc>
          <w:tcPr>
            <w:tcW w:type="dxa" w:w="981"/>
            <w:shd w:val="clear" w:color="auto" w:fill="EAF1F4"/>
          </w:tcPr>
          <w:p>
            <w:pPr>
              <w:spacing w:after="50" w:before="50" w:line="252" w:lineRule="auto"/>
            </w:pPr>
            <w:r>
              <w:rPr>
                <w:sz w:val="17"/>
              </w:rPr>
              <w:t>Internship records</w:t>
            </w:r>
          </w:p>
        </w:tc>
        <w:tc>
          <w:tcPr>
            <w:tcW w:type="dxa" w:w="2016"/>
            <w:shd w:val="clear" w:color="auto" w:fill="EAF1F4"/>
          </w:tcPr>
          <w:p>
            <w:pPr>
              <w:spacing w:after="50" w:before="50" w:line="252" w:lineRule="auto"/>
            </w:pPr>
            <w:r>
              <w:rPr>
                <w:sz w:val="17"/>
              </w:rPr>
              <w:t>Application, CV, evaluation, stipend and bank details</w:t>
            </w:r>
          </w:p>
        </w:tc>
        <w:tc>
          <w:tcPr>
            <w:tcW w:type="dxa" w:w="850"/>
            <w:shd w:val="clear" w:color="auto" w:fill="EAF1F4"/>
          </w:tcPr>
          <w:p>
            <w:pPr>
              <w:spacing w:after="50" w:before="50" w:line="252" w:lineRule="auto"/>
            </w:pPr>
            <w:r>
              <w:rPr>
                <w:sz w:val="17"/>
              </w:rPr>
              <w:t>Applicant</w:t>
            </w:r>
          </w:p>
        </w:tc>
        <w:tc>
          <w:tcPr>
            <w:tcW w:type="dxa" w:w="850"/>
            <w:shd w:val="clear" w:color="auto" w:fill="EAF1F4"/>
          </w:tcPr>
          <w:p>
            <w:pPr>
              <w:spacing w:after="50" w:before="50" w:line="252" w:lineRule="auto"/>
            </w:pPr>
            <w:r>
              <w:rPr>
                <w:sz w:val="17"/>
              </w:rPr>
              <w:t>Institute</w:t>
            </w:r>
          </w:p>
        </w:tc>
        <w:tc>
          <w:tcPr>
            <w:tcW w:type="dxa" w:w="850"/>
            <w:shd w:val="clear" w:color="auto" w:fill="EAF1F4"/>
          </w:tcPr>
          <w:p>
            <w:pPr>
              <w:spacing w:after="50" w:before="50" w:line="252" w:lineRule="auto"/>
            </w:pPr>
            <w:r>
              <w:rPr>
                <w:sz w:val="17"/>
              </w:rPr>
              <w:t>Fiduciary</w:t>
            </w:r>
          </w:p>
        </w:tc>
        <w:tc>
          <w:tcPr>
            <w:tcW w:type="dxa" w:w="1267"/>
            <w:shd w:val="clear" w:color="auto" w:fill="EAF1F4"/>
          </w:tcPr>
          <w:p>
            <w:pPr>
              <w:spacing w:after="50" w:before="50" w:line="252" w:lineRule="auto"/>
            </w:pPr>
            <w:r>
              <w:rPr>
                <w:sz w:val="17"/>
              </w:rPr>
              <w:t>Recipient of evaluation where credit is sought</w:t>
            </w:r>
          </w:p>
        </w:tc>
        <w:tc>
          <w:tcPr>
            <w:tcW w:type="dxa" w:w="1591"/>
            <w:shd w:val="clear" w:color="auto" w:fill="EAF1F4"/>
          </w:tcPr>
          <w:p>
            <w:pPr>
              <w:spacing w:after="50" w:before="50" w:line="252" w:lineRule="auto"/>
            </w:pPr>
            <w:r>
              <w:rPr>
                <w:sz w:val="17"/>
              </w:rPr>
              <w:t>Selection, supervision, evaluation, payment</w:t>
            </w:r>
          </w:p>
        </w:tc>
        <w:tc>
          <w:tcPr>
            <w:tcW w:type="dxa" w:w="1431"/>
            <w:shd w:val="clear" w:color="auto" w:fill="EAF1F4"/>
          </w:tcPr>
          <w:p>
            <w:pPr>
              <w:spacing w:after="50" w:before="50" w:line="252" w:lineRule="auto"/>
            </w:pPr>
            <w:r>
              <w:rPr>
                <w:sz w:val="17"/>
              </w:rPr>
              <w:t>Consent; contract</w:t>
            </w:r>
          </w:p>
        </w:tc>
      </w:tr>
      <w:tr>
        <w:tc>
          <w:tcPr>
            <w:tcW w:type="dxa" w:w="850"/>
          </w:tcPr>
          <w:p>
            <w:pPr>
              <w:spacing w:after="50" w:before="50" w:line="252" w:lineRule="auto"/>
            </w:pPr>
            <w:r>
              <w:rPr>
                <w:sz w:val="17"/>
              </w:rPr>
              <w:t>5</w:t>
            </w:r>
          </w:p>
        </w:tc>
        <w:tc>
          <w:tcPr>
            <w:tcW w:type="dxa" w:w="981"/>
          </w:tcPr>
          <w:p>
            <w:pPr>
              <w:spacing w:after="50" w:before="50" w:line="252" w:lineRule="auto"/>
            </w:pPr>
            <w:r>
              <w:rPr>
                <w:sz w:val="17"/>
              </w:rPr>
              <w:t>Competition registration</w:t>
            </w:r>
          </w:p>
        </w:tc>
        <w:tc>
          <w:tcPr>
            <w:tcW w:type="dxa" w:w="2016"/>
          </w:tcPr>
          <w:p>
            <w:pPr>
              <w:spacing w:after="50" w:before="50" w:line="252" w:lineRule="auto"/>
            </w:pPr>
            <w:r>
              <w:rPr>
                <w:sz w:val="17"/>
              </w:rPr>
              <w:t>Team, member names, institution, contact, dietary and accessibility needs</w:t>
            </w:r>
          </w:p>
        </w:tc>
        <w:tc>
          <w:tcPr>
            <w:tcW w:type="dxa" w:w="850"/>
          </w:tcPr>
          <w:p>
            <w:pPr>
              <w:spacing w:after="50" w:before="50" w:line="252" w:lineRule="auto"/>
            </w:pPr>
            <w:r>
              <w:rPr>
                <w:sz w:val="17"/>
              </w:rPr>
              <w:t>Participant</w:t>
            </w:r>
          </w:p>
        </w:tc>
        <w:tc>
          <w:tcPr>
            <w:tcW w:type="dxa" w:w="850"/>
          </w:tcPr>
          <w:p>
            <w:pPr>
              <w:spacing w:after="50" w:before="50" w:line="252" w:lineRule="auto"/>
            </w:pPr>
            <w:r>
              <w:rPr>
                <w:sz w:val="17"/>
              </w:rPr>
              <w:t>Institute</w:t>
            </w:r>
          </w:p>
        </w:tc>
        <w:tc>
          <w:tcPr>
            <w:tcW w:type="dxa" w:w="850"/>
          </w:tcPr>
          <w:p>
            <w:pPr>
              <w:spacing w:after="50" w:before="50" w:line="252" w:lineRule="auto"/>
            </w:pPr>
            <w:r>
              <w:rPr>
                <w:sz w:val="17"/>
              </w:rPr>
              <w:t>Fiduciary</w:t>
            </w:r>
          </w:p>
        </w:tc>
        <w:tc>
          <w:tcPr>
            <w:tcW w:type="dxa" w:w="1267"/>
          </w:tcPr>
          <w:p>
            <w:pPr>
              <w:spacing w:after="50" w:before="50" w:line="252" w:lineRule="auto"/>
            </w:pPr>
            <w:r>
              <w:rPr>
                <w:sz w:val="17"/>
              </w:rPr>
              <w:t>None</w:t>
            </w:r>
          </w:p>
        </w:tc>
        <w:tc>
          <w:tcPr>
            <w:tcW w:type="dxa" w:w="1591"/>
          </w:tcPr>
          <w:p>
            <w:pPr>
              <w:spacing w:after="50" w:before="50" w:line="252" w:lineRule="auto"/>
            </w:pPr>
            <w:r>
              <w:rPr>
                <w:sz w:val="17"/>
              </w:rPr>
              <w:t>Competition administration</w:t>
            </w:r>
          </w:p>
        </w:tc>
        <w:tc>
          <w:tcPr>
            <w:tcW w:type="dxa" w:w="1431"/>
          </w:tcPr>
          <w:p>
            <w:pPr>
              <w:spacing w:after="50" w:before="50" w:line="252" w:lineRule="auto"/>
            </w:pPr>
            <w:r>
              <w:rPr>
                <w:sz w:val="17"/>
              </w:rPr>
              <w:t>Consent</w:t>
            </w:r>
          </w:p>
        </w:tc>
      </w:tr>
      <w:tr>
        <w:tc>
          <w:tcPr>
            <w:tcW w:type="dxa" w:w="850"/>
            <w:shd w:val="clear" w:color="auto" w:fill="EAF1F4"/>
          </w:tcPr>
          <w:p>
            <w:pPr>
              <w:spacing w:after="50" w:before="50" w:line="252" w:lineRule="auto"/>
            </w:pPr>
            <w:r>
              <w:rPr>
                <w:sz w:val="17"/>
              </w:rPr>
              <w:t>6</w:t>
            </w:r>
          </w:p>
        </w:tc>
        <w:tc>
          <w:tcPr>
            <w:tcW w:type="dxa" w:w="981"/>
            <w:shd w:val="clear" w:color="auto" w:fill="EAF1F4"/>
          </w:tcPr>
          <w:p>
            <w:pPr>
              <w:spacing w:after="50" w:before="50" w:line="252" w:lineRule="auto"/>
            </w:pPr>
            <w:r>
              <w:rPr>
                <w:sz w:val="17"/>
              </w:rPr>
              <w:t>Images and recordings</w:t>
            </w:r>
          </w:p>
        </w:tc>
        <w:tc>
          <w:tcPr>
            <w:tcW w:type="dxa" w:w="2016"/>
            <w:shd w:val="clear" w:color="auto" w:fill="EAF1F4"/>
          </w:tcPr>
          <w:p>
            <w:pPr>
              <w:spacing w:after="50" w:before="50" w:line="252" w:lineRule="auto"/>
            </w:pPr>
            <w:r>
              <w:rPr>
                <w:sz w:val="17"/>
              </w:rPr>
              <w:t>Photographs, video, audio of Participants</w:t>
            </w:r>
          </w:p>
        </w:tc>
        <w:tc>
          <w:tcPr>
            <w:tcW w:type="dxa" w:w="850"/>
            <w:shd w:val="clear" w:color="auto" w:fill="EAF1F4"/>
          </w:tcPr>
          <w:p>
            <w:pPr>
              <w:spacing w:after="50" w:before="50" w:line="252" w:lineRule="auto"/>
            </w:pPr>
            <w:r>
              <w:rPr>
                <w:sz w:val="17"/>
              </w:rPr>
              <w:t>Institute</w:t>
            </w:r>
          </w:p>
        </w:tc>
        <w:tc>
          <w:tcPr>
            <w:tcW w:type="dxa" w:w="850"/>
            <w:shd w:val="clear" w:color="auto" w:fill="EAF1F4"/>
          </w:tcPr>
          <w:p>
            <w:pPr>
              <w:spacing w:after="50" w:before="50" w:line="252" w:lineRule="auto"/>
            </w:pPr>
            <w:r>
              <w:rPr>
                <w:sz w:val="17"/>
              </w:rPr>
              <w:t>Institute</w:t>
            </w:r>
          </w:p>
        </w:tc>
        <w:tc>
          <w:tcPr>
            <w:tcW w:type="dxa" w:w="850"/>
            <w:shd w:val="clear" w:color="auto" w:fill="EAF1F4"/>
          </w:tcPr>
          <w:p>
            <w:pPr>
              <w:spacing w:after="50" w:before="50" w:line="252" w:lineRule="auto"/>
            </w:pPr>
            <w:r>
              <w:rPr>
                <w:sz w:val="17"/>
              </w:rPr>
              <w:t>Fiduciary</w:t>
            </w:r>
          </w:p>
        </w:tc>
        <w:tc>
          <w:tcPr>
            <w:tcW w:type="dxa" w:w="1267"/>
            <w:shd w:val="clear" w:color="auto" w:fill="EAF1F4"/>
          </w:tcPr>
          <w:p>
            <w:pPr>
              <w:spacing w:after="50" w:before="50" w:line="252" w:lineRule="auto"/>
            </w:pPr>
            <w:r>
              <w:rPr>
                <w:sz w:val="17"/>
              </w:rPr>
              <w:t>Co-recipient where jointly published</w:t>
            </w:r>
          </w:p>
        </w:tc>
        <w:tc>
          <w:tcPr>
            <w:tcW w:type="dxa" w:w="1591"/>
            <w:shd w:val="clear" w:color="auto" w:fill="EAF1F4"/>
          </w:tcPr>
          <w:p>
            <w:pPr>
              <w:spacing w:after="50" w:before="50" w:line="252" w:lineRule="auto"/>
            </w:pPr>
            <w:r>
              <w:rPr>
                <w:sz w:val="17"/>
              </w:rPr>
              <w:t>Documentation, promotion</w:t>
            </w:r>
          </w:p>
        </w:tc>
        <w:tc>
          <w:tcPr>
            <w:tcW w:type="dxa" w:w="1431"/>
            <w:shd w:val="clear" w:color="auto" w:fill="EAF1F4"/>
          </w:tcPr>
          <w:p>
            <w:pPr>
              <w:spacing w:after="50" w:before="50" w:line="252" w:lineRule="auto"/>
            </w:pPr>
            <w:r>
              <w:rPr>
                <w:sz w:val="17"/>
              </w:rPr>
              <w:t>Consent, by media release</w:t>
            </w:r>
          </w:p>
        </w:tc>
      </w:tr>
      <w:tr>
        <w:tc>
          <w:tcPr>
            <w:tcW w:type="dxa" w:w="850"/>
          </w:tcPr>
          <w:p>
            <w:pPr>
              <w:spacing w:after="50" w:before="50" w:line="252" w:lineRule="auto"/>
            </w:pPr>
            <w:r>
              <w:rPr>
                <w:sz w:val="17"/>
              </w:rPr>
              <w:t>7</w:t>
            </w:r>
          </w:p>
        </w:tc>
        <w:tc>
          <w:tcPr>
            <w:tcW w:type="dxa" w:w="981"/>
          </w:tcPr>
          <w:p>
            <w:pPr>
              <w:spacing w:after="50" w:before="50" w:line="252" w:lineRule="auto"/>
            </w:pPr>
            <w:r>
              <w:rPr>
                <w:sz w:val="17"/>
              </w:rPr>
              <w:t>Faculty empanelment</w:t>
            </w:r>
          </w:p>
        </w:tc>
        <w:tc>
          <w:tcPr>
            <w:tcW w:type="dxa" w:w="2016"/>
          </w:tcPr>
          <w:p>
            <w:pPr>
              <w:spacing w:after="50" w:before="50" w:line="252" w:lineRule="auto"/>
            </w:pPr>
            <w:r>
              <w:rPr>
                <w:sz w:val="17"/>
              </w:rPr>
              <w:t>CV, qualifications, PAN, bank details</w:t>
            </w:r>
          </w:p>
        </w:tc>
        <w:tc>
          <w:tcPr>
            <w:tcW w:type="dxa" w:w="850"/>
          </w:tcPr>
          <w:p>
            <w:pPr>
              <w:spacing w:after="50" w:before="50" w:line="252" w:lineRule="auto"/>
            </w:pPr>
            <w:r>
              <w:rPr>
                <w:sz w:val="17"/>
              </w:rPr>
              <w:t>Faculty member</w:t>
            </w:r>
          </w:p>
        </w:tc>
        <w:tc>
          <w:tcPr>
            <w:tcW w:type="dxa" w:w="850"/>
          </w:tcPr>
          <w:p>
            <w:pPr>
              <w:spacing w:after="50" w:before="50" w:line="252" w:lineRule="auto"/>
            </w:pPr>
            <w:r>
              <w:rPr>
                <w:sz w:val="17"/>
              </w:rPr>
              <w:t>Equator Resolution</w:t>
            </w:r>
          </w:p>
        </w:tc>
        <w:tc>
          <w:tcPr>
            <w:tcW w:type="dxa" w:w="850"/>
          </w:tcPr>
          <w:p>
            <w:pPr>
              <w:spacing w:after="50" w:before="50" w:line="252" w:lineRule="auto"/>
            </w:pPr>
            <w:r>
              <w:rPr>
                <w:sz w:val="17"/>
              </w:rPr>
              <w:t>Fiduciary</w:t>
            </w:r>
          </w:p>
        </w:tc>
        <w:tc>
          <w:tcPr>
            <w:tcW w:type="dxa" w:w="1267"/>
          </w:tcPr>
          <w:p>
            <w:pPr>
              <w:spacing w:after="50" w:before="50" w:line="252" w:lineRule="auto"/>
            </w:pPr>
            <w:r>
              <w:rPr>
                <w:sz w:val="17"/>
              </w:rPr>
              <w:t>None</w:t>
            </w:r>
          </w:p>
        </w:tc>
        <w:tc>
          <w:tcPr>
            <w:tcW w:type="dxa" w:w="1591"/>
          </w:tcPr>
          <w:p>
            <w:pPr>
              <w:spacing w:after="50" w:before="50" w:line="252" w:lineRule="auto"/>
            </w:pPr>
            <w:r>
              <w:rPr>
                <w:sz w:val="17"/>
              </w:rPr>
              <w:t>Empanelment, appointment, payment</w:t>
            </w:r>
          </w:p>
        </w:tc>
        <w:tc>
          <w:tcPr>
            <w:tcW w:type="dxa" w:w="1431"/>
          </w:tcPr>
          <w:p>
            <w:pPr>
              <w:spacing w:after="50" w:before="50" w:line="252" w:lineRule="auto"/>
            </w:pPr>
            <w:r>
              <w:rPr>
                <w:sz w:val="17"/>
              </w:rPr>
              <w:t>Consent; contract</w:t>
            </w:r>
          </w:p>
        </w:tc>
      </w:tr>
      <w:tr>
        <w:tc>
          <w:tcPr>
            <w:tcW w:type="dxa" w:w="850"/>
            <w:shd w:val="clear" w:color="auto" w:fill="EAF1F4"/>
          </w:tcPr>
          <w:p>
            <w:pPr>
              <w:spacing w:after="50" w:before="50" w:line="252" w:lineRule="auto"/>
            </w:pPr>
            <w:r>
              <w:rPr>
                <w:sz w:val="17"/>
              </w:rPr>
              <w:t>8</w:t>
            </w:r>
          </w:p>
        </w:tc>
        <w:tc>
          <w:tcPr>
            <w:tcW w:type="dxa" w:w="981"/>
            <w:shd w:val="clear" w:color="auto" w:fill="EAF1F4"/>
          </w:tcPr>
          <w:p>
            <w:pPr>
              <w:spacing w:after="50" w:before="50" w:line="252" w:lineRule="auto"/>
            </w:pPr>
            <w:r>
              <w:rPr>
                <w:sz w:val="17"/>
              </w:rPr>
              <w:t>Live matter exposure</w:t>
            </w:r>
          </w:p>
        </w:tc>
        <w:tc>
          <w:tcPr>
            <w:tcW w:type="dxa" w:w="2016"/>
            <w:shd w:val="clear" w:color="auto" w:fill="EAF1F4"/>
          </w:tcPr>
          <w:p>
            <w:pPr>
              <w:spacing w:after="50" w:before="50" w:line="252" w:lineRule="auto"/>
            </w:pPr>
            <w:r>
              <w:rPr>
                <w:sz w:val="17"/>
              </w:rPr>
              <w:t>Party identity, dispute information</w:t>
            </w:r>
          </w:p>
        </w:tc>
        <w:tc>
          <w:tcPr>
            <w:tcW w:type="dxa" w:w="850"/>
            <w:shd w:val="clear" w:color="auto" w:fill="EAF1F4"/>
          </w:tcPr>
          <w:p>
            <w:pPr>
              <w:spacing w:after="50" w:before="50" w:line="252" w:lineRule="auto"/>
            </w:pPr>
            <w:r>
              <w:rPr>
                <w:sz w:val="17"/>
              </w:rPr>
              <w:t>Parties to the matter</w:t>
            </w:r>
          </w:p>
        </w:tc>
        <w:tc>
          <w:tcPr>
            <w:tcW w:type="dxa" w:w="850"/>
            <w:shd w:val="clear" w:color="auto" w:fill="EAF1F4"/>
          </w:tcPr>
          <w:p>
            <w:pPr>
              <w:spacing w:after="50" w:before="50" w:line="252" w:lineRule="auto"/>
            </w:pPr>
            <w:r>
              <w:rPr>
                <w:sz w:val="17"/>
              </w:rPr>
              <w:t>Equator Resolution</w:t>
            </w:r>
          </w:p>
        </w:tc>
        <w:tc>
          <w:tcPr>
            <w:tcW w:type="dxa" w:w="850"/>
            <w:shd w:val="clear" w:color="auto" w:fill="EAF1F4"/>
          </w:tcPr>
          <w:p>
            <w:pPr>
              <w:spacing w:after="50" w:before="50" w:line="252" w:lineRule="auto"/>
            </w:pPr>
            <w:r>
              <w:rPr>
                <w:sz w:val="17"/>
              </w:rPr>
              <w:t>Fiduciary</w:t>
            </w:r>
          </w:p>
        </w:tc>
        <w:tc>
          <w:tcPr>
            <w:tcW w:type="dxa" w:w="1267"/>
            <w:shd w:val="clear" w:color="auto" w:fill="EAF1F4"/>
          </w:tcPr>
          <w:p>
            <w:pPr>
              <w:spacing w:after="50" w:before="50" w:line="252" w:lineRule="auto"/>
            </w:pPr>
            <w:r>
              <w:rPr>
                <w:sz w:val="17"/>
              </w:rPr>
              <w:t>None</w:t>
            </w:r>
          </w:p>
        </w:tc>
        <w:tc>
          <w:tcPr>
            <w:tcW w:type="dxa" w:w="1591"/>
            <w:shd w:val="clear" w:color="auto" w:fill="EAF1F4"/>
          </w:tcPr>
          <w:p>
            <w:pPr>
              <w:spacing w:after="50" w:before="50" w:line="252" w:lineRule="auto"/>
            </w:pPr>
            <w:r>
              <w:rPr>
                <w:sz w:val="17"/>
              </w:rPr>
              <w:t>Supervised learning</w:t>
            </w:r>
          </w:p>
        </w:tc>
        <w:tc>
          <w:tcPr>
            <w:tcW w:type="dxa" w:w="1431"/>
            <w:shd w:val="clear" w:color="auto" w:fill="EAF1F4"/>
          </w:tcPr>
          <w:p>
            <w:pPr>
              <w:spacing w:after="50" w:before="50" w:line="252" w:lineRule="auto"/>
            </w:pPr>
            <w:r>
              <w:rPr>
                <w:sz w:val="17"/>
              </w:rPr>
              <w:t>Consent of parties; statutory confidentiality</w:t>
            </w:r>
          </w:p>
        </w:tc>
      </w:tr>
      <w:tr>
        <w:tc>
          <w:tcPr>
            <w:tcW w:type="dxa" w:w="850"/>
          </w:tcPr>
          <w:p>
            <w:pPr>
              <w:spacing w:after="50" w:before="50" w:line="252" w:lineRule="auto"/>
            </w:pPr>
            <w:r>
              <w:rPr>
                <w:sz w:val="17"/>
              </w:rPr>
              <w:t>9</w:t>
            </w:r>
          </w:p>
        </w:tc>
        <w:tc>
          <w:tcPr>
            <w:tcW w:type="dxa" w:w="981"/>
          </w:tcPr>
          <w:p>
            <w:pPr>
              <w:spacing w:after="50" w:before="50" w:line="252" w:lineRule="auto"/>
            </w:pPr>
            <w:r>
              <w:rPr>
                <w:sz w:val="17"/>
              </w:rPr>
              <w:t>Research data sets</w:t>
            </w:r>
          </w:p>
        </w:tc>
        <w:tc>
          <w:tcPr>
            <w:tcW w:type="dxa" w:w="2016"/>
          </w:tcPr>
          <w:p>
            <w:pPr>
              <w:spacing w:after="50" w:before="50" w:line="252" w:lineRule="auto"/>
            </w:pPr>
            <w:r>
              <w:rPr>
                <w:sz w:val="17"/>
              </w:rPr>
              <w:t>Anonymised, aggregated outcome data</w:t>
            </w:r>
          </w:p>
        </w:tc>
        <w:tc>
          <w:tcPr>
            <w:tcW w:type="dxa" w:w="850"/>
          </w:tcPr>
          <w:p>
            <w:pPr>
              <w:spacing w:after="50" w:before="50" w:line="252" w:lineRule="auto"/>
            </w:pPr>
            <w:r>
              <w:rPr>
                <w:sz w:val="17"/>
              </w:rPr>
              <w:t>Institute case records</w:t>
            </w:r>
          </w:p>
        </w:tc>
        <w:tc>
          <w:tcPr>
            <w:tcW w:type="dxa" w:w="850"/>
          </w:tcPr>
          <w:p>
            <w:pPr>
              <w:spacing w:after="50" w:before="50" w:line="252" w:lineRule="auto"/>
            </w:pPr>
            <w:r>
              <w:rPr>
                <w:sz w:val="17"/>
              </w:rPr>
              <w:t>Institute</w:t>
            </w:r>
          </w:p>
        </w:tc>
        <w:tc>
          <w:tcPr>
            <w:tcW w:type="dxa" w:w="850"/>
          </w:tcPr>
          <w:p>
            <w:pPr>
              <w:spacing w:after="50" w:before="50" w:line="252" w:lineRule="auto"/>
            </w:pPr>
            <w:r>
              <w:rPr>
                <w:sz w:val="17"/>
              </w:rPr>
              <w:t>Fiduciary of the source data</w:t>
            </w:r>
          </w:p>
        </w:tc>
        <w:tc>
          <w:tcPr>
            <w:tcW w:type="dxa" w:w="1267"/>
          </w:tcPr>
          <w:p>
            <w:pPr>
              <w:spacing w:after="50" w:before="50" w:line="252" w:lineRule="auto"/>
            </w:pPr>
            <w:r>
              <w:rPr>
                <w:sz w:val="17"/>
              </w:rPr>
              <w:t>Recipient of anonymised extract only</w:t>
            </w:r>
          </w:p>
        </w:tc>
        <w:tc>
          <w:tcPr>
            <w:tcW w:type="dxa" w:w="1591"/>
          </w:tcPr>
          <w:p>
            <w:pPr>
              <w:spacing w:after="50" w:before="50" w:line="252" w:lineRule="auto"/>
            </w:pPr>
            <w:r>
              <w:rPr>
                <w:sz w:val="17"/>
              </w:rPr>
              <w:t>Research</w:t>
            </w:r>
          </w:p>
        </w:tc>
        <w:tc>
          <w:tcPr>
            <w:tcW w:type="dxa" w:w="1431"/>
          </w:tcPr>
          <w:p>
            <w:pPr>
              <w:spacing w:after="50" w:before="50" w:line="252" w:lineRule="auto"/>
            </w:pPr>
            <w:r>
              <w:rPr>
                <w:sz w:val="17"/>
              </w:rPr>
              <w:t>Anonymised — outside the Act once effectively anonymised</w:t>
            </w:r>
          </w:p>
        </w:tc>
      </w:tr>
    </w:tbl>
    <w:p>
      <w:pPr>
        <w:spacing w:after="80" w:before="0"/>
      </w:pPr>
    </w:p>
    <w:p>
      <w:r>
        <w:rPr>
          <w:b/>
        </w:rPr>
        <w:t>3.1</w:t>
      </w:r>
      <w:r>
        <w:t xml:space="preserve"> No data set not listed above may be shared without a written variation to this Addendum signed by the Data Protection Officer of each Party.</w:t>
      </w:r>
    </w:p>
    <w:p>
      <w:pPr>
        <w:spacing w:before="80" w:after="160"/>
        <w:pBdr>
          <w:bottom w:val="single" w:sz="6" w:space="1" w:color="C9D6DE"/>
        </w:pBdr>
      </w:pPr>
    </w:p>
    <w:p>
      <w:pPr>
        <w:pStyle w:val="Heading1"/>
        <w:pBdr>
          <w:bottom w:val="single" w:sz="8" w:space="4" w:color="C9D6DE"/>
        </w:pBdr>
      </w:pPr>
      <w:r>
        <w:t>4. Notice and consent</w:t>
      </w:r>
    </w:p>
    <w:p>
      <w:r>
        <w:rPr>
          <w:b/>
        </w:rPr>
        <w:t>4.1</w:t>
      </w:r>
      <w:r>
        <w:t xml:space="preserve"> The Party collecting Personal Data shall give the Data Principal a notice compliant with the Act and the Rules, stating the Personal Data collected, the purposes, the manner of exercising rights, and the manner of making a complaint to the Data Protection Board.</w:t>
      </w:r>
    </w:p>
    <w:p>
      <w:r>
        <w:rPr>
          <w:b/>
        </w:rPr>
        <w:t>4.2</w:t>
      </w:r>
      <w:r>
        <w:t xml:space="preserve"> Consent shall be free, specific, informed, unconditional and unambiguous, with a clear affirmative action, and shall be limited to the Personal Data necessary for the stated purpose. </w:t>
      </w:r>
      <w:r>
        <w:rPr>
          <w:b/>
        </w:rPr>
        <w:t>Pre-ticked boxes and bundled consent are prohibited.</w:t>
      </w:r>
    </w:p>
    <w:p>
      <w:r>
        <w:rPr>
          <w:b/>
        </w:rPr>
        <w:t>4.3</w:t>
      </w:r>
      <w:r>
        <w:t xml:space="preserve"> A record of consent, including the version of the notice shown and the timestamp, shall be retained for the period the Personal Data is retained and for three years thereafter.</w:t>
      </w:r>
    </w:p>
    <w:p>
      <w:r>
        <w:rPr>
          <w:b/>
        </w:rPr>
        <w:t>4.4</w:t>
      </w:r>
      <w:r>
        <w:t xml:space="preserve"> A Data Principal may withdraw consent at any time with the same ease as it was given. On withdrawal, processing shall cease and Personal Data shall be erased unless retention is required by law, and the other Party shall be notified where it holds a copy.</w:t>
      </w:r>
    </w:p>
    <w:p>
      <w:r>
        <w:rPr>
          <w:b/>
        </w:rPr>
        <w:t>4.5 Marketing.</w:t>
      </w:r>
      <w:r>
        <w:t xml:space="preserve"> Personal Data collected for an Activity </w:t>
      </w:r>
      <w:r>
        <w:rPr>
          <w:b/>
        </w:rPr>
        <w:t>shall not</w:t>
      </w:r>
      <w:r>
        <w:t xml:space="preserve"> be used for marketing, mailing lists or promotion of other programmes without separate, specific consent obtained at the point of collection with a distinct opt-in.</w:t>
      </w:r>
    </w:p>
    <w:p>
      <w:pPr>
        <w:spacing w:before="80" w:after="160"/>
        <w:pBdr>
          <w:bottom w:val="single" w:sz="6" w:space="1" w:color="C9D6DE"/>
        </w:pBdr>
      </w:pPr>
    </w:p>
    <w:p>
      <w:pPr>
        <w:pStyle w:val="Heading1"/>
        <w:pBdr>
          <w:bottom w:val="single" w:sz="8" w:space="4" w:color="C9D6DE"/>
        </w:pBdr>
      </w:pPr>
      <w:r>
        <w:t>5. Children and persons with disability</w:t>
      </w:r>
    </w:p>
    <w:p>
      <w:r>
        <w:rPr>
          <w:b/>
        </w:rPr>
        <w:t>5.1</w:t>
      </w:r>
      <w:r>
        <w:t xml:space="preserve"> Where a Participant is under eighteen years of age, </w:t>
      </w:r>
      <w:r>
        <w:rPr>
          <w:b/>
        </w:rPr>
        <w:t>verifiable consent of a parent or lawful guardian</w:t>
      </w:r>
      <w:r>
        <w:t xml:space="preserve"> shall be obtained before any processing, in the manner prescribed.</w:t>
      </w:r>
    </w:p>
    <w:p>
      <w:r>
        <w:rPr>
          <w:b/>
        </w:rPr>
        <w:t>5.2</w:t>
      </w:r>
      <w:r>
        <w:t xml:space="preserve"> Tracking, behavioural monitoring and targeted advertising directed at children shall not be undertaken.</w:t>
      </w:r>
    </w:p>
    <w:p>
      <w:r>
        <w:rPr>
          <w:b/>
        </w:rPr>
        <w:t>5.3</w:t>
      </w:r>
      <w:r>
        <w:t xml:space="preserve"> For any school outreach or cascade activity involving children, the Parties shall agree </w:t>
      </w:r>
      <w:r>
        <w:rPr>
          <w:b/>
        </w:rPr>
        <w:t>in writing before the activity</w:t>
      </w:r>
      <w:r>
        <w:t xml:space="preserve"> which of them, or which school, is the Data Fiduciary, and the Institute shall so far as practicable operate through the school as Data Fiduciary rather than collecting directly.</w:t>
      </w:r>
    </w:p>
    <w:p>
      <w:r>
        <w:rPr>
          <w:b/>
        </w:rPr>
        <w:t>5.4</w:t>
      </w:r>
      <w:r>
        <w:t xml:space="preserve"> Equivalent protection applies to a person with disability who has a lawful guardian.</w:t>
      </w:r>
    </w:p>
    <w:p>
      <w:pPr>
        <w:spacing w:before="80" w:after="160"/>
        <w:pBdr>
          <w:bottom w:val="single" w:sz="6" w:space="1" w:color="C9D6DE"/>
        </w:pBdr>
      </w:pPr>
    </w:p>
    <w:p>
      <w:pPr>
        <w:pStyle w:val="Heading1"/>
        <w:pBdr>
          <w:bottom w:val="single" w:sz="8" w:space="4" w:color="C9D6DE"/>
        </w:pBdr>
      </w:pPr>
      <w:r>
        <w:t>6. Security safeguards</w:t>
      </w:r>
    </w:p>
    <w:p>
      <w:r>
        <w:t>Each Party shall implement reasonable security safeguards, including: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12"/>
            <w:shd w:val="clear" w:color="auto" w:fill="10375C"/>
          </w:tcPr>
          <w:p>
            <w:pPr>
              <w:spacing w:after="50" w:before="50"/>
            </w:pPr>
            <w:r>
              <w:rPr>
                <w:b/>
                <w:color w:val="FFFFFF"/>
                <w:sz w:val="17"/>
              </w:rPr>
              <w:t>Control</w:t>
            </w:r>
          </w:p>
        </w:tc>
        <w:tc>
          <w:tcPr>
            <w:tcW w:type="dxa" w:w="7656"/>
            <w:shd w:val="clear" w:color="auto" w:fill="10375C"/>
          </w:tcPr>
          <w:p>
            <w:pPr>
              <w:spacing w:after="50" w:before="50"/>
            </w:pPr>
            <w:r>
              <w:rPr>
                <w:b/>
                <w:color w:val="FFFFFF"/>
                <w:sz w:val="17"/>
              </w:rPr>
              <w:t>Requirement</w:t>
            </w:r>
          </w:p>
        </w:tc>
      </w:tr>
      <w:tr>
        <w:tc>
          <w:tcPr>
            <w:tcW w:type="dxa" w:w="1812"/>
          </w:tcPr>
          <w:p>
            <w:pPr>
              <w:spacing w:after="50" w:before="50" w:line="252" w:lineRule="auto"/>
            </w:pPr>
            <w:r>
              <w:rPr>
                <w:sz w:val="17"/>
              </w:rPr>
              <w:t>Access control</w:t>
            </w:r>
          </w:p>
        </w:tc>
        <w:tc>
          <w:tcPr>
            <w:tcW w:type="dxa" w:w="7656"/>
          </w:tcPr>
          <w:p>
            <w:pPr>
              <w:spacing w:after="50" w:before="50" w:line="252" w:lineRule="auto"/>
            </w:pPr>
            <w:r>
              <w:rPr>
                <w:sz w:val="17"/>
              </w:rPr>
              <w:t>Role-based, least privilege, individual accounts, no shared credentials</w:t>
            </w:r>
          </w:p>
        </w:tc>
      </w:tr>
      <w:tr>
        <w:tc>
          <w:tcPr>
            <w:tcW w:type="dxa" w:w="1812"/>
            <w:shd w:val="clear" w:color="auto" w:fill="EAF1F4"/>
          </w:tcPr>
          <w:p>
            <w:pPr>
              <w:spacing w:after="50" w:before="50" w:line="252" w:lineRule="auto"/>
            </w:pPr>
            <w:r>
              <w:rPr>
                <w:sz w:val="17"/>
              </w:rPr>
              <w:t>Authentication</w:t>
            </w:r>
          </w:p>
        </w:tc>
        <w:tc>
          <w:tcPr>
            <w:tcW w:type="dxa" w:w="7656"/>
            <w:shd w:val="clear" w:color="auto" w:fill="EAF1F4"/>
          </w:tcPr>
          <w:p>
            <w:pPr>
              <w:spacing w:after="50" w:before="50" w:line="252" w:lineRule="auto"/>
            </w:pPr>
            <w:r>
              <w:rPr>
                <w:sz w:val="17"/>
              </w:rPr>
              <w:t>Multi-factor authentication for administrative access to any system holding Programme Data</w:t>
            </w:r>
          </w:p>
        </w:tc>
      </w:tr>
      <w:tr>
        <w:tc>
          <w:tcPr>
            <w:tcW w:type="dxa" w:w="1812"/>
          </w:tcPr>
          <w:p>
            <w:pPr>
              <w:spacing w:after="50" w:before="50" w:line="252" w:lineRule="auto"/>
            </w:pPr>
            <w:r>
              <w:rPr>
                <w:sz w:val="17"/>
              </w:rPr>
              <w:t>Encryption</w:t>
            </w:r>
          </w:p>
        </w:tc>
        <w:tc>
          <w:tcPr>
            <w:tcW w:type="dxa" w:w="7656"/>
          </w:tcPr>
          <w:p>
            <w:pPr>
              <w:spacing w:after="50" w:before="50" w:line="252" w:lineRule="auto"/>
            </w:pPr>
            <w:r>
              <w:rPr>
                <w:sz w:val="17"/>
              </w:rPr>
              <w:t>In transit by TLS; at rest for any database holding Programme Data</w:t>
            </w:r>
          </w:p>
        </w:tc>
      </w:tr>
      <w:tr>
        <w:tc>
          <w:tcPr>
            <w:tcW w:type="dxa" w:w="1812"/>
            <w:shd w:val="clear" w:color="auto" w:fill="EAF1F4"/>
          </w:tcPr>
          <w:p>
            <w:pPr>
              <w:spacing w:after="50" w:before="50" w:line="252" w:lineRule="auto"/>
            </w:pPr>
            <w:r>
              <w:rPr>
                <w:sz w:val="17"/>
              </w:rPr>
              <w:t>Segregation</w:t>
            </w:r>
          </w:p>
        </w:tc>
        <w:tc>
          <w:tcPr>
            <w:tcW w:type="dxa" w:w="7656"/>
            <w:shd w:val="clear" w:color="auto" w:fill="EAF1F4"/>
          </w:tcPr>
          <w:p>
            <w:pPr>
              <w:spacing w:after="50" w:before="50" w:line="252" w:lineRule="auto"/>
            </w:pPr>
            <w:r>
              <w:rPr>
                <w:sz w:val="17"/>
              </w:rPr>
              <w:t>Programme Data segregated from live case data; no student or intern access to live case data except under clause 8</w:t>
            </w:r>
          </w:p>
        </w:tc>
      </w:tr>
      <w:tr>
        <w:tc>
          <w:tcPr>
            <w:tcW w:type="dxa" w:w="1812"/>
          </w:tcPr>
          <w:p>
            <w:pPr>
              <w:spacing w:after="50" w:before="50" w:line="252" w:lineRule="auto"/>
            </w:pPr>
            <w:r>
              <w:rPr>
                <w:sz w:val="17"/>
              </w:rPr>
              <w:t>Logging</w:t>
            </w:r>
          </w:p>
        </w:tc>
        <w:tc>
          <w:tcPr>
            <w:tcW w:type="dxa" w:w="7656"/>
          </w:tcPr>
          <w:p>
            <w:pPr>
              <w:spacing w:after="50" w:before="50" w:line="252" w:lineRule="auto"/>
            </w:pPr>
            <w:r>
              <w:rPr>
                <w:sz w:val="17"/>
              </w:rPr>
              <w:t>Access and change logs retained for not less than twelve months</w:t>
            </w:r>
          </w:p>
        </w:tc>
      </w:tr>
      <w:tr>
        <w:tc>
          <w:tcPr>
            <w:tcW w:type="dxa" w:w="1812"/>
            <w:shd w:val="clear" w:color="auto" w:fill="EAF1F4"/>
          </w:tcPr>
          <w:p>
            <w:pPr>
              <w:spacing w:after="50" w:before="50" w:line="252" w:lineRule="auto"/>
            </w:pPr>
            <w:r>
              <w:rPr>
                <w:sz w:val="17"/>
              </w:rPr>
              <w:t>Devices</w:t>
            </w:r>
          </w:p>
        </w:tc>
        <w:tc>
          <w:tcPr>
            <w:tcW w:type="dxa" w:w="7656"/>
            <w:shd w:val="clear" w:color="auto" w:fill="EAF1F4"/>
          </w:tcPr>
          <w:p>
            <w:pPr>
              <w:spacing w:after="50" w:before="50" w:line="252" w:lineRule="auto"/>
            </w:pPr>
            <w:r>
              <w:rPr>
                <w:sz w:val="17"/>
              </w:rPr>
              <w:t>No Programme Data on personal devices or personal email; no unencrypted removable media</w:t>
            </w:r>
          </w:p>
        </w:tc>
      </w:tr>
      <w:tr>
        <w:tc>
          <w:tcPr>
            <w:tcW w:type="dxa" w:w="1812"/>
          </w:tcPr>
          <w:p>
            <w:pPr>
              <w:spacing w:after="50" w:before="50" w:line="252" w:lineRule="auto"/>
            </w:pPr>
            <w:r>
              <w:rPr>
                <w:sz w:val="17"/>
              </w:rPr>
              <w:t>Vendors</w:t>
            </w:r>
          </w:p>
        </w:tc>
        <w:tc>
          <w:tcPr>
            <w:tcW w:type="dxa" w:w="7656"/>
          </w:tcPr>
          <w:p>
            <w:pPr>
              <w:spacing w:after="50" w:before="50" w:line="252" w:lineRule="auto"/>
            </w:pPr>
            <w:r>
              <w:rPr>
                <w:sz w:val="17"/>
              </w:rPr>
              <w:t>Any third-party processor engaged under a written contract imposing equivalent obligations, notified to the other Party</w:t>
            </w:r>
          </w:p>
        </w:tc>
      </w:tr>
      <w:tr>
        <w:tc>
          <w:tcPr>
            <w:tcW w:type="dxa" w:w="1812"/>
            <w:shd w:val="clear" w:color="auto" w:fill="EAF1F4"/>
          </w:tcPr>
          <w:p>
            <w:pPr>
              <w:spacing w:after="50" w:before="50" w:line="252" w:lineRule="auto"/>
            </w:pPr>
            <w:r>
              <w:rPr>
                <w:sz w:val="17"/>
              </w:rPr>
              <w:t>Training</w:t>
            </w:r>
          </w:p>
        </w:tc>
        <w:tc>
          <w:tcPr>
            <w:tcW w:type="dxa" w:w="7656"/>
            <w:shd w:val="clear" w:color="auto" w:fill="EAF1F4"/>
          </w:tcPr>
          <w:p>
            <w:pPr>
              <w:spacing w:after="50" w:before="50" w:line="252" w:lineRule="auto"/>
            </w:pPr>
            <w:r>
              <w:rPr>
                <w:sz w:val="17"/>
              </w:rPr>
              <w:t>Annual data protection training for all personnel handling Programme Data</w:t>
            </w:r>
          </w:p>
        </w:tc>
      </w:tr>
      <w:tr>
        <w:tc>
          <w:tcPr>
            <w:tcW w:type="dxa" w:w="1812"/>
          </w:tcPr>
          <w:p>
            <w:pPr>
              <w:spacing w:after="50" w:before="50" w:line="252" w:lineRule="auto"/>
            </w:pPr>
            <w:r>
              <w:rPr>
                <w:sz w:val="17"/>
              </w:rPr>
              <w:t>Disposal</w:t>
            </w:r>
          </w:p>
        </w:tc>
        <w:tc>
          <w:tcPr>
            <w:tcW w:type="dxa" w:w="7656"/>
          </w:tcPr>
          <w:p>
            <w:pPr>
              <w:spacing w:after="50" w:before="50" w:line="252" w:lineRule="auto"/>
            </w:pPr>
            <w:r>
              <w:rPr>
                <w:sz w:val="17"/>
              </w:rPr>
              <w:t>Secure deletion and certificate of destruction for physical records</w:t>
            </w:r>
          </w:p>
        </w:tc>
      </w:tr>
    </w:tbl>
    <w:p>
      <w:pPr>
        <w:spacing w:after="80" w:before="0"/>
      </w:pPr>
    </w:p>
    <w:p>
      <w:pPr>
        <w:spacing w:before="80" w:after="160"/>
        <w:pBdr>
          <w:bottom w:val="single" w:sz="6" w:space="1" w:color="C9D6DE"/>
        </w:pBdr>
      </w:pPr>
    </w:p>
    <w:p>
      <w:pPr>
        <w:pStyle w:val="Heading1"/>
        <w:pBdr>
          <w:bottom w:val="single" w:sz="8" w:space="4" w:color="C9D6DE"/>
        </w:pBdr>
      </w:pPr>
      <w:r>
        <w:t>7. Retention and erasure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298"/>
            <w:shd w:val="clear" w:color="auto" w:fill="10375C"/>
          </w:tcPr>
          <w:p>
            <w:pPr>
              <w:spacing w:after="50" w:before="50"/>
            </w:pPr>
            <w:r>
              <w:rPr>
                <w:b/>
                <w:color w:val="FFFFFF"/>
                <w:sz w:val="17"/>
              </w:rPr>
              <w:t>Data set</w:t>
            </w:r>
          </w:p>
        </w:tc>
        <w:tc>
          <w:tcPr>
            <w:tcW w:type="dxa" w:w="3498"/>
            <w:shd w:val="clear" w:color="auto" w:fill="10375C"/>
          </w:tcPr>
          <w:p>
            <w:pPr>
              <w:spacing w:after="50" w:before="50"/>
            </w:pPr>
            <w:r>
              <w:rPr>
                <w:b/>
                <w:color w:val="FFFFFF"/>
                <w:sz w:val="17"/>
              </w:rPr>
              <w:t>Retention</w:t>
            </w:r>
          </w:p>
        </w:tc>
        <w:tc>
          <w:tcPr>
            <w:tcW w:type="dxa" w:w="2672"/>
            <w:shd w:val="clear" w:color="auto" w:fill="10375C"/>
          </w:tcPr>
          <w:p>
            <w:pPr>
              <w:spacing w:after="50" w:before="50"/>
            </w:pPr>
            <w:r>
              <w:rPr>
                <w:b/>
                <w:color w:val="FFFFFF"/>
                <w:sz w:val="17"/>
              </w:rPr>
              <w:t>Trigger</w:t>
            </w:r>
          </w:p>
        </w:tc>
      </w:tr>
      <w:tr>
        <w:tc>
          <w:tcPr>
            <w:tcW w:type="dxa" w:w="3298"/>
          </w:tcPr>
          <w:p>
            <w:pPr>
              <w:spacing w:after="50" w:before="50" w:line="252" w:lineRule="auto"/>
            </w:pPr>
            <w:r>
              <w:rPr>
                <w:sz w:val="17"/>
              </w:rPr>
              <w:t>Registration, attendance, assessment</w:t>
            </w:r>
          </w:p>
        </w:tc>
        <w:tc>
          <w:tcPr>
            <w:tcW w:type="dxa" w:w="3498"/>
          </w:tcPr>
          <w:p>
            <w:pPr>
              <w:spacing w:after="50" w:before="50" w:line="252" w:lineRule="auto"/>
            </w:pPr>
            <w:r>
              <w:rPr>
                <w:sz w:val="17"/>
              </w:rPr>
              <w:t>7 years</w:t>
            </w:r>
          </w:p>
        </w:tc>
        <w:tc>
          <w:tcPr>
            <w:tcW w:type="dxa" w:w="2672"/>
          </w:tcPr>
          <w:p>
            <w:pPr>
              <w:spacing w:after="50" w:before="50" w:line="252" w:lineRule="auto"/>
            </w:pPr>
            <w:r>
              <w:rPr>
                <w:sz w:val="17"/>
              </w:rPr>
              <w:t>From certification, to permit verification</w:t>
            </w:r>
          </w:p>
        </w:tc>
      </w:tr>
      <w:tr>
        <w:tc>
          <w:tcPr>
            <w:tcW w:type="dxa" w:w="3298"/>
            <w:shd w:val="clear" w:color="auto" w:fill="EAF1F4"/>
          </w:tcPr>
          <w:p>
            <w:pPr>
              <w:spacing w:after="50" w:before="50" w:line="252" w:lineRule="auto"/>
            </w:pPr>
            <w:r>
              <w:rPr>
                <w:sz w:val="17"/>
              </w:rPr>
              <w:t>Certification register</w:t>
            </w:r>
          </w:p>
        </w:tc>
        <w:tc>
          <w:tcPr>
            <w:tcW w:type="dxa" w:w="3498"/>
            <w:shd w:val="clear" w:color="auto" w:fill="EAF1F4"/>
          </w:tcPr>
          <w:p>
            <w:pPr>
              <w:spacing w:after="50" w:before="50" w:line="252" w:lineRule="auto"/>
            </w:pPr>
            <w:r>
              <w:rPr>
                <w:sz w:val="17"/>
              </w:rPr>
              <w:t>Permanent, minimum data set only</w:t>
            </w:r>
          </w:p>
        </w:tc>
        <w:tc>
          <w:tcPr>
            <w:tcW w:type="dxa" w:w="2672"/>
            <w:shd w:val="clear" w:color="auto" w:fill="EAF1F4"/>
          </w:tcPr>
          <w:p>
            <w:pPr>
              <w:spacing w:after="50" w:before="50" w:line="252" w:lineRule="auto"/>
            </w:pPr>
            <w:r>
              <w:rPr>
                <w:sz w:val="17"/>
              </w:rPr>
              <w:t>Verification of credentials</w:t>
            </w:r>
          </w:p>
        </w:tc>
      </w:tr>
      <w:tr>
        <w:tc>
          <w:tcPr>
            <w:tcW w:type="dxa" w:w="3298"/>
          </w:tcPr>
          <w:p>
            <w:pPr>
              <w:spacing w:after="50" w:before="50" w:line="252" w:lineRule="auto"/>
            </w:pPr>
            <w:r>
              <w:rPr>
                <w:sz w:val="17"/>
              </w:rPr>
              <w:t>Internship records</w:t>
            </w:r>
          </w:p>
        </w:tc>
        <w:tc>
          <w:tcPr>
            <w:tcW w:type="dxa" w:w="3498"/>
          </w:tcPr>
          <w:p>
            <w:pPr>
              <w:spacing w:after="50" w:before="50" w:line="252" w:lineRule="auto"/>
            </w:pPr>
            <w:r>
              <w:rPr>
                <w:sz w:val="17"/>
              </w:rPr>
              <w:t>7 years</w:t>
            </w:r>
          </w:p>
        </w:tc>
        <w:tc>
          <w:tcPr>
            <w:tcW w:type="dxa" w:w="2672"/>
          </w:tcPr>
          <w:p>
            <w:pPr>
              <w:spacing w:after="50" w:before="50" w:line="252" w:lineRule="auto"/>
            </w:pPr>
            <w:r>
              <w:rPr>
                <w:sz w:val="17"/>
              </w:rPr>
              <w:t>From completion</w:t>
            </w:r>
          </w:p>
        </w:tc>
      </w:tr>
      <w:tr>
        <w:tc>
          <w:tcPr>
            <w:tcW w:type="dxa" w:w="3298"/>
            <w:shd w:val="clear" w:color="auto" w:fill="EAF1F4"/>
          </w:tcPr>
          <w:p>
            <w:pPr>
              <w:spacing w:after="50" w:before="50" w:line="252" w:lineRule="auto"/>
            </w:pPr>
            <w:r>
              <w:rPr>
                <w:sz w:val="17"/>
              </w:rPr>
              <w:t>Stipend and payment records</w:t>
            </w:r>
          </w:p>
        </w:tc>
        <w:tc>
          <w:tcPr>
            <w:tcW w:type="dxa" w:w="3498"/>
            <w:shd w:val="clear" w:color="auto" w:fill="EAF1F4"/>
          </w:tcPr>
          <w:p>
            <w:pPr>
              <w:spacing w:after="50" w:before="50" w:line="252" w:lineRule="auto"/>
            </w:pPr>
            <w:r>
              <w:rPr>
                <w:sz w:val="17"/>
              </w:rPr>
              <w:t>As required by tax and company law</w:t>
            </w:r>
          </w:p>
        </w:tc>
        <w:tc>
          <w:tcPr>
            <w:tcW w:type="dxa" w:w="2672"/>
            <w:shd w:val="clear" w:color="auto" w:fill="EAF1F4"/>
          </w:tcPr>
          <w:p>
            <w:pPr>
              <w:spacing w:after="50" w:before="50" w:line="252" w:lineRule="auto"/>
            </w:pPr>
            <w:r>
              <w:rPr>
                <w:sz w:val="17"/>
              </w:rPr>
              <w:t>Statutory</w:t>
            </w:r>
          </w:p>
        </w:tc>
      </w:tr>
      <w:tr>
        <w:tc>
          <w:tcPr>
            <w:tcW w:type="dxa" w:w="3298"/>
          </w:tcPr>
          <w:p>
            <w:pPr>
              <w:spacing w:after="50" w:before="50" w:line="252" w:lineRule="auto"/>
            </w:pPr>
            <w:r>
              <w:rPr>
                <w:sz w:val="17"/>
              </w:rPr>
              <w:t>Competition registration</w:t>
            </w:r>
          </w:p>
        </w:tc>
        <w:tc>
          <w:tcPr>
            <w:tcW w:type="dxa" w:w="3498"/>
          </w:tcPr>
          <w:p>
            <w:pPr>
              <w:spacing w:after="50" w:before="50" w:line="252" w:lineRule="auto"/>
            </w:pPr>
            <w:r>
              <w:rPr>
                <w:sz w:val="17"/>
              </w:rPr>
              <w:t>3 years</w:t>
            </w:r>
          </w:p>
        </w:tc>
        <w:tc>
          <w:tcPr>
            <w:tcW w:type="dxa" w:w="2672"/>
          </w:tcPr>
          <w:p>
            <w:pPr>
              <w:spacing w:after="50" w:before="50" w:line="252" w:lineRule="auto"/>
            </w:pPr>
            <w:r>
              <w:rPr>
                <w:sz w:val="17"/>
              </w:rPr>
              <w:t>From the edition</w:t>
            </w:r>
          </w:p>
        </w:tc>
      </w:tr>
      <w:tr>
        <w:tc>
          <w:tcPr>
            <w:tcW w:type="dxa" w:w="3298"/>
            <w:shd w:val="clear" w:color="auto" w:fill="EAF1F4"/>
          </w:tcPr>
          <w:p>
            <w:pPr>
              <w:spacing w:after="50" w:before="50" w:line="252" w:lineRule="auto"/>
            </w:pPr>
            <w:r>
              <w:rPr>
                <w:sz w:val="17"/>
              </w:rPr>
              <w:t>Images and recordings</w:t>
            </w:r>
          </w:p>
        </w:tc>
        <w:tc>
          <w:tcPr>
            <w:tcW w:type="dxa" w:w="3498"/>
            <w:shd w:val="clear" w:color="auto" w:fill="EAF1F4"/>
          </w:tcPr>
          <w:p>
            <w:pPr>
              <w:spacing w:after="50" w:before="50" w:line="252" w:lineRule="auto"/>
            </w:pPr>
            <w:r>
              <w:rPr>
                <w:sz w:val="17"/>
              </w:rPr>
              <w:t>3 years, or until consent withdrawn</w:t>
            </w:r>
          </w:p>
        </w:tc>
        <w:tc>
          <w:tcPr>
            <w:tcW w:type="dxa" w:w="2672"/>
            <w:shd w:val="clear" w:color="auto" w:fill="EAF1F4"/>
          </w:tcPr>
          <w:p>
            <w:pPr>
              <w:spacing w:after="50" w:before="50" w:line="252" w:lineRule="auto"/>
            </w:pPr>
            <w:r>
              <w:rPr>
                <w:sz w:val="17"/>
              </w:rPr>
              <w:t>Whichever is earlier</w:t>
            </w:r>
          </w:p>
        </w:tc>
      </w:tr>
      <w:tr>
        <w:tc>
          <w:tcPr>
            <w:tcW w:type="dxa" w:w="3298"/>
          </w:tcPr>
          <w:p>
            <w:pPr>
              <w:spacing w:after="50" w:before="50" w:line="252" w:lineRule="auto"/>
            </w:pPr>
            <w:r>
              <w:rPr>
                <w:sz w:val="17"/>
              </w:rPr>
              <w:t>Marketing consent records</w:t>
            </w:r>
          </w:p>
        </w:tc>
        <w:tc>
          <w:tcPr>
            <w:tcW w:type="dxa" w:w="3498"/>
          </w:tcPr>
          <w:p>
            <w:pPr>
              <w:spacing w:after="50" w:before="50" w:line="252" w:lineRule="auto"/>
            </w:pPr>
            <w:r>
              <w:rPr>
                <w:sz w:val="17"/>
              </w:rPr>
              <w:t>Until withdrawal, plus 3 years</w:t>
            </w:r>
          </w:p>
        </w:tc>
        <w:tc>
          <w:tcPr>
            <w:tcW w:type="dxa" w:w="2672"/>
          </w:tcPr>
          <w:p>
            <w:pPr>
              <w:spacing w:after="50" w:before="50" w:line="252" w:lineRule="auto"/>
            </w:pPr>
            <w:r>
              <w:rPr>
                <w:sz w:val="17"/>
              </w:rPr>
              <w:t>—</w:t>
            </w:r>
          </w:p>
        </w:tc>
      </w:tr>
      <w:tr>
        <w:tc>
          <w:tcPr>
            <w:tcW w:type="dxa" w:w="3298"/>
            <w:shd w:val="clear" w:color="auto" w:fill="EAF1F4"/>
          </w:tcPr>
          <w:p>
            <w:pPr>
              <w:spacing w:after="50" w:before="50" w:line="252" w:lineRule="auto"/>
            </w:pPr>
            <w:r>
              <w:rPr>
                <w:sz w:val="17"/>
              </w:rPr>
              <w:t>Live matter exposure records</w:t>
            </w:r>
          </w:p>
        </w:tc>
        <w:tc>
          <w:tcPr>
            <w:tcW w:type="dxa" w:w="3498"/>
            <w:shd w:val="clear" w:color="auto" w:fill="EAF1F4"/>
          </w:tcPr>
          <w:p>
            <w:pPr>
              <w:spacing w:after="50" w:before="50" w:line="252" w:lineRule="auto"/>
            </w:pPr>
            <w:r>
              <w:rPr>
                <w:sz w:val="17"/>
              </w:rPr>
              <w:t>Per the Institute's case retention policy</w:t>
            </w:r>
          </w:p>
        </w:tc>
        <w:tc>
          <w:tcPr>
            <w:tcW w:type="dxa" w:w="2672"/>
            <w:shd w:val="clear" w:color="auto" w:fill="EAF1F4"/>
          </w:tcPr>
          <w:p>
            <w:pPr>
              <w:spacing w:after="50" w:before="50" w:line="252" w:lineRule="auto"/>
            </w:pPr>
            <w:r>
              <w:rPr>
                <w:sz w:val="17"/>
              </w:rPr>
              <w:t>—</w:t>
            </w:r>
          </w:p>
        </w:tc>
      </w:tr>
      <w:tr>
        <w:tc>
          <w:tcPr>
            <w:tcW w:type="dxa" w:w="3298"/>
          </w:tcPr>
          <w:p>
            <w:pPr>
              <w:spacing w:after="50" w:before="50" w:line="252" w:lineRule="auto"/>
            </w:pPr>
            <w:r>
              <w:rPr>
                <w:sz w:val="17"/>
              </w:rPr>
              <w:t>Research data sets</w:t>
            </w:r>
          </w:p>
        </w:tc>
        <w:tc>
          <w:tcPr>
            <w:tcW w:type="dxa" w:w="3498"/>
          </w:tcPr>
          <w:p>
            <w:pPr>
              <w:spacing w:after="50" w:before="50" w:line="252" w:lineRule="auto"/>
            </w:pPr>
            <w:r>
              <w:rPr>
                <w:sz w:val="17"/>
              </w:rPr>
              <w:t>As stated in the project note</w:t>
            </w:r>
          </w:p>
        </w:tc>
        <w:tc>
          <w:tcPr>
            <w:tcW w:type="dxa" w:w="2672"/>
          </w:tcPr>
          <w:p>
            <w:pPr>
              <w:spacing w:after="50" w:before="50" w:line="252" w:lineRule="auto"/>
            </w:pPr>
            <w:r>
              <w:rPr>
                <w:sz w:val="17"/>
              </w:rPr>
              <w:t>—</w:t>
            </w:r>
          </w:p>
        </w:tc>
      </w:tr>
    </w:tbl>
    <w:p>
      <w:pPr>
        <w:spacing w:after="80" w:before="0"/>
      </w:pPr>
    </w:p>
    <w:p>
      <w:r>
        <w:t>On expiry of the retention period Personal Data shall be erased or effectively anonymised, and a record of erasure retained.</w:t>
      </w:r>
    </w:p>
    <w:p>
      <w:pPr>
        <w:spacing w:before="80" w:after="160"/>
        <w:pBdr>
          <w:bottom w:val="single" w:sz="6" w:space="1" w:color="C9D6DE"/>
        </w:pBdr>
      </w:pPr>
    </w:p>
    <w:p>
      <w:pPr>
        <w:pStyle w:val="Heading1"/>
        <w:pBdr>
          <w:bottom w:val="single" w:sz="8" w:space="4" w:color="C9D6DE"/>
        </w:pBdr>
      </w:pPr>
      <w:r>
        <w:t>8. Live matters and statutory confidentiality</w:t>
      </w:r>
    </w:p>
    <w:p>
      <w:r>
        <w:rPr>
          <w:b/>
        </w:rPr>
        <w:t>8.1</w:t>
      </w:r>
      <w:r>
        <w:t xml:space="preserve"> Personal Data relating to a live mediation, conciliation or arbitration is additionally protected by the Mediation Act, 2023 and by the Institute's professional obligations.</w:t>
      </w:r>
    </w:p>
    <w:p>
      <w:r>
        <w:rPr>
          <w:b/>
        </w:rPr>
        <w:t>8.2</w:t>
      </w:r>
      <w:r>
        <w:t xml:space="preserve"> No such data shall be disclosed to the University in any circumstance.</w:t>
      </w:r>
    </w:p>
    <w:p>
      <w:r>
        <w:rPr>
          <w:b/>
        </w:rPr>
        <w:t>8.3</w:t>
      </w:r>
      <w:r>
        <w:t xml:space="preserve"> Student exposure to a live matter requires: the informed written consent of every party to that matter; execution by the student of a specific confidentiality undertaking; supervision throughout; and </w:t>
      </w:r>
      <w:r>
        <w:rPr>
          <w:b/>
        </w:rPr>
        <w:t>an absolute prohibition on recording, photography, note removal, and any subsequent reference in any forum including social media, academic work or conversation.</w:t>
      </w:r>
    </w:p>
    <w:p>
      <w:r>
        <w:rPr>
          <w:b/>
        </w:rPr>
        <w:t>8.4</w:t>
      </w:r>
      <w:r>
        <w:t xml:space="preserve"> A breach of clause 8.3 shall be treated as a disciplinary matter by both Parties and reported under clause 10.</w:t>
      </w:r>
    </w:p>
    <w:p>
      <w:pPr>
        <w:spacing w:before="80" w:after="160"/>
        <w:pBdr>
          <w:bottom w:val="single" w:sz="6" w:space="1" w:color="C9D6DE"/>
        </w:pBdr>
      </w:pPr>
    </w:p>
    <w:p>
      <w:pPr>
        <w:pStyle w:val="Heading1"/>
        <w:pBdr>
          <w:bottom w:val="single" w:sz="8" w:space="4" w:color="C9D6DE"/>
        </w:pBdr>
      </w:pPr>
      <w:r>
        <w:t>9. Data principal rights</w:t>
      </w:r>
    </w:p>
    <w:p>
      <w:r>
        <w:rPr>
          <w:b/>
        </w:rPr>
        <w:t>9.1</w:t>
      </w:r>
      <w:r>
        <w:t xml:space="preserve"> Each Party shall enable Data Principals to exercise their rights of access, correction, completion, updating, erasure, grievance redressal and nomination.</w:t>
      </w:r>
    </w:p>
    <w:p>
      <w:r>
        <w:rPr>
          <w:b/>
        </w:rPr>
        <w:t>9.2</w:t>
      </w:r>
      <w:r>
        <w:t xml:space="preserve"> A Party receiving a request relating to Personal Data held by the other shall forward it </w:t>
      </w:r>
      <w:r>
        <w:rPr>
          <w:b/>
        </w:rPr>
        <w:t>within three business days</w:t>
      </w:r>
      <w:r>
        <w:t xml:space="preserve"> and shall co-operate in responding.</w:t>
      </w:r>
    </w:p>
    <w:p>
      <w:r>
        <w:rPr>
          <w:b/>
        </w:rPr>
        <w:t>9.3</w:t>
      </w:r>
      <w:r>
        <w:t xml:space="preserve"> Requests shall be responded to within the period prescribed by the Rules and in any event without undue delay. </w:t>
      </w:r>
      <w:r>
        <w:rPr>
          <w:b/>
        </w:rPr>
        <w:t>[verify — prescribed period.]</w:t>
      </w:r>
    </w:p>
    <w:p>
      <w:r>
        <w:rPr>
          <w:b/>
        </w:rPr>
        <w:t>9.4</w:t>
      </w:r>
      <w:r>
        <w:t xml:space="preserve"> Each Party shall publish the contact details of its Data Protection Officer or designated contact.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5129"/>
            <w:shd w:val="clear" w:color="auto" w:fill="10375C"/>
          </w:tcPr>
          <w:p>
            <w:pPr>
              <w:spacing w:after="50" w:before="50"/>
            </w:pPr>
          </w:p>
        </w:tc>
        <w:tc>
          <w:tcPr>
            <w:tcW w:type="dxa" w:w="2251"/>
            <w:shd w:val="clear" w:color="auto" w:fill="10375C"/>
          </w:tcPr>
          <w:p>
            <w:pPr>
              <w:spacing w:after="50" w:before="50"/>
            </w:pPr>
            <w:r>
              <w:rPr>
                <w:b/>
                <w:color w:val="FFFFFF"/>
                <w:sz w:val="17"/>
              </w:rPr>
              <w:t>University</w:t>
            </w:r>
          </w:p>
        </w:tc>
        <w:tc>
          <w:tcPr>
            <w:tcW w:type="dxa" w:w="2087"/>
            <w:shd w:val="clear" w:color="auto" w:fill="10375C"/>
          </w:tcPr>
          <w:p>
            <w:pPr>
              <w:spacing w:after="50" w:before="50"/>
            </w:pPr>
            <w:r>
              <w:rPr>
                <w:b/>
                <w:color w:val="FFFFFF"/>
                <w:sz w:val="17"/>
              </w:rPr>
              <w:t>Institute</w:t>
            </w:r>
          </w:p>
        </w:tc>
      </w:tr>
      <w:tr>
        <w:tc>
          <w:tcPr>
            <w:tcW w:type="dxa" w:w="5129"/>
          </w:tcPr>
          <w:p>
            <w:pPr>
              <w:spacing w:after="50" w:before="50" w:line="252" w:lineRule="auto"/>
            </w:pPr>
            <w:r>
              <w:rPr>
                <w:sz w:val="17"/>
              </w:rPr>
              <w:t>Data protection contact</w:t>
            </w:r>
          </w:p>
        </w:tc>
        <w:tc>
          <w:tcPr>
            <w:tcW w:type="dxa" w:w="2251"/>
          </w:tcPr>
          <w:p>
            <w:pPr>
              <w:spacing w:after="50" w:before="50" w:line="252" w:lineRule="auto"/>
            </w:pPr>
            <w:r>
              <w:rPr>
                <w:sz w:val="17"/>
              </w:rPr>
              <w:t>[●]</w:t>
            </w:r>
          </w:p>
        </w:tc>
        <w:tc>
          <w:tcPr>
            <w:tcW w:type="dxa" w:w="2087"/>
          </w:tcPr>
          <w:p>
            <w:pPr>
              <w:spacing w:after="50" w:before="50" w:line="252" w:lineRule="auto"/>
            </w:pPr>
            <w:r>
              <w:rPr>
                <w:sz w:val="17"/>
              </w:rPr>
              <w:t>[●]</w:t>
            </w:r>
          </w:p>
        </w:tc>
      </w:tr>
      <w:tr>
        <w:tc>
          <w:tcPr>
            <w:tcW w:type="dxa" w:w="5129"/>
            <w:shd w:val="clear" w:color="auto" w:fill="EAF1F4"/>
          </w:tcPr>
          <w:p>
            <w:pPr>
              <w:spacing w:after="50" w:before="50" w:line="252" w:lineRule="auto"/>
            </w:pPr>
            <w:r>
              <w:rPr>
                <w:sz w:val="17"/>
              </w:rPr>
              <w:t>Email</w:t>
            </w:r>
          </w:p>
        </w:tc>
        <w:tc>
          <w:tcPr>
            <w:tcW w:type="dxa" w:w="2251"/>
            <w:shd w:val="clear" w:color="auto" w:fill="EAF1F4"/>
          </w:tcPr>
          <w:p>
            <w:pPr>
              <w:spacing w:after="50" w:before="50" w:line="252" w:lineRule="auto"/>
            </w:pPr>
            <w:r>
              <w:rPr>
                <w:sz w:val="17"/>
              </w:rPr>
              <w:t>[●]</w:t>
            </w:r>
          </w:p>
        </w:tc>
        <w:tc>
          <w:tcPr>
            <w:tcW w:type="dxa" w:w="2087"/>
            <w:shd w:val="clear" w:color="auto" w:fill="EAF1F4"/>
          </w:tcPr>
          <w:p>
            <w:pPr>
              <w:spacing w:after="50" w:before="50" w:line="252" w:lineRule="auto"/>
            </w:pPr>
            <w:r>
              <w:rPr>
                <w:sz w:val="17"/>
              </w:rPr>
              <w:t>[●]</w:t>
            </w:r>
          </w:p>
        </w:tc>
      </w:tr>
      <w:tr>
        <w:tc>
          <w:tcPr>
            <w:tcW w:type="dxa" w:w="5129"/>
          </w:tcPr>
          <w:p>
            <w:pPr>
              <w:spacing w:after="50" w:before="50" w:line="252" w:lineRule="auto"/>
            </w:pPr>
            <w:r>
              <w:rPr>
                <w:sz w:val="17"/>
              </w:rPr>
              <w:t>Grievance route</w:t>
            </w:r>
          </w:p>
        </w:tc>
        <w:tc>
          <w:tcPr>
            <w:tcW w:type="dxa" w:w="2251"/>
          </w:tcPr>
          <w:p>
            <w:pPr>
              <w:spacing w:after="50" w:before="50" w:line="252" w:lineRule="auto"/>
            </w:pPr>
            <w:r>
              <w:rPr>
                <w:sz w:val="17"/>
              </w:rPr>
              <w:t>[●]</w:t>
            </w:r>
          </w:p>
        </w:tc>
        <w:tc>
          <w:tcPr>
            <w:tcW w:type="dxa" w:w="2087"/>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10. Personal data breach</w:t>
      </w:r>
    </w:p>
    <w:p>
      <w:r>
        <w:rPr>
          <w:b/>
        </w:rPr>
        <w:t>10.1</w:t>
      </w:r>
      <w:r>
        <w:t xml:space="preserve"> A Party becoming aware of a personal data breach affecting Programme Data shall notify the other </w:t>
      </w:r>
      <w:r>
        <w:rPr>
          <w:b/>
        </w:rPr>
        <w:t>within twenty-four hours</w:t>
      </w:r>
      <w:r>
        <w:t>, by email marked urgent to the contact at clause 9.4 and by telephone.</w:t>
      </w:r>
    </w:p>
    <w:p>
      <w:r>
        <w:rPr>
          <w:b/>
        </w:rPr>
        <w:t>10.2</w:t>
      </w:r>
      <w:r>
        <w:t xml:space="preserve"> The notification shall state, so far as known: the nature of the breach; the categories and approximate number of Data Principals and records; the likely consequences; the measures taken or proposed; and the contact point.</w:t>
      </w:r>
    </w:p>
    <w:p>
      <w:r>
        <w:rPr>
          <w:b/>
        </w:rPr>
        <w:t>10.3</w:t>
      </w:r>
      <w:r>
        <w:t xml:space="preserve"> The Parties shall co-operate in investigation, in notification to the Data Protection Board and to affected Data Principals as required, and in remediation.</w:t>
      </w:r>
    </w:p>
    <w:p>
      <w:r>
        <w:rPr>
          <w:b/>
        </w:rPr>
        <w:t>10.4</w:t>
      </w:r>
      <w:r>
        <w:t xml:space="preserve"> Neither Party shall make any public statement about a breach affecting the other without prior consultation, save where required by law.</w:t>
      </w:r>
    </w:p>
    <w:p>
      <w:r>
        <w:rPr>
          <w:b/>
        </w:rPr>
        <w:t>10.5</w:t>
      </w:r>
      <w:r>
        <w:t xml:space="preserve"> A written post-incident review shall be completed within thirty days and shared with both Parties.</w:t>
      </w:r>
    </w:p>
    <w:p>
      <w:pPr>
        <w:spacing w:before="80" w:after="160"/>
        <w:pBdr>
          <w:bottom w:val="single" w:sz="6" w:space="1" w:color="C9D6DE"/>
        </w:pBdr>
      </w:pPr>
    </w:p>
    <w:p>
      <w:pPr>
        <w:pStyle w:val="Heading1"/>
        <w:pBdr>
          <w:bottom w:val="single" w:sz="8" w:space="4" w:color="C9D6DE"/>
        </w:pBdr>
      </w:pPr>
      <w:r>
        <w:t>11. Audit and assurance</w:t>
      </w:r>
    </w:p>
    <w:p>
      <w:r>
        <w:rPr>
          <w:b/>
        </w:rPr>
        <w:t>11.1</w:t>
      </w:r>
      <w:r>
        <w:t xml:space="preserve"> Each Party may, on thirty days' written notice and not more than once in an Academic Year, request written confirmation of compliance with this Addendum, including a description of the safeguards applied and a list of processors engaged.</w:t>
      </w:r>
    </w:p>
    <w:p>
      <w:r>
        <w:rPr>
          <w:b/>
        </w:rPr>
        <w:t>11.2</w:t>
      </w:r>
      <w:r>
        <w:t xml:space="preserve"> Where a breach has occurred, the affected Party may require an audit on fourteen days' notice, at its own cost.</w:t>
      </w:r>
    </w:p>
    <w:p>
      <w:pPr>
        <w:spacing w:before="80" w:after="160"/>
        <w:pBdr>
          <w:bottom w:val="single" w:sz="6" w:space="1" w:color="C9D6DE"/>
        </w:pBdr>
      </w:pPr>
    </w:p>
    <w:p>
      <w:pPr>
        <w:pStyle w:val="Heading1"/>
        <w:pBdr>
          <w:bottom w:val="single" w:sz="8" w:space="4" w:color="C9D6DE"/>
        </w:pBdr>
      </w:pPr>
      <w:r>
        <w:t>12. Cross-border transfer</w:t>
      </w:r>
    </w:p>
    <w:p>
      <w:r>
        <w:t xml:space="preserve">Neither Party shall transfer Programme Data outside India without the prior written consent of the other and compliance with any restriction under the Act, the Rules or any notification of the Central Government. </w:t>
      </w:r>
      <w:r>
        <w:rPr>
          <w:b/>
        </w:rPr>
        <w:t>[verify — current restricted-country position.]</w:t>
      </w:r>
    </w:p>
    <w:p>
      <w:pPr>
        <w:spacing w:before="80" w:after="160"/>
        <w:pBdr>
          <w:bottom w:val="single" w:sz="6" w:space="1" w:color="C9D6DE"/>
        </w:pBdr>
      </w:pPr>
    </w:p>
    <w:p>
      <w:pPr>
        <w:pStyle w:val="Heading1"/>
        <w:pBdr>
          <w:bottom w:val="single" w:sz="8" w:space="4" w:color="C9D6DE"/>
        </w:pBdr>
      </w:pPr>
      <w:r>
        <w:t>13. Term and consequences</w:t>
      </w:r>
    </w:p>
    <w:p>
      <w:r>
        <w:rPr>
          <w:b/>
        </w:rPr>
        <w:t>13.1</w:t>
      </w:r>
      <w:r>
        <w:t xml:space="preserve"> This Addendum takes effect with the Memorandum and continues while any Programme Data is held.</w:t>
      </w:r>
    </w:p>
    <w:p>
      <w:r>
        <w:rPr>
          <w:b/>
        </w:rPr>
        <w:t>13.2</w:t>
      </w:r>
      <w:r>
        <w:t xml:space="preserve"> On expiry or termination of the Memorandum, each Party shall within sixty days return or erase Programme Data held on behalf of or received from the other, save for data it holds in its own right as Data Fiduciary and data required to be retained under clause 7 or by law, and shall certify accordingly.</w:t>
      </w:r>
    </w:p>
    <w:p>
      <w:pPr>
        <w:spacing w:before="80" w:after="160"/>
        <w:pBdr>
          <w:bottom w:val="single" w:sz="6" w:space="1" w:color="C9D6DE"/>
        </w:pBdr>
      </w:pPr>
    </w:p>
    <w:p>
      <w:pPr>
        <w:pStyle w:val="Heading1"/>
        <w:pBdr>
          <w:bottom w:val="single" w:sz="8" w:space="4" w:color="C9D6DE"/>
        </w:pBdr>
      </w:pPr>
      <w:r>
        <w:t>Execution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524"/>
            <w:shd w:val="clear" w:color="auto" w:fill="10375C"/>
          </w:tcPr>
          <w:p>
            <w:pPr>
              <w:spacing w:after="50" w:before="50"/>
            </w:pPr>
            <w:r>
              <w:rPr>
                <w:b/>
                <w:color w:val="FFFFFF"/>
                <w:sz w:val="17"/>
              </w:rPr>
              <w:t>For [●]</w:t>
            </w:r>
          </w:p>
        </w:tc>
        <w:tc>
          <w:tcPr>
            <w:tcW w:type="dxa" w:w="4944"/>
            <w:shd w:val="clear" w:color="auto" w:fill="10375C"/>
          </w:tcPr>
          <w:p>
            <w:pPr>
              <w:spacing w:after="50" w:before="50"/>
            </w:pPr>
            <w:r>
              <w:rPr>
                <w:b/>
                <w:color w:val="FFFFFF"/>
                <w:sz w:val="17"/>
              </w:rPr>
              <w:t>For Equator ADR Institute</w:t>
            </w:r>
          </w:p>
        </w:tc>
      </w:tr>
      <w:tr>
        <w:tc>
          <w:tcPr>
            <w:tcW w:type="dxa" w:w="4524"/>
          </w:tcPr>
          <w:p>
            <w:pPr>
              <w:spacing w:after="50" w:before="50" w:line="252" w:lineRule="auto"/>
            </w:pPr>
            <w:r>
              <w:rPr>
                <w:sz w:val="17"/>
              </w:rPr>
              <w:t>Signature: _______________________</w:t>
            </w:r>
          </w:p>
        </w:tc>
        <w:tc>
          <w:tcPr>
            <w:tcW w:type="dxa" w:w="4944"/>
          </w:tcPr>
          <w:p>
            <w:pPr>
              <w:spacing w:after="50" w:before="50" w:line="252" w:lineRule="auto"/>
            </w:pPr>
            <w:r>
              <w:rPr>
                <w:sz w:val="17"/>
              </w:rPr>
              <w:t>Signature: _______________________</w:t>
            </w:r>
          </w:p>
        </w:tc>
      </w:tr>
      <w:tr>
        <w:tc>
          <w:tcPr>
            <w:tcW w:type="dxa" w:w="4524"/>
            <w:shd w:val="clear" w:color="auto" w:fill="EAF1F4"/>
          </w:tcPr>
          <w:p>
            <w:pPr>
              <w:spacing w:after="50" w:before="50" w:line="252" w:lineRule="auto"/>
            </w:pPr>
            <w:r>
              <w:rPr>
                <w:sz w:val="17"/>
              </w:rPr>
              <w:t>Name: [●]</w:t>
            </w:r>
          </w:p>
        </w:tc>
        <w:tc>
          <w:tcPr>
            <w:tcW w:type="dxa" w:w="4944"/>
            <w:shd w:val="clear" w:color="auto" w:fill="EAF1F4"/>
          </w:tcPr>
          <w:p>
            <w:pPr>
              <w:spacing w:after="50" w:before="50" w:line="252" w:lineRule="auto"/>
            </w:pPr>
            <w:r>
              <w:rPr>
                <w:sz w:val="17"/>
              </w:rPr>
              <w:t>Name: [●]</w:t>
            </w:r>
          </w:p>
        </w:tc>
      </w:tr>
      <w:tr>
        <w:tc>
          <w:tcPr>
            <w:tcW w:type="dxa" w:w="4524"/>
          </w:tcPr>
          <w:p>
            <w:pPr>
              <w:spacing w:after="50" w:before="50" w:line="252" w:lineRule="auto"/>
            </w:pPr>
            <w:r>
              <w:rPr>
                <w:sz w:val="17"/>
              </w:rPr>
              <w:t>Designation: [●]</w:t>
            </w:r>
          </w:p>
        </w:tc>
        <w:tc>
          <w:tcPr>
            <w:tcW w:type="dxa" w:w="4944"/>
          </w:tcPr>
          <w:p>
            <w:pPr>
              <w:spacing w:after="50" w:before="50" w:line="252" w:lineRule="auto"/>
            </w:pPr>
            <w:r>
              <w:rPr>
                <w:sz w:val="17"/>
              </w:rPr>
              <w:t>Designation: [●]</w:t>
            </w:r>
          </w:p>
        </w:tc>
      </w:tr>
      <w:tr>
        <w:tc>
          <w:tcPr>
            <w:tcW w:type="dxa" w:w="4524"/>
            <w:shd w:val="clear" w:color="auto" w:fill="EAF1F4"/>
          </w:tcPr>
          <w:p>
            <w:pPr>
              <w:spacing w:after="50" w:before="50" w:line="252" w:lineRule="auto"/>
            </w:pPr>
            <w:r>
              <w:rPr>
                <w:sz w:val="17"/>
              </w:rPr>
              <w:t>Data Protection Officer reviewed: [●]</w:t>
            </w:r>
          </w:p>
        </w:tc>
        <w:tc>
          <w:tcPr>
            <w:tcW w:type="dxa" w:w="4944"/>
            <w:shd w:val="clear" w:color="auto" w:fill="EAF1F4"/>
          </w:tcPr>
          <w:p>
            <w:pPr>
              <w:spacing w:after="50" w:before="50" w:line="252" w:lineRule="auto"/>
            </w:pPr>
            <w:r>
              <w:rPr>
                <w:sz w:val="17"/>
              </w:rPr>
              <w:t>Data Protection Officer reviewed: [●]</w:t>
            </w:r>
          </w:p>
        </w:tc>
      </w:tr>
      <w:tr>
        <w:tc>
          <w:tcPr>
            <w:tcW w:type="dxa" w:w="4524"/>
          </w:tcPr>
          <w:p>
            <w:pPr>
              <w:spacing w:after="50" w:before="50" w:line="252" w:lineRule="auto"/>
            </w:pPr>
            <w:r>
              <w:rPr>
                <w:sz w:val="17"/>
              </w:rPr>
              <w:t>Date: [●]</w:t>
            </w:r>
          </w:p>
        </w:tc>
        <w:tc>
          <w:tcPr>
            <w:tcW w:type="dxa" w:w="4944"/>
          </w:tcPr>
          <w:p>
            <w:pPr>
              <w:spacing w:after="50" w:before="50" w:line="252" w:lineRule="auto"/>
            </w:pPr>
            <w:r>
              <w:rPr>
                <w:sz w:val="17"/>
              </w:rPr>
              <w:t>Date: [●]</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Data Sharing &amp; DPDP Compliance Addendum</w:t>
    </w:r>
    <w:r>
      <w:rPr>
        <w:rFonts w:ascii="Calibri" w:hAnsi="Calibri"/>
        <w:color w:val="595959"/>
        <w:sz w:val="16"/>
      </w:rPr>
      <w:tab/>
      <w:t>Confidential — Contract template · DPO review required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706FCD8-7034-43D5-97CF-AB100BB9F42E}"/>
</file>

<file path=customXml/itemProps3.xml><?xml version="1.0" encoding="utf-8"?>
<ds:datastoreItem xmlns:ds="http://schemas.openxmlformats.org/officeDocument/2006/customXml" ds:itemID="{651CD9DF-CBE1-4634-BE77-A81751E3CA88}"/>
</file>

<file path=customXml/itemProps4.xml><?xml version="1.0" encoding="utf-8"?>
<ds:datastoreItem xmlns:ds="http://schemas.openxmlformats.org/officeDocument/2006/customXml" ds:itemID="{6B1F3003-726D-48AA-9E4E-A6979B0867A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