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Resource Person &amp; Trainer Engagement Agreement</w:t>
      </w:r>
    </w:p>
    <w:p>
      <w:pPr>
        <w:spacing w:after="280" w:line="276" w:lineRule="auto"/>
      </w:pPr>
      <w:r>
        <w:rPr>
          <w:rFonts w:ascii="Calibri" w:hAnsi="Calibri"/>
          <w:i/>
          <w:color w:val="3E6B8A"/>
          <w:sz w:val="25"/>
        </w:rPr>
        <w:t>Standard engagement terms for trainers, resource persons, session leaders and assessors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EQ-UAP-036</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Contracting</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Contract template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RESOURCE PERSON AND TRAINER ENGAGEMENT AGREEMENT</w:t>
      </w:r>
    </w:p>
    <w:p>
      <w:r>
        <w:rPr>
          <w:b/>
        </w:rPr>
        <w:t>Dated [●]</w:t>
      </w:r>
    </w:p>
    <w:p>
      <w:r>
        <w:rPr>
          <w:b/>
        </w:rPr>
        <w:t>BETWEEN</w:t>
      </w:r>
      <w:r>
        <w:t xml:space="preserve"> </w:t>
      </w:r>
      <w:r>
        <w:rPr>
          <w:b/>
        </w:rPr>
        <w:t>Equator ADR Institute</w:t>
      </w:r>
      <w:r>
        <w:t>, [●] (</w:t>
      </w:r>
      <w:r>
        <w:rPr>
          <w:b/>
        </w:rPr>
        <w:t>the Institute</w:t>
      </w:r>
      <w:r>
        <w:t xml:space="preserve">) </w:t>
      </w:r>
      <w:r>
        <w:rPr>
          <w:b/>
        </w:rPr>
        <w:t>AND</w:t>
      </w:r>
      <w:r>
        <w:t xml:space="preserve"> </w:t>
      </w:r>
      <w:r>
        <w:rPr>
          <w:b/>
        </w:rPr>
        <w:t>[●]</w:t>
      </w:r>
      <w:r>
        <w:t>, of [●], PAN [●] (</w:t>
      </w:r>
      <w:r>
        <w:rPr>
          <w:b/>
        </w:rPr>
        <w:t>the Resource Person</w:t>
      </w:r>
      <w:r>
        <w:t>).</w:t>
      </w:r>
    </w:p>
    <w:p>
      <w:pPr>
        <w:pStyle w:val="Heading2"/>
      </w:pPr>
      <w:r>
        <w:t>1. Engagement</w:t>
      </w:r>
    </w:p>
    <w:p>
      <w:r>
        <w:rPr>
          <w:b/>
        </w:rPr>
        <w:t>1.1</w:t>
      </w:r>
      <w:r>
        <w:t xml:space="preserve"> The Institute engages the Resource Person, and the Resource Person accepts engagement, as an independent professional to deliver the services described in Annexure 1.</w:t>
      </w:r>
    </w:p>
    <w:p>
      <w:r>
        <w:rPr>
          <w:b/>
        </w:rPr>
        <w:t>1.2</w:t>
      </w:r>
      <w:r>
        <w:t xml:space="preserve"> This engagement is </w:t>
      </w:r>
      <w:r>
        <w:rPr>
          <w:b/>
        </w:rPr>
        <w:t>on a principal-to-principal basis. It does not create a relationship of employment, agency or partnership.</w:t>
      </w:r>
      <w:r>
        <w:t xml:space="preserve"> The Resource Person is responsible for his or her own taxes, statutory contributions and insurances.</w:t>
      </w:r>
    </w:p>
    <w:p>
      <w:r>
        <w:rPr>
          <w:b/>
        </w:rPr>
        <w:t>1.3</w:t>
      </w:r>
      <w:r>
        <w:t xml:space="preserve"> The engagement is </w:t>
      </w:r>
      <w:r>
        <w:rPr>
          <w:b/>
        </w:rPr>
        <w:t>non-exclusive</w:t>
      </w:r>
      <w:r>
        <w:t>. The Resource Person may undertake other work, subject to clauses 6 and 9.</w:t>
      </w:r>
    </w:p>
    <w:p>
      <w:pPr>
        <w:pStyle w:val="Heading2"/>
      </w:pPr>
      <w:r>
        <w:t>2. Services</w:t>
      </w:r>
    </w:p>
    <w:p>
      <w:r>
        <w:rPr>
          <w:b/>
        </w:rPr>
        <w:t>2.1</w:t>
      </w:r>
      <w:r>
        <w:t xml:space="preserve"> The Resource Person shall deliver the sessions specified in Annexure 1, in accordance with the Institute's curriculum, session plan and trainer standard.</w:t>
      </w:r>
    </w:p>
    <w:p>
      <w:r>
        <w:rPr>
          <w:b/>
        </w:rPr>
        <w:t>2.2</w:t>
      </w:r>
      <w:r>
        <w:t xml:space="preserve"> The Resource Person shall:</w:t>
      </w:r>
    </w:p>
    <w:p>
      <w:r>
        <w:t>(a) prepare adequately and deliver to the published learning outcomes;</w:t>
      </w:r>
    </w:p>
    <w:p>
      <w:r>
        <w:t xml:space="preserve">(b) use the Institute's approved materials, and submit any additional material for approval not less than </w:t>
      </w:r>
      <w:r>
        <w:rPr>
          <w:b/>
        </w:rPr>
        <w:t>ten business days</w:t>
      </w:r>
      <w:r>
        <w:t xml:space="preserve"> before the session;</w:t>
      </w:r>
    </w:p>
    <w:p>
      <w:r>
        <w:t>(c) participate in briefing and calibration as required;</w:t>
      </w:r>
    </w:p>
    <w:p>
      <w:r>
        <w:t>(d) mark and moderate assessments to the published criteria, and submit marks by the stated date;</w:t>
      </w:r>
    </w:p>
    <w:p>
      <w:r>
        <w:t>(e) complete attendance and session records;</w:t>
      </w:r>
    </w:p>
    <w:p>
      <w:r>
        <w:t>(f) comply with the Institute's Code of Conduct, Ethics and Conflict of Interest Policy and its Safeguarding Policy;</w:t>
      </w:r>
    </w:p>
    <w:p>
      <w:r>
        <w:t>(g) comply with the policies and reasonable directions of any host institution while on its premises; and</w:t>
      </w:r>
    </w:p>
    <w:p>
      <w:r>
        <w:t xml:space="preserve">(h) attend punctually, and give not less than </w:t>
      </w:r>
      <w:r>
        <w:rPr>
          <w:b/>
        </w:rPr>
        <w:t>fourteen days'</w:t>
      </w:r>
      <w:r>
        <w:t xml:space="preserve"> notice of any inability to attend, save in an emergency.</w:t>
      </w:r>
    </w:p>
    <w:p>
      <w:r>
        <w:rPr>
          <w:b/>
        </w:rPr>
        <w:t>2.3</w:t>
      </w:r>
      <w:r>
        <w:t xml:space="preserve"> The Resource Person shall not delegate or substitute without the Institute's prior written consent.</w:t>
      </w:r>
    </w:p>
    <w:p>
      <w:pPr>
        <w:pStyle w:val="Heading2"/>
      </w:pPr>
      <w:r>
        <w:t>3. Fees and expenses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531"/>
            <w:shd w:val="clear" w:color="auto" w:fill="10375C"/>
          </w:tcPr>
          <w:p>
            <w:pPr>
              <w:spacing w:after="50" w:before="50"/>
            </w:pPr>
            <w:r>
              <w:rPr>
                <w:b/>
                <w:color w:val="FFFFFF"/>
                <w:sz w:val="17"/>
              </w:rPr>
              <w:t>Item</w:t>
            </w:r>
          </w:p>
        </w:tc>
        <w:tc>
          <w:tcPr>
            <w:tcW w:type="dxa" w:w="5936"/>
            <w:shd w:val="clear" w:color="auto" w:fill="10375C"/>
          </w:tcPr>
          <w:p>
            <w:pPr>
              <w:spacing w:after="50" w:before="50"/>
            </w:pPr>
            <w:r>
              <w:rPr>
                <w:b/>
                <w:color w:val="FFFFFF"/>
                <w:sz w:val="17"/>
              </w:rPr>
              <w:t>Basis</w:t>
            </w:r>
          </w:p>
        </w:tc>
      </w:tr>
      <w:tr>
        <w:tc>
          <w:tcPr>
            <w:tcW w:type="dxa" w:w="3531"/>
          </w:tcPr>
          <w:p>
            <w:pPr>
              <w:spacing w:after="50" w:before="50" w:line="252" w:lineRule="auto"/>
            </w:pPr>
            <w:r>
              <w:rPr>
                <w:sz w:val="17"/>
              </w:rPr>
              <w:t>Professional fee</w:t>
            </w:r>
          </w:p>
        </w:tc>
        <w:tc>
          <w:tcPr>
            <w:tcW w:type="dxa" w:w="5936"/>
          </w:tcPr>
          <w:p>
            <w:pPr>
              <w:spacing w:after="50" w:before="50" w:line="252" w:lineRule="auto"/>
            </w:pPr>
            <w:r>
              <w:rPr>
                <w:sz w:val="17"/>
              </w:rPr>
              <w:t>₹[●] per session day of [●] hours</w:t>
            </w:r>
          </w:p>
        </w:tc>
      </w:tr>
      <w:tr>
        <w:tc>
          <w:tcPr>
            <w:tcW w:type="dxa" w:w="3531"/>
            <w:shd w:val="clear" w:color="auto" w:fill="EAF1F4"/>
          </w:tcPr>
          <w:p>
            <w:pPr>
              <w:spacing w:after="50" w:before="50" w:line="252" w:lineRule="auto"/>
            </w:pPr>
            <w:r>
              <w:rPr>
                <w:sz w:val="17"/>
              </w:rPr>
              <w:t>Half-day session</w:t>
            </w:r>
          </w:p>
        </w:tc>
        <w:tc>
          <w:tcPr>
            <w:tcW w:type="dxa" w:w="5936"/>
            <w:shd w:val="clear" w:color="auto" w:fill="EAF1F4"/>
          </w:tcPr>
          <w:p>
            <w:pPr>
              <w:spacing w:after="50" w:before="50" w:line="252" w:lineRule="auto"/>
            </w:pPr>
            <w:r>
              <w:rPr>
                <w:sz w:val="17"/>
              </w:rPr>
              <w:t>₹[●]</w:t>
            </w:r>
          </w:p>
        </w:tc>
      </w:tr>
      <w:tr>
        <w:tc>
          <w:tcPr>
            <w:tcW w:type="dxa" w:w="3531"/>
          </w:tcPr>
          <w:p>
            <w:pPr>
              <w:spacing w:after="50" w:before="50" w:line="252" w:lineRule="auto"/>
            </w:pPr>
            <w:r>
              <w:rPr>
                <w:sz w:val="17"/>
              </w:rPr>
              <w:t>Assessment and marking</w:t>
            </w:r>
          </w:p>
        </w:tc>
        <w:tc>
          <w:tcPr>
            <w:tcW w:type="dxa" w:w="5936"/>
          </w:tcPr>
          <w:p>
            <w:pPr>
              <w:spacing w:after="50" w:before="50" w:line="252" w:lineRule="auto"/>
            </w:pPr>
            <w:r>
              <w:rPr>
                <w:sz w:val="17"/>
              </w:rPr>
              <w:t>₹[●] per [●]</w:t>
            </w:r>
          </w:p>
        </w:tc>
      </w:tr>
      <w:tr>
        <w:tc>
          <w:tcPr>
            <w:tcW w:type="dxa" w:w="3531"/>
            <w:shd w:val="clear" w:color="auto" w:fill="EAF1F4"/>
          </w:tcPr>
          <w:p>
            <w:pPr>
              <w:spacing w:after="50" w:before="50" w:line="252" w:lineRule="auto"/>
            </w:pPr>
            <w:r>
              <w:rPr>
                <w:sz w:val="17"/>
              </w:rPr>
              <w:t>Preparation, where separately agreed</w:t>
            </w:r>
          </w:p>
        </w:tc>
        <w:tc>
          <w:tcPr>
            <w:tcW w:type="dxa" w:w="5936"/>
            <w:shd w:val="clear" w:color="auto" w:fill="EAF1F4"/>
          </w:tcPr>
          <w:p>
            <w:pPr>
              <w:spacing w:after="50" w:before="50" w:line="252" w:lineRule="auto"/>
            </w:pPr>
            <w:r>
              <w:rPr>
                <w:sz w:val="17"/>
              </w:rPr>
              <w:t>₹[●]</w:t>
            </w:r>
          </w:p>
        </w:tc>
      </w:tr>
      <w:tr>
        <w:tc>
          <w:tcPr>
            <w:tcW w:type="dxa" w:w="3531"/>
          </w:tcPr>
          <w:p>
            <w:pPr>
              <w:spacing w:after="50" w:before="50" w:line="252" w:lineRule="auto"/>
            </w:pPr>
            <w:r>
              <w:rPr>
                <w:sz w:val="17"/>
              </w:rPr>
              <w:t>Travel</w:t>
            </w:r>
          </w:p>
        </w:tc>
        <w:tc>
          <w:tcPr>
            <w:tcW w:type="dxa" w:w="5936"/>
          </w:tcPr>
          <w:p>
            <w:pPr>
              <w:spacing w:after="50" w:before="50" w:line="252" w:lineRule="auto"/>
            </w:pPr>
            <w:r>
              <w:rPr>
                <w:sz w:val="17"/>
              </w:rPr>
              <w:t>[Economy air / AC II tier rail], at actuals against receipts, pre-approved</w:t>
            </w:r>
          </w:p>
        </w:tc>
      </w:tr>
      <w:tr>
        <w:tc>
          <w:tcPr>
            <w:tcW w:type="dxa" w:w="3531"/>
            <w:shd w:val="clear" w:color="auto" w:fill="EAF1F4"/>
          </w:tcPr>
          <w:p>
            <w:pPr>
              <w:spacing w:after="50" w:before="50" w:line="252" w:lineRule="auto"/>
            </w:pPr>
            <w:r>
              <w:rPr>
                <w:sz w:val="17"/>
              </w:rPr>
              <w:t>Accommodation</w:t>
            </w:r>
          </w:p>
        </w:tc>
        <w:tc>
          <w:tcPr>
            <w:tcW w:type="dxa" w:w="5936"/>
            <w:shd w:val="clear" w:color="auto" w:fill="EAF1F4"/>
          </w:tcPr>
          <w:p>
            <w:pPr>
              <w:spacing w:after="50" w:before="50" w:line="252" w:lineRule="auto"/>
            </w:pPr>
            <w:r>
              <w:rPr>
                <w:sz w:val="17"/>
              </w:rPr>
              <w:t>Up to ₹[●] per night, at actuals, or arranged by the Institute</w:t>
            </w:r>
          </w:p>
        </w:tc>
      </w:tr>
      <w:tr>
        <w:tc>
          <w:tcPr>
            <w:tcW w:type="dxa" w:w="3531"/>
          </w:tcPr>
          <w:p>
            <w:pPr>
              <w:spacing w:after="50" w:before="50" w:line="252" w:lineRule="auto"/>
            </w:pPr>
            <w:r>
              <w:rPr>
                <w:sz w:val="17"/>
              </w:rPr>
              <w:t>Local conveyance and incidentals</w:t>
            </w:r>
          </w:p>
        </w:tc>
        <w:tc>
          <w:tcPr>
            <w:tcW w:type="dxa" w:w="5936"/>
          </w:tcPr>
          <w:p>
            <w:pPr>
              <w:spacing w:after="50" w:before="50" w:line="252" w:lineRule="auto"/>
            </w:pPr>
            <w:r>
              <w:rPr>
                <w:sz w:val="17"/>
              </w:rPr>
              <w:t>₹[●] per day</w:t>
            </w:r>
          </w:p>
        </w:tc>
      </w:tr>
    </w:tbl>
    <w:p>
      <w:pPr>
        <w:spacing w:after="80" w:before="0"/>
      </w:pPr>
    </w:p>
    <w:p>
      <w:r>
        <w:rPr>
          <w:b/>
        </w:rPr>
        <w:t>3.1</w:t>
      </w:r>
      <w:r>
        <w:t xml:space="preserve"> Fees are exclusive of GST where applicable, which shall be charged in addition on a valid tax invoice.</w:t>
      </w:r>
    </w:p>
    <w:p>
      <w:r>
        <w:rPr>
          <w:b/>
        </w:rPr>
        <w:t>3.2</w:t>
      </w:r>
      <w:r>
        <w:t xml:space="preserve"> Tax shall be withheld as required by law and a certificate furnished within the statutory period.</w:t>
      </w:r>
    </w:p>
    <w:p>
      <w:r>
        <w:rPr>
          <w:b/>
        </w:rPr>
        <w:t>3.3</w:t>
      </w:r>
      <w:r>
        <w:t xml:space="preserve"> Invoices submitted with complete session records and expense receipts are payable within </w:t>
      </w:r>
      <w:r>
        <w:rPr>
          <w:b/>
        </w:rPr>
        <w:t>twenty-one days</w:t>
      </w:r>
      <w:r>
        <w:t>.</w:t>
      </w:r>
    </w:p>
    <w:p>
      <w:r>
        <w:rPr>
          <w:b/>
        </w:rPr>
        <w:t>3.4</w:t>
      </w:r>
      <w:r>
        <w:t xml:space="preserve"> Where a session is cancelled by the Institute with fewer than </w:t>
      </w:r>
      <w:r>
        <w:rPr>
          <w:b/>
        </w:rPr>
        <w:t>seven days'</w:t>
      </w:r>
      <w:r>
        <w:t xml:space="preserve"> notice for reasons other than force majeure, 50% of the fee is payable, together with non-refundable travel costs already incurred.</w:t>
      </w:r>
    </w:p>
    <w:p>
      <w:r>
        <w:rPr>
          <w:b/>
        </w:rPr>
        <w:t>3.5</w:t>
      </w:r>
      <w:r>
        <w:t xml:space="preserve"> Where the Resource Person cancels with fewer than fourteen days' notice other than for illness or emergency, no fee is payable and the Institute may recover any non-recoverable cost.</w:t>
      </w:r>
    </w:p>
    <w:p>
      <w:pPr>
        <w:pStyle w:val="Heading2"/>
      </w:pPr>
      <w:r>
        <w:t>4. Intellectual property</w:t>
      </w:r>
    </w:p>
    <w:p>
      <w:r>
        <w:rPr>
          <w:b/>
        </w:rPr>
        <w:t>4.1 Institute materials.</w:t>
      </w:r>
      <w:r>
        <w:t xml:space="preserve"> All curricula, session plans, workbooks, simulations, assessment instruments and competition materials supplied by the Institute remain the exclusive property of the Institute. The Resource Person may use them </w:t>
      </w:r>
      <w:r>
        <w:rPr>
          <w:b/>
        </w:rPr>
        <w:t>only</w:t>
      </w:r>
      <w:r>
        <w:t xml:space="preserve"> for the engaged sessions, and shall not copy, adapt, retain, distribute or use them for any other purpose or engagement.</w:t>
      </w:r>
    </w:p>
    <w:p>
      <w:r>
        <w:rPr>
          <w:b/>
        </w:rPr>
        <w:t>4.2 Commissioned material.</w:t>
      </w:r>
      <w:r>
        <w:t xml:space="preserve"> Any material created by the Resource Person specifically for the Institute under this Agreement, including session content, case studies, simulations, assessment items and competition problems, </w:t>
      </w:r>
      <w:r>
        <w:rPr>
          <w:b/>
        </w:rPr>
        <w:t>vests in the Institute absolutely</w:t>
      </w:r>
      <w:r>
        <w:t xml:space="preserve"> on creation, and the Resource Person assigns all such rights, present and future, to the Institute. The Resource Person shall execute any further document reasonably required to give effect to this clause.</w:t>
      </w:r>
    </w:p>
    <w:p>
      <w:r>
        <w:rPr>
          <w:b/>
        </w:rPr>
        <w:t>4.3 Pre-existing material.</w:t>
      </w:r>
      <w:r>
        <w:t xml:space="preserve"> Material owned by the Resource Person before this engagement remains his or hers. By using it in a session the Resource Person grants the Institute a perpetual, irrevocable, worldwide, royalty-free, non-exclusive licence to use, reproduce and adapt it for the purposes of the programme and its future editions, and to include it in participant materials.</w:t>
      </w:r>
    </w:p>
    <w:p>
      <w:r>
        <w:rPr>
          <w:b/>
        </w:rPr>
        <w:t>4.4 Moral rights.</w:t>
      </w:r>
      <w:r>
        <w:t xml:space="preserve"> The Institute shall attribute authorship where reasonably practicable.</w:t>
      </w:r>
    </w:p>
    <w:p>
      <w:r>
        <w:rPr>
          <w:b/>
        </w:rPr>
        <w:t>4.5 Recording.</w:t>
      </w:r>
      <w:r>
        <w:t xml:space="preserve"> The Institute may record a session for quality assurance and, with the Resource Person's separate written consent, for wider use. </w:t>
      </w:r>
      <w:r>
        <w:rPr>
          <w:b/>
        </w:rPr>
        <w:t>No recording of any live dispute-resolution proceeding is permitted in any circumstance.</w:t>
      </w:r>
    </w:p>
    <w:p>
      <w:pPr>
        <w:pStyle w:val="Heading2"/>
      </w:pPr>
      <w:r>
        <w:t>5. Confidentiality</w:t>
      </w:r>
    </w:p>
    <w:p>
      <w:r>
        <w:rPr>
          <w:b/>
        </w:rPr>
        <w:t>5.1</w:t>
      </w:r>
      <w:r>
        <w:t xml:space="preserve"> The Resource Person shall keep confidential all non-public information of the Institute, of any host institution and of any Participant, and shall not use it except for the engagement.</w:t>
      </w:r>
    </w:p>
    <w:p>
      <w:r>
        <w:rPr>
          <w:b/>
        </w:rPr>
        <w:t>5.2</w:t>
      </w:r>
      <w:r>
        <w:t xml:space="preserve"> Competition problems, confidential briefs and assessment instruments are confidential until publicly released. Disclosure, in whole or in part, before release is a material breach.</w:t>
      </w:r>
    </w:p>
    <w:p>
      <w:r>
        <w:rPr>
          <w:b/>
        </w:rPr>
        <w:t>5.3</w:t>
      </w:r>
      <w:r>
        <w:t xml:space="preserve"> Where the Resource Person is exposed to any live matter, the confidentiality obligations of the Mediation Act, 2023 apply, are perpetual, and include an absolute prohibition on recording.</w:t>
      </w:r>
    </w:p>
    <w:p>
      <w:r>
        <w:rPr>
          <w:b/>
        </w:rPr>
        <w:t>5.4</w:t>
      </w:r>
      <w:r>
        <w:t xml:space="preserve"> These obligations survive termination indefinitely as to clauses 5.2 and 5.3, and for five years otherwise.</w:t>
      </w:r>
    </w:p>
    <w:p>
      <w:pPr>
        <w:pStyle w:val="Heading2"/>
      </w:pPr>
      <w:r>
        <w:t>6. Conflicts of interest</w:t>
      </w:r>
    </w:p>
    <w:p>
      <w:r>
        <w:rPr>
          <w:b/>
        </w:rPr>
        <w:t>6.1</w:t>
      </w:r>
      <w:r>
        <w:t xml:space="preserve"> The Resource Person shall disclose in writing, before accepting an engagement and promptly on it arising, any circumstance which does or might give rise to a conflict, including: any relationship with a Participant or host institution; any concurrent engagement with a competing training provider; any role in a competition in which he or she is coaching or has coached a team; and any interest in a matter to which any Participant or party is connected.</w:t>
      </w:r>
    </w:p>
    <w:p>
      <w:r>
        <w:rPr>
          <w:b/>
        </w:rPr>
        <w:t>6.2</w:t>
      </w:r>
      <w:r>
        <w:t xml:space="preserve"> The Resource Person shall not, during the engagement and for </w:t>
      </w:r>
      <w:r>
        <w:rPr>
          <w:b/>
        </w:rPr>
        <w:t>twelve months</w:t>
      </w:r>
      <w:r>
        <w:t xml:space="preserve"> afterwards, use the Institute's materials or method to deliver a competing programme, whether independently or for a third party.</w:t>
      </w:r>
    </w:p>
    <w:p>
      <w:r>
        <w:rPr>
          <w:b/>
        </w:rPr>
        <w:t>6.3</w:t>
      </w:r>
      <w:r>
        <w:t xml:space="preserve"> The Resource Person shall not solicit any host institution introduced by the Institute for the provision of training services on his or her own account or for a third party, during the engagement and for </w:t>
      </w:r>
      <w:r>
        <w:rPr>
          <w:b/>
        </w:rPr>
        <w:t>twelve months</w:t>
      </w:r>
      <w:r>
        <w:t xml:space="preserve"> afterwards. </w:t>
      </w:r>
      <w:r>
        <w:rPr>
          <w:b/>
        </w:rPr>
        <w:t>[verify — enforceability of restraint under section 27 of the Indian Contract Act, 1872 and the reasonableness of scope and duration.]</w:t>
      </w:r>
    </w:p>
    <w:p>
      <w:pPr>
        <w:pStyle w:val="Heading2"/>
      </w:pPr>
      <w:r>
        <w:t>7. Conduct, safeguarding and non-discrimination</w:t>
      </w:r>
    </w:p>
    <w:p>
      <w:r>
        <w:rPr>
          <w:b/>
        </w:rPr>
        <w:t>7.1</w:t>
      </w:r>
      <w:r>
        <w:t xml:space="preserve"> The Resource Person shall maintain professional standards, treat every Participant with respect, and shall not engage in any conduct amounting to harassment, discrimination or abuse of position.</w:t>
      </w:r>
    </w:p>
    <w:p>
      <w:r>
        <w:rPr>
          <w:b/>
        </w:rPr>
        <w:t>7.2</w:t>
      </w:r>
      <w:r>
        <w:t xml:space="preserve"> The Resource Person shall not form any inappropriate relationship with a Participant, and shall not meet a Participant alone in a non-public setting other than for a legitimate, disclosed academic purpose.</w:t>
      </w:r>
    </w:p>
    <w:p>
      <w:r>
        <w:rPr>
          <w:b/>
        </w:rPr>
        <w:t>7.3</w:t>
      </w:r>
      <w:r>
        <w:t xml:space="preserve"> Where Participants under eighteen are present, the Resource Person shall comply with the Safeguarding Policy in full, including the two-adult rule.</w:t>
      </w:r>
    </w:p>
    <w:p>
      <w:r>
        <w:rPr>
          <w:b/>
        </w:rPr>
        <w:t>7.4</w:t>
      </w:r>
      <w:r>
        <w:t xml:space="preserve"> The Resource Person confirms that there is no matter in his or her background which would render engagement inappropriate, and shall disclose immediately any charge, inquiry or proceeding, professional or criminal, arising during the engagement.</w:t>
      </w:r>
    </w:p>
    <w:p>
      <w:pPr>
        <w:pStyle w:val="Heading2"/>
      </w:pPr>
      <w:r>
        <w:t>8. Representations by the Resource Person</w:t>
      </w:r>
    </w:p>
    <w:p>
      <w:r>
        <w:t>The Resource Person represents that the qualifications and experience stated in Annexure 2 are accurate; that he or she holds any registration or licence required for the services; that performance will not breach any obligation to a third party; and that he or she will not represent himself or herself as an employee or officer of the Institute.</w:t>
      </w:r>
    </w:p>
    <w:p>
      <w:pPr>
        <w:pStyle w:val="Heading2"/>
      </w:pPr>
      <w:r>
        <w:t>9. Term, termination and consequences</w:t>
      </w:r>
    </w:p>
    <w:p>
      <w:r>
        <w:rPr>
          <w:b/>
        </w:rPr>
        <w:t>9.1</w:t>
      </w:r>
      <w:r>
        <w:t xml:space="preserve"> This Agreement takes effect on signature and continues until completion of the services in Annexure 1, or, where the engagement is on a bench basis, until terminated.</w:t>
      </w:r>
    </w:p>
    <w:p>
      <w:r>
        <w:rPr>
          <w:b/>
        </w:rPr>
        <w:t>9.2</w:t>
      </w:r>
      <w:r>
        <w:t xml:space="preserve"> Either Party may terminate on </w:t>
      </w:r>
      <w:r>
        <w:rPr>
          <w:b/>
        </w:rPr>
        <w:t>thirty days'</w:t>
      </w:r>
      <w:r>
        <w:t xml:space="preserve"> written notice.</w:t>
      </w:r>
    </w:p>
    <w:p>
      <w:r>
        <w:rPr>
          <w:b/>
        </w:rPr>
        <w:t>9.3</w:t>
      </w:r>
      <w:r>
        <w:t xml:space="preserve"> The Institute may terminate immediately for material breach, breach of clause 5, 6 or 7, conduct bringing the Institute or a host institution into disrepute, or any matter within clause 7.4.</w:t>
      </w:r>
    </w:p>
    <w:p>
      <w:r>
        <w:rPr>
          <w:b/>
        </w:rPr>
        <w:t>9.4</w:t>
      </w:r>
      <w:r>
        <w:t xml:space="preserve"> On termination the Resource Person shall return or destroy all Institute materials and Participant data, and certify that no copy has been retained.</w:t>
      </w:r>
    </w:p>
    <w:p>
      <w:r>
        <w:rPr>
          <w:b/>
        </w:rPr>
        <w:t>9.5</w:t>
      </w:r>
      <w:r>
        <w:t xml:space="preserve"> Clauses 4, 5, 6.2, 6.3, 10 and 11 survive.</w:t>
      </w:r>
    </w:p>
    <w:p>
      <w:pPr>
        <w:pStyle w:val="Heading2"/>
      </w:pPr>
      <w:r>
        <w:t>10. Liability and indemnity</w:t>
      </w:r>
    </w:p>
    <w:p>
      <w:r>
        <w:rPr>
          <w:b/>
        </w:rPr>
        <w:t>10.1</w:t>
      </w:r>
      <w:r>
        <w:t xml:space="preserve"> The Resource Person shall indemnify the Institute against loss arising from his or her negligence, wilful misconduct, breach of this Agreement or infringement of third-party intellectual property in material supplied.</w:t>
      </w:r>
    </w:p>
    <w:p>
      <w:r>
        <w:rPr>
          <w:b/>
        </w:rPr>
        <w:t>10.2</w:t>
      </w:r>
      <w:r>
        <w:t xml:space="preserve"> The Institute's liability to the Resource Person is limited to the fees payable for the engagement.</w:t>
      </w:r>
    </w:p>
    <w:p>
      <w:pPr>
        <w:pStyle w:val="Heading2"/>
      </w:pPr>
      <w:r>
        <w:t>11. General</w:t>
      </w:r>
    </w:p>
    <w:p>
      <w:r>
        <w:t xml:space="preserve">Governing law: India. Jurisdiction: courts at </w:t>
      </w:r>
      <w:r>
        <w:rPr>
          <w:b/>
        </w:rPr>
        <w:t>[●]</w:t>
      </w:r>
      <w:r>
        <w:t>. Disputes shall first be referred to mediation. Variation must be in writing. This Agreement may be executed in counterparts including electronically. No assignment without consent.</w:t>
      </w:r>
    </w:p>
    <w:p>
      <w:pPr>
        <w:spacing w:before="80" w:after="160"/>
        <w:pBdr>
          <w:bottom w:val="single" w:sz="6" w:space="1" w:color="C9D6DE"/>
        </w:pBdr>
      </w:pPr>
    </w:p>
    <w:p>
      <w:r>
        <w:br w:type="page"/>
      </w:r>
    </w:p>
    <w:p>
      <w:pPr>
        <w:pStyle w:val="Heading1"/>
        <w:pBdr>
          <w:bottom w:val="single" w:sz="8" w:space="4" w:color="C9D6DE"/>
        </w:pBdr>
      </w:pPr>
      <w:r>
        <w:t>Annexure 1 · Services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819"/>
            <w:shd w:val="clear" w:color="auto" w:fill="10375C"/>
          </w:tcPr>
          <w:p>
            <w:pPr>
              <w:spacing w:after="50" w:before="50"/>
            </w:pPr>
            <w:r>
              <w:rPr>
                <w:b/>
                <w:color w:val="FFFFFF"/>
                <w:sz w:val="17"/>
              </w:rPr>
              <w:t>Item</w:t>
            </w:r>
          </w:p>
        </w:tc>
        <w:tc>
          <w:tcPr>
            <w:tcW w:type="dxa" w:w="1649"/>
            <w:shd w:val="clear" w:color="auto" w:fill="10375C"/>
          </w:tcPr>
          <w:p>
            <w:pPr>
              <w:spacing w:after="50" w:before="50"/>
            </w:pPr>
            <w:r>
              <w:rPr>
                <w:b/>
                <w:color w:val="FFFFFF"/>
                <w:sz w:val="17"/>
              </w:rPr>
              <w:t>Detail</w:t>
            </w:r>
          </w:p>
        </w:tc>
      </w:tr>
      <w:tr>
        <w:tc>
          <w:tcPr>
            <w:tcW w:type="dxa" w:w="7819"/>
          </w:tcPr>
          <w:p>
            <w:pPr>
              <w:spacing w:after="50" w:before="50" w:line="252" w:lineRule="auto"/>
            </w:pPr>
            <w:r>
              <w:rPr>
                <w:sz w:val="17"/>
              </w:rPr>
              <w:t>Programme</w:t>
            </w:r>
          </w:p>
        </w:tc>
        <w:tc>
          <w:tcPr>
            <w:tcW w:type="dxa" w:w="1649"/>
          </w:tcPr>
          <w:p>
            <w:pPr>
              <w:spacing w:after="50" w:before="50" w:line="252" w:lineRule="auto"/>
            </w:pPr>
            <w:r>
              <w:rPr>
                <w:sz w:val="17"/>
              </w:rPr>
              <w:t>[●]</w:t>
            </w:r>
          </w:p>
        </w:tc>
      </w:tr>
      <w:tr>
        <w:tc>
          <w:tcPr>
            <w:tcW w:type="dxa" w:w="7819"/>
            <w:shd w:val="clear" w:color="auto" w:fill="EAF1F4"/>
          </w:tcPr>
          <w:p>
            <w:pPr>
              <w:spacing w:after="50" w:before="50" w:line="252" w:lineRule="auto"/>
            </w:pPr>
            <w:r>
              <w:rPr>
                <w:sz w:val="17"/>
              </w:rPr>
              <w:t>Host institution and venue</w:t>
            </w:r>
          </w:p>
        </w:tc>
        <w:tc>
          <w:tcPr>
            <w:tcW w:type="dxa" w:w="1649"/>
            <w:shd w:val="clear" w:color="auto" w:fill="EAF1F4"/>
          </w:tcPr>
          <w:p>
            <w:pPr>
              <w:spacing w:after="50" w:before="50" w:line="252" w:lineRule="auto"/>
            </w:pPr>
            <w:r>
              <w:rPr>
                <w:sz w:val="17"/>
              </w:rPr>
              <w:t>[●]</w:t>
            </w:r>
          </w:p>
        </w:tc>
      </w:tr>
      <w:tr>
        <w:tc>
          <w:tcPr>
            <w:tcW w:type="dxa" w:w="7819"/>
          </w:tcPr>
          <w:p>
            <w:pPr>
              <w:spacing w:after="50" w:before="50" w:line="252" w:lineRule="auto"/>
            </w:pPr>
            <w:r>
              <w:rPr>
                <w:sz w:val="17"/>
              </w:rPr>
              <w:t>Dates</w:t>
            </w:r>
          </w:p>
        </w:tc>
        <w:tc>
          <w:tcPr>
            <w:tcW w:type="dxa" w:w="1649"/>
          </w:tcPr>
          <w:p>
            <w:pPr>
              <w:spacing w:after="50" w:before="50" w:line="252" w:lineRule="auto"/>
            </w:pPr>
            <w:r>
              <w:rPr>
                <w:sz w:val="17"/>
              </w:rPr>
              <w:t>[●]</w:t>
            </w:r>
          </w:p>
        </w:tc>
      </w:tr>
      <w:tr>
        <w:tc>
          <w:tcPr>
            <w:tcW w:type="dxa" w:w="7819"/>
            <w:shd w:val="clear" w:color="auto" w:fill="EAF1F4"/>
          </w:tcPr>
          <w:p>
            <w:pPr>
              <w:spacing w:after="50" w:before="50" w:line="252" w:lineRule="auto"/>
            </w:pPr>
            <w:r>
              <w:rPr>
                <w:sz w:val="17"/>
              </w:rPr>
              <w:t>Sessions allotted</w:t>
            </w:r>
          </w:p>
        </w:tc>
        <w:tc>
          <w:tcPr>
            <w:tcW w:type="dxa" w:w="1649"/>
            <w:shd w:val="clear" w:color="auto" w:fill="EAF1F4"/>
          </w:tcPr>
          <w:p>
            <w:pPr>
              <w:spacing w:after="50" w:before="50" w:line="252" w:lineRule="auto"/>
            </w:pPr>
            <w:r>
              <w:rPr>
                <w:sz w:val="17"/>
              </w:rPr>
              <w:t>[●]</w:t>
            </w:r>
          </w:p>
        </w:tc>
      </w:tr>
      <w:tr>
        <w:tc>
          <w:tcPr>
            <w:tcW w:type="dxa" w:w="7819"/>
          </w:tcPr>
          <w:p>
            <w:pPr>
              <w:spacing w:after="50" w:before="50" w:line="252" w:lineRule="auto"/>
            </w:pPr>
            <w:r>
              <w:rPr>
                <w:sz w:val="17"/>
              </w:rPr>
              <w:t>Hours</w:t>
            </w:r>
          </w:p>
        </w:tc>
        <w:tc>
          <w:tcPr>
            <w:tcW w:type="dxa" w:w="1649"/>
          </w:tcPr>
          <w:p>
            <w:pPr>
              <w:spacing w:after="50" w:before="50" w:line="252" w:lineRule="auto"/>
            </w:pPr>
            <w:r>
              <w:rPr>
                <w:sz w:val="17"/>
              </w:rPr>
              <w:t>[●]</w:t>
            </w:r>
          </w:p>
        </w:tc>
      </w:tr>
      <w:tr>
        <w:tc>
          <w:tcPr>
            <w:tcW w:type="dxa" w:w="7819"/>
            <w:shd w:val="clear" w:color="auto" w:fill="EAF1F4"/>
          </w:tcPr>
          <w:p>
            <w:pPr>
              <w:spacing w:after="50" w:before="50" w:line="252" w:lineRule="auto"/>
            </w:pPr>
            <w:r>
              <w:rPr>
                <w:sz w:val="17"/>
              </w:rPr>
              <w:t>Materials due to the Institute by</w:t>
            </w:r>
          </w:p>
        </w:tc>
        <w:tc>
          <w:tcPr>
            <w:tcW w:type="dxa" w:w="1649"/>
            <w:shd w:val="clear" w:color="auto" w:fill="EAF1F4"/>
          </w:tcPr>
          <w:p>
            <w:pPr>
              <w:spacing w:after="50" w:before="50" w:line="252" w:lineRule="auto"/>
            </w:pPr>
            <w:r>
              <w:rPr>
                <w:sz w:val="17"/>
              </w:rPr>
              <w:t>[●]</w:t>
            </w:r>
          </w:p>
        </w:tc>
      </w:tr>
      <w:tr>
        <w:tc>
          <w:tcPr>
            <w:tcW w:type="dxa" w:w="7819"/>
          </w:tcPr>
          <w:p>
            <w:pPr>
              <w:spacing w:after="50" w:before="50" w:line="252" w:lineRule="auto"/>
            </w:pPr>
            <w:r>
              <w:rPr>
                <w:sz w:val="17"/>
              </w:rPr>
              <w:t>Assessment responsibilities</w:t>
            </w:r>
          </w:p>
        </w:tc>
        <w:tc>
          <w:tcPr>
            <w:tcW w:type="dxa" w:w="1649"/>
          </w:tcPr>
          <w:p>
            <w:pPr>
              <w:spacing w:after="50" w:before="50" w:line="252" w:lineRule="auto"/>
            </w:pPr>
            <w:r>
              <w:rPr>
                <w:sz w:val="17"/>
              </w:rPr>
              <w:t>[●]</w:t>
            </w:r>
          </w:p>
        </w:tc>
      </w:tr>
      <w:tr>
        <w:tc>
          <w:tcPr>
            <w:tcW w:type="dxa" w:w="7819"/>
            <w:shd w:val="clear" w:color="auto" w:fill="EAF1F4"/>
          </w:tcPr>
          <w:p>
            <w:pPr>
              <w:spacing w:after="50" w:before="50" w:line="252" w:lineRule="auto"/>
            </w:pPr>
            <w:r>
              <w:rPr>
                <w:sz w:val="17"/>
              </w:rPr>
              <w:t>Calibration or briefing to attend</w:t>
            </w:r>
          </w:p>
        </w:tc>
        <w:tc>
          <w:tcPr>
            <w:tcW w:type="dxa" w:w="1649"/>
            <w:shd w:val="clear" w:color="auto" w:fill="EAF1F4"/>
          </w:tcPr>
          <w:p>
            <w:pPr>
              <w:spacing w:after="50" w:before="50" w:line="252" w:lineRule="auto"/>
            </w:pPr>
            <w:r>
              <w:rPr>
                <w:sz w:val="17"/>
              </w:rPr>
              <w:t>[●]</w:t>
            </w:r>
          </w:p>
        </w:tc>
      </w:tr>
      <w:tr>
        <w:tc>
          <w:tcPr>
            <w:tcW w:type="dxa" w:w="7819"/>
          </w:tcPr>
          <w:p>
            <w:pPr>
              <w:spacing w:after="50" w:before="50" w:line="252" w:lineRule="auto"/>
            </w:pPr>
            <w:r>
              <w:rPr>
                <w:sz w:val="17"/>
              </w:rPr>
              <w:t>Fee</w:t>
            </w:r>
          </w:p>
        </w:tc>
        <w:tc>
          <w:tcPr>
            <w:tcW w:type="dxa" w:w="1649"/>
          </w:tcPr>
          <w:p>
            <w:pPr>
              <w:spacing w:after="50" w:before="50" w:line="252" w:lineRule="auto"/>
            </w:pPr>
            <w:r>
              <w:rPr>
                <w:sz w:val="17"/>
              </w:rPr>
              <w:t>₹[●]</w:t>
            </w:r>
          </w:p>
        </w:tc>
      </w:tr>
      <w:tr>
        <w:tc>
          <w:tcPr>
            <w:tcW w:type="dxa" w:w="7819"/>
            <w:shd w:val="clear" w:color="auto" w:fill="EAF1F4"/>
          </w:tcPr>
          <w:p>
            <w:pPr>
              <w:spacing w:after="50" w:before="50" w:line="252" w:lineRule="auto"/>
            </w:pPr>
            <w:r>
              <w:rPr>
                <w:sz w:val="17"/>
              </w:rPr>
              <w:t>Travel and accommodation</w:t>
            </w:r>
          </w:p>
        </w:tc>
        <w:tc>
          <w:tcPr>
            <w:tcW w:type="dxa" w:w="1649"/>
            <w:shd w:val="clear" w:color="auto" w:fill="EAF1F4"/>
          </w:tcPr>
          <w:p>
            <w:pPr>
              <w:spacing w:after="50" w:before="50" w:line="252" w:lineRule="auto"/>
            </w:pPr>
            <w:r>
              <w:rPr>
                <w:sz w:val="17"/>
              </w:rPr>
              <w:t>[●]</w:t>
            </w:r>
          </w:p>
        </w:tc>
      </w:tr>
    </w:tbl>
    <w:p>
      <w:pPr>
        <w:spacing w:after="80" w:before="0"/>
      </w:pPr>
    </w:p>
    <w:p>
      <w:pPr>
        <w:pStyle w:val="Heading1"/>
        <w:pBdr>
          <w:bottom w:val="single" w:sz="8" w:space="4" w:color="C9D6DE"/>
        </w:pBdr>
      </w:pPr>
      <w:r>
        <w:t>Annexure 2 · Qualifications and declarations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046"/>
            <w:shd w:val="clear" w:color="auto" w:fill="10375C"/>
          </w:tcPr>
          <w:p>
            <w:pPr>
              <w:spacing w:after="50" w:before="50"/>
            </w:pPr>
            <w:r>
              <w:rPr>
                <w:b/>
                <w:color w:val="FFFFFF"/>
                <w:sz w:val="17"/>
              </w:rPr>
              <w:t>Item</w:t>
            </w:r>
          </w:p>
        </w:tc>
        <w:tc>
          <w:tcPr>
            <w:tcW w:type="dxa" w:w="1422"/>
            <w:shd w:val="clear" w:color="auto" w:fill="10375C"/>
          </w:tcPr>
          <w:p>
            <w:pPr>
              <w:spacing w:after="50" w:before="50"/>
            </w:pPr>
            <w:r>
              <w:rPr>
                <w:b/>
                <w:color w:val="FFFFFF"/>
                <w:sz w:val="17"/>
              </w:rPr>
              <w:t>Entry</w:t>
            </w:r>
          </w:p>
        </w:tc>
      </w:tr>
      <w:tr>
        <w:tc>
          <w:tcPr>
            <w:tcW w:type="dxa" w:w="8046"/>
          </w:tcPr>
          <w:p>
            <w:pPr>
              <w:spacing w:after="50" w:before="50" w:line="252" w:lineRule="auto"/>
            </w:pPr>
            <w:r>
              <w:rPr>
                <w:sz w:val="17"/>
              </w:rPr>
              <w:t>Qualifications</w:t>
            </w:r>
          </w:p>
        </w:tc>
        <w:tc>
          <w:tcPr>
            <w:tcW w:type="dxa" w:w="1422"/>
          </w:tcPr>
          <w:p>
            <w:pPr>
              <w:spacing w:after="50" w:before="50" w:line="252" w:lineRule="auto"/>
            </w:pPr>
            <w:r>
              <w:rPr>
                <w:sz w:val="17"/>
              </w:rPr>
              <w:t>[●]</w:t>
            </w:r>
          </w:p>
        </w:tc>
      </w:tr>
      <w:tr>
        <w:tc>
          <w:tcPr>
            <w:tcW w:type="dxa" w:w="8046"/>
            <w:shd w:val="clear" w:color="auto" w:fill="EAF1F4"/>
          </w:tcPr>
          <w:p>
            <w:pPr>
              <w:spacing w:after="50" w:before="50" w:line="252" w:lineRule="auto"/>
            </w:pPr>
            <w:r>
              <w:rPr>
                <w:sz w:val="17"/>
              </w:rPr>
              <w:t>Mediation or arbitration training completed</w:t>
            </w:r>
          </w:p>
        </w:tc>
        <w:tc>
          <w:tcPr>
            <w:tcW w:type="dxa" w:w="1422"/>
            <w:shd w:val="clear" w:color="auto" w:fill="EAF1F4"/>
          </w:tcPr>
          <w:p>
            <w:pPr>
              <w:spacing w:after="50" w:before="50" w:line="252" w:lineRule="auto"/>
            </w:pPr>
            <w:r>
              <w:rPr>
                <w:sz w:val="17"/>
              </w:rPr>
              <w:t>[●]</w:t>
            </w:r>
          </w:p>
        </w:tc>
      </w:tr>
      <w:tr>
        <w:tc>
          <w:tcPr>
            <w:tcW w:type="dxa" w:w="8046"/>
          </w:tcPr>
          <w:p>
            <w:pPr>
              <w:spacing w:after="50" w:before="50" w:line="252" w:lineRule="auto"/>
            </w:pPr>
            <w:r>
              <w:rPr>
                <w:sz w:val="17"/>
              </w:rPr>
              <w:t>Years of relevant practice</w:t>
            </w:r>
          </w:p>
        </w:tc>
        <w:tc>
          <w:tcPr>
            <w:tcW w:type="dxa" w:w="1422"/>
          </w:tcPr>
          <w:p>
            <w:pPr>
              <w:spacing w:after="50" w:before="50" w:line="252" w:lineRule="auto"/>
            </w:pPr>
            <w:r>
              <w:rPr>
                <w:sz w:val="17"/>
              </w:rPr>
              <w:t>[●]</w:t>
            </w:r>
          </w:p>
        </w:tc>
      </w:tr>
      <w:tr>
        <w:tc>
          <w:tcPr>
            <w:tcW w:type="dxa" w:w="8046"/>
            <w:shd w:val="clear" w:color="auto" w:fill="EAF1F4"/>
          </w:tcPr>
          <w:p>
            <w:pPr>
              <w:spacing w:after="50" w:before="50" w:line="252" w:lineRule="auto"/>
            </w:pPr>
            <w:r>
              <w:rPr>
                <w:sz w:val="17"/>
              </w:rPr>
              <w:t>Current professional engagements</w:t>
            </w:r>
          </w:p>
        </w:tc>
        <w:tc>
          <w:tcPr>
            <w:tcW w:type="dxa" w:w="1422"/>
            <w:shd w:val="clear" w:color="auto" w:fill="EAF1F4"/>
          </w:tcPr>
          <w:p>
            <w:pPr>
              <w:spacing w:after="50" w:before="50" w:line="252" w:lineRule="auto"/>
            </w:pPr>
            <w:r>
              <w:rPr>
                <w:sz w:val="17"/>
              </w:rPr>
              <w:t>[●]</w:t>
            </w:r>
          </w:p>
        </w:tc>
      </w:tr>
      <w:tr>
        <w:tc>
          <w:tcPr>
            <w:tcW w:type="dxa" w:w="8046"/>
          </w:tcPr>
          <w:p>
            <w:pPr>
              <w:spacing w:after="50" w:before="50" w:line="252" w:lineRule="auto"/>
            </w:pPr>
            <w:r>
              <w:rPr>
                <w:sz w:val="17"/>
              </w:rPr>
              <w:t>Concurrent training engagements with other providers</w:t>
            </w:r>
          </w:p>
        </w:tc>
        <w:tc>
          <w:tcPr>
            <w:tcW w:type="dxa" w:w="1422"/>
          </w:tcPr>
          <w:p>
            <w:pPr>
              <w:spacing w:after="50" w:before="50" w:line="252" w:lineRule="auto"/>
            </w:pPr>
            <w:r>
              <w:rPr>
                <w:sz w:val="17"/>
              </w:rPr>
              <w:t>[●]</w:t>
            </w:r>
          </w:p>
        </w:tc>
      </w:tr>
      <w:tr>
        <w:tc>
          <w:tcPr>
            <w:tcW w:type="dxa" w:w="8046"/>
            <w:shd w:val="clear" w:color="auto" w:fill="EAF1F4"/>
          </w:tcPr>
          <w:p>
            <w:pPr>
              <w:spacing w:after="50" w:before="50" w:line="252" w:lineRule="auto"/>
            </w:pPr>
            <w:r>
              <w:rPr>
                <w:sz w:val="17"/>
              </w:rPr>
              <w:t>Any conflict disclosed</w:t>
            </w:r>
          </w:p>
        </w:tc>
        <w:tc>
          <w:tcPr>
            <w:tcW w:type="dxa" w:w="1422"/>
            <w:shd w:val="clear" w:color="auto" w:fill="EAF1F4"/>
          </w:tcPr>
          <w:p>
            <w:pPr>
              <w:spacing w:after="50" w:before="50" w:line="252" w:lineRule="auto"/>
            </w:pPr>
            <w:r>
              <w:rPr>
                <w:sz w:val="17"/>
              </w:rPr>
              <w:t>[●]</w:t>
            </w:r>
          </w:p>
        </w:tc>
      </w:tr>
      <w:tr>
        <w:tc>
          <w:tcPr>
            <w:tcW w:type="dxa" w:w="8046"/>
          </w:tcPr>
          <w:p>
            <w:pPr>
              <w:spacing w:after="50" w:before="50" w:line="252" w:lineRule="auto"/>
            </w:pPr>
            <w:r>
              <w:rPr>
                <w:sz w:val="17"/>
              </w:rPr>
              <w:t>Declaration under clause 7.4</w:t>
            </w:r>
          </w:p>
        </w:tc>
        <w:tc>
          <w:tcPr>
            <w:tcW w:type="dxa" w:w="1422"/>
          </w:tcPr>
          <w:p>
            <w:pPr>
              <w:spacing w:after="50" w:before="50" w:line="252" w:lineRule="auto"/>
            </w:pPr>
            <w:r>
              <w:rPr>
                <w:sz w:val="17"/>
              </w:rPr>
              <w:t>Signed: [●]</w:t>
            </w:r>
          </w:p>
        </w:tc>
      </w:tr>
    </w:tbl>
    <w:p>
      <w:pPr>
        <w:spacing w:after="80" w:before="0"/>
      </w:pPr>
    </w:p>
    <w:p>
      <w:pPr>
        <w:pStyle w:val="Heading1"/>
        <w:pBdr>
          <w:bottom w:val="single" w:sz="8" w:space="4" w:color="C9D6DE"/>
        </w:pBdr>
      </w:pPr>
      <w:r>
        <w:t>Execution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760"/>
            <w:shd w:val="clear" w:color="auto" w:fill="10375C"/>
          </w:tcPr>
          <w:p>
            <w:pPr>
              <w:spacing w:after="50" w:before="50"/>
            </w:pPr>
            <w:r>
              <w:rPr>
                <w:b/>
                <w:color w:val="FFFFFF"/>
                <w:sz w:val="17"/>
              </w:rPr>
              <w:t>Resource Person</w:t>
            </w:r>
          </w:p>
        </w:tc>
        <w:tc>
          <w:tcPr>
            <w:tcW w:type="dxa" w:w="5708"/>
            <w:shd w:val="clear" w:color="auto" w:fill="10375C"/>
          </w:tcPr>
          <w:p>
            <w:pPr>
              <w:spacing w:after="50" w:before="50"/>
            </w:pPr>
            <w:r>
              <w:rPr>
                <w:b/>
                <w:color w:val="FFFFFF"/>
                <w:sz w:val="17"/>
              </w:rPr>
              <w:t>For Equator ADR Institute</w:t>
            </w:r>
          </w:p>
        </w:tc>
      </w:tr>
      <w:tr>
        <w:tc>
          <w:tcPr>
            <w:tcW w:type="dxa" w:w="3760"/>
          </w:tcPr>
          <w:p>
            <w:pPr>
              <w:spacing w:after="50" w:before="50" w:line="252" w:lineRule="auto"/>
            </w:pPr>
            <w:r>
              <w:rPr>
                <w:sz w:val="17"/>
              </w:rPr>
              <w:t>Signature: _______________________</w:t>
            </w:r>
          </w:p>
        </w:tc>
        <w:tc>
          <w:tcPr>
            <w:tcW w:type="dxa" w:w="5708"/>
          </w:tcPr>
          <w:p>
            <w:pPr>
              <w:spacing w:after="50" w:before="50" w:line="252" w:lineRule="auto"/>
            </w:pPr>
            <w:r>
              <w:rPr>
                <w:sz w:val="17"/>
              </w:rPr>
              <w:t>Signature: _______________________</w:t>
            </w:r>
          </w:p>
        </w:tc>
      </w:tr>
      <w:tr>
        <w:tc>
          <w:tcPr>
            <w:tcW w:type="dxa" w:w="3760"/>
            <w:shd w:val="clear" w:color="auto" w:fill="EAF1F4"/>
          </w:tcPr>
          <w:p>
            <w:pPr>
              <w:spacing w:after="50" w:before="50" w:line="252" w:lineRule="auto"/>
            </w:pPr>
            <w:r>
              <w:rPr>
                <w:sz w:val="17"/>
              </w:rPr>
              <w:t>Name: [●]</w:t>
            </w:r>
          </w:p>
        </w:tc>
        <w:tc>
          <w:tcPr>
            <w:tcW w:type="dxa" w:w="5708"/>
            <w:shd w:val="clear" w:color="auto" w:fill="EAF1F4"/>
          </w:tcPr>
          <w:p>
            <w:pPr>
              <w:spacing w:after="50" w:before="50" w:line="252" w:lineRule="auto"/>
            </w:pPr>
            <w:r>
              <w:rPr>
                <w:sz w:val="17"/>
              </w:rPr>
              <w:t>Name: [●]</w:t>
            </w:r>
          </w:p>
        </w:tc>
      </w:tr>
      <w:tr>
        <w:tc>
          <w:tcPr>
            <w:tcW w:type="dxa" w:w="3760"/>
          </w:tcPr>
          <w:p>
            <w:pPr>
              <w:spacing w:after="50" w:before="50" w:line="252" w:lineRule="auto"/>
            </w:pPr>
            <w:r>
              <w:rPr>
                <w:sz w:val="17"/>
              </w:rPr>
              <w:t>PAN: [●]</w:t>
            </w:r>
          </w:p>
        </w:tc>
        <w:tc>
          <w:tcPr>
            <w:tcW w:type="dxa" w:w="5708"/>
          </w:tcPr>
          <w:p>
            <w:pPr>
              <w:spacing w:after="50" w:before="50" w:line="252" w:lineRule="auto"/>
            </w:pPr>
            <w:r>
              <w:rPr>
                <w:sz w:val="17"/>
              </w:rPr>
              <w:t>Designation: Head of Curriculum &amp; Certification</w:t>
            </w:r>
          </w:p>
        </w:tc>
      </w:tr>
      <w:tr>
        <w:tc>
          <w:tcPr>
            <w:tcW w:type="dxa" w:w="3760"/>
            <w:shd w:val="clear" w:color="auto" w:fill="EAF1F4"/>
          </w:tcPr>
          <w:p>
            <w:pPr>
              <w:spacing w:after="50" w:before="50" w:line="252" w:lineRule="auto"/>
            </w:pPr>
            <w:r>
              <w:rPr>
                <w:sz w:val="17"/>
              </w:rPr>
              <w:t>Date: [●]</w:t>
            </w:r>
          </w:p>
        </w:tc>
        <w:tc>
          <w:tcPr>
            <w:tcW w:type="dxa" w:w="5708"/>
            <w:shd w:val="clear" w:color="auto" w:fill="EAF1F4"/>
          </w:tcPr>
          <w:p>
            <w:pPr>
              <w:spacing w:after="50" w:before="50" w:line="252" w:lineRule="auto"/>
            </w:pPr>
            <w:r>
              <w:rPr>
                <w:sz w:val="17"/>
              </w:rPr>
              <w:t>Date: [●]</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EQ-UAP-036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Resource Person &amp; Trainer Engagement Agreement</w:t>
    </w:r>
    <w:r>
      <w:rPr>
        <w:rFonts w:ascii="Calibri" w:hAnsi="Calibri"/>
        <w:color w:val="595959"/>
        <w:sz w:val="16"/>
      </w:rPr>
      <w:tab/>
      <w:t>Confidential — Contract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86463F2-1EE4-41F2-9571-D1A607E6C086}"/>
</file>

<file path=customXml/itemProps3.xml><?xml version="1.0" encoding="utf-8"?>
<ds:datastoreItem xmlns:ds="http://schemas.openxmlformats.org/officeDocument/2006/customXml" ds:itemID="{A2011598-8962-4051-B8FC-27C3795EC2B4}"/>
</file>

<file path=customXml/itemProps4.xml><?xml version="1.0" encoding="utf-8"?>
<ds:datastoreItem xmlns:ds="http://schemas.openxmlformats.org/officeDocument/2006/customXml" ds:itemID="{392814FA-2565-436C-860C-15F838434B0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