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Faculty Neutral Empanelment Agreement</w:t>
      </w:r>
    </w:p>
    <w:p>
      <w:pPr>
        <w:spacing w:after="280" w:line="276" w:lineRule="auto"/>
      </w:pPr>
      <w:r>
        <w:rPr>
          <w:rFonts w:ascii="Calibri" w:hAnsi="Calibri"/>
          <w:i/>
          <w:color w:val="3E6B8A"/>
          <w:sz w:val="25"/>
        </w:rPr>
        <w:t>Terms on which academic faculty are empanelled as mediators, conciliators, arbitrators or assessors with Equator Resolution</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EQ-UAP-037</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Why this agreement matters commercially</w:t>
      </w:r>
    </w:p>
    <w:p>
      <w:r>
        <w:t>Empanelment of faculty is the single most effective mechanism for converting a polite institutional relationship into an active one. A faculty member with a paid seat on the panel has a personal reason to keep the partnership alive. This agreement must therefore be attractive, clear and free of unnecessary restriction — while protecting neutrality absolutely.</w:t>
      </w:r>
    </w:p>
    <w:p>
      <w:pPr>
        <w:spacing w:before="80" w:after="160"/>
        <w:pBdr>
          <w:bottom w:val="single" w:sz="6" w:space="1" w:color="C9D6DE"/>
        </w:pBdr>
      </w:pPr>
    </w:p>
    <w:p>
      <w:pPr>
        <w:pStyle w:val="Heading1"/>
        <w:pBdr>
          <w:bottom w:val="single" w:sz="8" w:space="4" w:color="C9D6DE"/>
        </w:pBdr>
      </w:pPr>
      <w:r>
        <w:t>EMPANELMENT AGREEMENT</w:t>
      </w:r>
    </w:p>
    <w:p>
      <w:r>
        <w:rPr>
          <w:b/>
        </w:rPr>
        <w:t>Dated [●]</w:t>
      </w:r>
    </w:p>
    <w:p>
      <w:r>
        <w:rPr>
          <w:b/>
        </w:rPr>
        <w:t>BETWEEN</w:t>
      </w:r>
      <w:r>
        <w:t xml:space="preserve"> </w:t>
      </w:r>
      <w:r>
        <w:rPr>
          <w:b/>
        </w:rPr>
        <w:t>Equator Resolution</w:t>
      </w:r>
      <w:r>
        <w:t>, [●] (</w:t>
      </w:r>
      <w:r>
        <w:rPr>
          <w:b/>
        </w:rPr>
        <w:t>Equator</w:t>
      </w:r>
      <w:r>
        <w:t xml:space="preserve">) </w:t>
      </w:r>
      <w:r>
        <w:rPr>
          <w:b/>
        </w:rPr>
        <w:t>AND</w:t>
      </w:r>
      <w:r>
        <w:t xml:space="preserve"> </w:t>
      </w:r>
      <w:r>
        <w:rPr>
          <w:b/>
        </w:rPr>
        <w:t>[●]</w:t>
      </w:r>
      <w:r>
        <w:t>, of [●] (</w:t>
      </w:r>
      <w:r>
        <w:rPr>
          <w:b/>
        </w:rPr>
        <w:t>the Neutral</w:t>
      </w:r>
      <w:r>
        <w:t>).</w:t>
      </w:r>
    </w:p>
    <w:p>
      <w:pPr>
        <w:pStyle w:val="Heading2"/>
      </w:pPr>
      <w:r>
        <w:t>1. Empanelment</w:t>
      </w:r>
    </w:p>
    <w:p>
      <w:r>
        <w:rPr>
          <w:b/>
        </w:rPr>
        <w:t>1.1</w:t>
      </w:r>
      <w:r>
        <w:t xml:space="preserve"> Equator empanels the Neutral on its Panel of Neutrals in the following capacities: </w:t>
      </w:r>
      <w:r>
        <w:rPr>
          <w:b/>
        </w:rPr>
        <w:t>[mediator / conciliator / arbitrator / assessor / external committee member]</w:t>
      </w:r>
      <w:r>
        <w:t xml:space="preserve">, in the following verticals: </w:t>
      </w:r>
      <w:r>
        <w:rPr>
          <w:b/>
        </w:rPr>
        <w:t>[●]</w:t>
      </w:r>
      <w:r>
        <w:t>.</w:t>
      </w:r>
    </w:p>
    <w:p>
      <w:r>
        <w:rPr>
          <w:b/>
        </w:rPr>
        <w:t>1.2</w:t>
      </w:r>
      <w:r>
        <w:t xml:space="preserve"> Empanelment is </w:t>
      </w:r>
      <w:r>
        <w:rPr>
          <w:b/>
        </w:rPr>
        <w:t>non-exclusive</w:t>
      </w:r>
      <w:r>
        <w:t>. The Neutral may accept appointments from any other institution, court-annexed centre or party.</w:t>
      </w:r>
    </w:p>
    <w:p>
      <w:r>
        <w:rPr>
          <w:b/>
        </w:rPr>
        <w:t>1.3</w:t>
      </w:r>
      <w:r>
        <w:t xml:space="preserve"> Empanelment does not create employment, agency or partnership, and confers no entitlement to any minimum number of appointments.</w:t>
      </w:r>
    </w:p>
    <w:p>
      <w:r>
        <w:rPr>
          <w:b/>
        </w:rPr>
        <w:t>1.4</w:t>
      </w:r>
      <w:r>
        <w:t xml:space="preserve"> Empanelment is personal and non-transferable.</w:t>
      </w:r>
    </w:p>
    <w:p>
      <w:pPr>
        <w:pStyle w:val="Heading2"/>
      </w:pPr>
      <w:r>
        <w:t>2. Eligibility and continuing conditions</w:t>
      </w:r>
    </w:p>
    <w:p>
      <w:r>
        <w:rPr>
          <w:b/>
        </w:rPr>
        <w:t>2.1</w:t>
      </w:r>
      <w:r>
        <w:t xml:space="preserve"> The Neutral confirms: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478"/>
            <w:shd w:val="clear" w:color="auto" w:fill="10375C"/>
          </w:tcPr>
          <w:p>
            <w:pPr>
              <w:spacing w:after="50" w:before="50"/>
            </w:pPr>
            <w:r>
              <w:rPr>
                <w:b/>
                <w:color w:val="FFFFFF"/>
                <w:sz w:val="17"/>
              </w:rPr>
              <w:t>Requirement</w:t>
            </w:r>
          </w:p>
        </w:tc>
        <w:tc>
          <w:tcPr>
            <w:tcW w:type="dxa" w:w="990"/>
            <w:shd w:val="clear" w:color="auto" w:fill="10375C"/>
          </w:tcPr>
          <w:p>
            <w:pPr>
              <w:spacing w:after="50" w:before="50"/>
            </w:pPr>
            <w:r>
              <w:rPr>
                <w:b/>
                <w:color w:val="FFFFFF"/>
                <w:sz w:val="17"/>
              </w:rPr>
              <w:t>Confirmed</w:t>
            </w:r>
          </w:p>
        </w:tc>
      </w:tr>
      <w:tr>
        <w:tc>
          <w:tcPr>
            <w:tcW w:type="dxa" w:w="8478"/>
          </w:tcPr>
          <w:p>
            <w:pPr>
              <w:spacing w:after="50" w:before="50" w:line="252" w:lineRule="auto"/>
            </w:pPr>
            <w:r>
              <w:rPr>
                <w:sz w:val="17"/>
              </w:rPr>
              <w:t>Basic mediation training of not less than 40 hours completed</w:t>
            </w:r>
          </w:p>
        </w:tc>
        <w:tc>
          <w:tcPr>
            <w:tcW w:type="dxa" w:w="990"/>
          </w:tcPr>
          <w:p>
            <w:pPr>
              <w:spacing w:after="50" w:before="50" w:line="252" w:lineRule="auto"/>
            </w:pPr>
            <w:r>
              <w:rPr>
                <w:sz w:val="17"/>
              </w:rPr>
              <w:t>[●]</w:t>
            </w:r>
          </w:p>
        </w:tc>
      </w:tr>
      <w:tr>
        <w:tc>
          <w:tcPr>
            <w:tcW w:type="dxa" w:w="8478"/>
            <w:shd w:val="clear" w:color="auto" w:fill="EAF1F4"/>
          </w:tcPr>
          <w:p>
            <w:pPr>
              <w:spacing w:after="50" w:before="50" w:line="252" w:lineRule="auto"/>
            </w:pPr>
            <w:r>
              <w:rPr>
                <w:sz w:val="17"/>
              </w:rPr>
              <w:t>Advanced training of not less than 20 hours completed, or scheduled</w:t>
            </w:r>
          </w:p>
        </w:tc>
        <w:tc>
          <w:tcPr>
            <w:tcW w:type="dxa" w:w="990"/>
            <w:shd w:val="clear" w:color="auto" w:fill="EAF1F4"/>
          </w:tcPr>
          <w:p>
            <w:pPr>
              <w:spacing w:after="50" w:before="50" w:line="252" w:lineRule="auto"/>
            </w:pPr>
            <w:r>
              <w:rPr>
                <w:sz w:val="17"/>
              </w:rPr>
              <w:t>[●]</w:t>
            </w:r>
          </w:p>
        </w:tc>
      </w:tr>
      <w:tr>
        <w:tc>
          <w:tcPr>
            <w:tcW w:type="dxa" w:w="8478"/>
          </w:tcPr>
          <w:p>
            <w:pPr>
              <w:spacing w:after="50" w:before="50" w:line="252" w:lineRule="auto"/>
            </w:pPr>
            <w:r>
              <w:rPr>
                <w:sz w:val="17"/>
              </w:rPr>
              <w:t>Supervised practice completed, or a plan agreed</w:t>
            </w:r>
          </w:p>
        </w:tc>
        <w:tc>
          <w:tcPr>
            <w:tcW w:type="dxa" w:w="990"/>
          </w:tcPr>
          <w:p>
            <w:pPr>
              <w:spacing w:after="50" w:before="50" w:line="252" w:lineRule="auto"/>
            </w:pPr>
            <w:r>
              <w:rPr>
                <w:sz w:val="17"/>
              </w:rPr>
              <w:t>[●]</w:t>
            </w:r>
          </w:p>
        </w:tc>
      </w:tr>
      <w:tr>
        <w:tc>
          <w:tcPr>
            <w:tcW w:type="dxa" w:w="8478"/>
            <w:shd w:val="clear" w:color="auto" w:fill="EAF1F4"/>
          </w:tcPr>
          <w:p>
            <w:pPr>
              <w:spacing w:after="50" w:before="50" w:line="252" w:lineRule="auto"/>
            </w:pPr>
            <w:r>
              <w:rPr>
                <w:sz w:val="17"/>
              </w:rPr>
              <w:t>Professional qualification and experience as stated in Annexure 1</w:t>
            </w:r>
          </w:p>
        </w:tc>
        <w:tc>
          <w:tcPr>
            <w:tcW w:type="dxa" w:w="990"/>
            <w:shd w:val="clear" w:color="auto" w:fill="EAF1F4"/>
          </w:tcPr>
          <w:p>
            <w:pPr>
              <w:spacing w:after="50" w:before="50" w:line="252" w:lineRule="auto"/>
            </w:pPr>
            <w:r>
              <w:rPr>
                <w:sz w:val="17"/>
              </w:rPr>
              <w:t>[●]</w:t>
            </w:r>
          </w:p>
        </w:tc>
      </w:tr>
      <w:tr>
        <w:tc>
          <w:tcPr>
            <w:tcW w:type="dxa" w:w="8478"/>
          </w:tcPr>
          <w:p>
            <w:pPr>
              <w:spacing w:after="50" w:before="50" w:line="252" w:lineRule="auto"/>
            </w:pPr>
            <w:r>
              <w:rPr>
                <w:sz w:val="17"/>
              </w:rPr>
              <w:t>No disciplinary or criminal proceeding pending or concluded adversely</w:t>
            </w:r>
          </w:p>
        </w:tc>
        <w:tc>
          <w:tcPr>
            <w:tcW w:type="dxa" w:w="990"/>
          </w:tcPr>
          <w:p>
            <w:pPr>
              <w:spacing w:after="50" w:before="50" w:line="252" w:lineRule="auto"/>
            </w:pPr>
            <w:r>
              <w:rPr>
                <w:sz w:val="17"/>
              </w:rPr>
              <w:t>[●]</w:t>
            </w:r>
          </w:p>
        </w:tc>
      </w:tr>
      <w:tr>
        <w:tc>
          <w:tcPr>
            <w:tcW w:type="dxa" w:w="8478"/>
            <w:shd w:val="clear" w:color="auto" w:fill="EAF1F4"/>
          </w:tcPr>
          <w:p>
            <w:pPr>
              <w:spacing w:after="50" w:before="50" w:line="252" w:lineRule="auto"/>
            </w:pPr>
            <w:r>
              <w:rPr>
                <w:sz w:val="17"/>
              </w:rPr>
              <w:t>Consent of the employing institution, where its rules require it</w:t>
            </w:r>
          </w:p>
        </w:tc>
        <w:tc>
          <w:tcPr>
            <w:tcW w:type="dxa" w:w="990"/>
            <w:shd w:val="clear" w:color="auto" w:fill="EAF1F4"/>
          </w:tcPr>
          <w:p>
            <w:pPr>
              <w:spacing w:after="50" w:before="50" w:line="252" w:lineRule="auto"/>
            </w:pPr>
            <w:r>
              <w:rPr>
                <w:sz w:val="17"/>
              </w:rPr>
              <w:t>[●]</w:t>
            </w:r>
          </w:p>
        </w:tc>
      </w:tr>
    </w:tbl>
    <w:p>
      <w:pPr>
        <w:spacing w:after="80" w:before="0"/>
      </w:pPr>
    </w:p>
    <w:p>
      <w:r>
        <w:rPr>
          <w:b/>
        </w:rPr>
        <w:t>2.2</w:t>
      </w:r>
      <w:r>
        <w:t xml:space="preserve"> The Neutral shall maintain empanelment by: completing not less than </w:t>
      </w:r>
      <w:r>
        <w:rPr>
          <w:b/>
        </w:rPr>
        <w:t>[●] hours</w:t>
      </w:r>
      <w:r>
        <w:t xml:space="preserve"> of continuing professional development each year; attending the annual calibration session; and accepting periodic observation and feedback.</w:t>
      </w:r>
    </w:p>
    <w:p>
      <w:r>
        <w:rPr>
          <w:b/>
        </w:rPr>
        <w:t>2.3</w:t>
      </w:r>
      <w:r>
        <w:t xml:space="preserve"> The Neutral shall notify Equator </w:t>
      </w:r>
      <w:r>
        <w:rPr>
          <w:b/>
        </w:rPr>
        <w:t>within seven days</w:t>
      </w:r>
      <w:r>
        <w:t xml:space="preserve"> of any change affecting eligibility, including any complaint, inquiry, disciplinary proceeding or criminal charge.</w:t>
      </w:r>
    </w:p>
    <w:p>
      <w:pPr>
        <w:pStyle w:val="Heading2"/>
      </w:pPr>
      <w:r>
        <w:t>3. Appointments</w:t>
      </w:r>
    </w:p>
    <w:p>
      <w:r>
        <w:rPr>
          <w:b/>
        </w:rPr>
        <w:t>3.1</w:t>
      </w:r>
      <w:r>
        <w:t xml:space="preserve"> Equator may offer appointments. The Neutral may decline any appointment without reason.</w:t>
      </w:r>
    </w:p>
    <w:p>
      <w:r>
        <w:rPr>
          <w:b/>
        </w:rPr>
        <w:t>3.2</w:t>
      </w:r>
      <w:r>
        <w:t xml:space="preserve"> On accepting an appointment, the Neutral shall conduct it in accordance with: the Mediation Act, 2023 or the Arbitration and Conciliation Act, 1996 as applicable; Equator's rules of procedure; and Equator's Code of Conduct for Neutrals.</w:t>
      </w:r>
    </w:p>
    <w:p>
      <w:r>
        <w:rPr>
          <w:b/>
        </w:rPr>
        <w:t>3.3</w:t>
      </w:r>
      <w:r>
        <w:t xml:space="preserve"> The Neutral shall complete the process within the statutory or agreed timelines, maintain the required records, and submit the settlement agreement or award and the closure report within </w:t>
      </w:r>
      <w:r>
        <w:rPr>
          <w:b/>
        </w:rPr>
        <w:t>seven days</w:t>
      </w:r>
      <w:r>
        <w:t xml:space="preserve"> of conclusion.</w:t>
      </w:r>
    </w:p>
    <w:p>
      <w:r>
        <w:rPr>
          <w:b/>
        </w:rPr>
        <w:t>3.4</w:t>
      </w:r>
      <w:r>
        <w:t xml:space="preserve"> The Neutral shall not delegate the conduct of a matter.</w:t>
      </w:r>
    </w:p>
    <w:p>
      <w:pPr>
        <w:pStyle w:val="Heading2"/>
      </w:pPr>
      <w:r>
        <w:t>4. Independence, conflicts and disclosure</w:t>
      </w:r>
    </w:p>
    <w:p>
      <w:r>
        <w:rPr>
          <w:b/>
        </w:rPr>
        <w:t>4.1</w:t>
      </w:r>
      <w:r>
        <w:t xml:space="preserve"> The Neutral shall be and remain independent and impartial.</w:t>
      </w:r>
    </w:p>
    <w:p>
      <w:r>
        <w:rPr>
          <w:b/>
        </w:rPr>
        <w:t>4.2</w:t>
      </w:r>
      <w:r>
        <w:t xml:space="preserve"> Before accepting any appointment the Neutral shall make full written disclosure of any circumstance likely to give rise to justifiable doubts as to independence or impartiality, including: any relationship with a party, its counsel or a witness; any financial interest; any prior involvement in the matter or a related matter; any teaching, supervisory or examining relationship with an individual involved; and any relationship with an institution which is a party.</w:t>
      </w:r>
    </w:p>
    <w:p>
      <w:r>
        <w:rPr>
          <w:b/>
        </w:rPr>
        <w:t>4.3</w:t>
      </w:r>
      <w:r>
        <w:t xml:space="preserve"> The obligation to disclose is </w:t>
      </w:r>
      <w:r>
        <w:rPr>
          <w:b/>
        </w:rPr>
        <w:t>continuing</w:t>
      </w:r>
      <w:r>
        <w:t xml:space="preserve"> throughout the matter.</w:t>
      </w:r>
    </w:p>
    <w:p>
      <w:r>
        <w:rPr>
          <w:b/>
        </w:rPr>
        <w:t>4.4 University connection.</w:t>
      </w:r>
      <w:r>
        <w:t xml:space="preserve"> Where the Neutral is a member of the faculty of an institution which is a party to a matter, or which has an interest in it, </w:t>
      </w:r>
      <w:r>
        <w:rPr>
          <w:b/>
        </w:rPr>
        <w:t>the Neutral shall not accept the appointment</w:t>
      </w:r>
      <w:r>
        <w:t>. Where the connection is less direct, the Neutral shall disclose it and shall act only with the informed written consent of all parties.</w:t>
      </w:r>
    </w:p>
    <w:p>
      <w:r>
        <w:rPr>
          <w:b/>
        </w:rPr>
        <w:t>4.5</w:t>
      </w:r>
      <w:r>
        <w:t xml:space="preserve"> The Neutral shall not act in any matter arising from a partnership activity in which he or she participated as trainer, coach or assessor, where any Participant is a party or is connected to a party.</w:t>
      </w:r>
    </w:p>
    <w:p>
      <w:pPr>
        <w:pStyle w:val="Heading2"/>
      </w:pPr>
      <w:r>
        <w:t>5. Confidentiality</w:t>
      </w:r>
    </w:p>
    <w:p>
      <w:r>
        <w:rPr>
          <w:b/>
        </w:rPr>
        <w:t>5.1</w:t>
      </w:r>
      <w:r>
        <w:t xml:space="preserve"> The Neutral shall keep confidential all information relating to any matter, in accordance with the Mediation Act, 2023 and Equator's rules, and shall not disclose or use it in any other proceeding, in teaching, in research or in any publication.</w:t>
      </w:r>
    </w:p>
    <w:p>
      <w:r>
        <w:rPr>
          <w:b/>
        </w:rPr>
        <w:t>5.2</w:t>
      </w:r>
      <w:r>
        <w:t xml:space="preserve"> </w:t>
      </w:r>
      <w:r>
        <w:rPr>
          <w:b/>
        </w:rPr>
        <w:t>No audio or video recording of any proceeding is permitted.</w:t>
      </w:r>
    </w:p>
    <w:p>
      <w:r>
        <w:rPr>
          <w:b/>
        </w:rPr>
        <w:t>5.3</w:t>
      </w:r>
      <w:r>
        <w:t xml:space="preserve"> Teaching or writing drawing on the Neutral's experience must be fully anonymised, must not permit identification of any party or matter, and requires Equator's prior written approval where it relates to a matter administered by Equator.</w:t>
      </w:r>
    </w:p>
    <w:p>
      <w:r>
        <w:rPr>
          <w:b/>
        </w:rPr>
        <w:t>5.4</w:t>
      </w:r>
      <w:r>
        <w:t xml:space="preserve"> These obligations are </w:t>
      </w:r>
      <w:r>
        <w:rPr>
          <w:b/>
        </w:rPr>
        <w:t>perpetual</w:t>
      </w:r>
      <w:r>
        <w:t>.</w:t>
      </w:r>
    </w:p>
    <w:p>
      <w:pPr>
        <w:pStyle w:val="Heading2"/>
      </w:pPr>
      <w:r>
        <w:t>6. Fees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444"/>
            <w:shd w:val="clear" w:color="auto" w:fill="10375C"/>
          </w:tcPr>
          <w:p>
            <w:pPr>
              <w:spacing w:after="50" w:before="50"/>
            </w:pPr>
            <w:r>
              <w:rPr>
                <w:b/>
                <w:color w:val="FFFFFF"/>
                <w:sz w:val="17"/>
              </w:rPr>
              <w:t>Item</w:t>
            </w:r>
          </w:p>
        </w:tc>
        <w:tc>
          <w:tcPr>
            <w:tcW w:type="dxa" w:w="5024"/>
            <w:shd w:val="clear" w:color="auto" w:fill="10375C"/>
          </w:tcPr>
          <w:p>
            <w:pPr>
              <w:spacing w:after="50" w:before="50"/>
            </w:pPr>
            <w:r>
              <w:rPr>
                <w:b/>
                <w:color w:val="FFFFFF"/>
                <w:sz w:val="17"/>
              </w:rPr>
              <w:t>Basis</w:t>
            </w:r>
          </w:p>
        </w:tc>
      </w:tr>
      <w:tr>
        <w:tc>
          <w:tcPr>
            <w:tcW w:type="dxa" w:w="4444"/>
          </w:tcPr>
          <w:p>
            <w:pPr>
              <w:spacing w:after="50" w:before="50" w:line="252" w:lineRule="auto"/>
            </w:pPr>
            <w:r>
              <w:rPr>
                <w:sz w:val="17"/>
              </w:rPr>
              <w:t>Mediation, per session of [●] hours</w:t>
            </w:r>
          </w:p>
        </w:tc>
        <w:tc>
          <w:tcPr>
            <w:tcW w:type="dxa" w:w="5024"/>
          </w:tcPr>
          <w:p>
            <w:pPr>
              <w:spacing w:after="50" w:before="50" w:line="252" w:lineRule="auto"/>
            </w:pPr>
            <w:r>
              <w:rPr>
                <w:sz w:val="17"/>
              </w:rPr>
              <w:t>₹[●]</w:t>
            </w:r>
          </w:p>
        </w:tc>
      </w:tr>
      <w:tr>
        <w:tc>
          <w:tcPr>
            <w:tcW w:type="dxa" w:w="4444"/>
            <w:shd w:val="clear" w:color="auto" w:fill="EAF1F4"/>
          </w:tcPr>
          <w:p>
            <w:pPr>
              <w:spacing w:after="50" w:before="50" w:line="252" w:lineRule="auto"/>
            </w:pPr>
            <w:r>
              <w:rPr>
                <w:sz w:val="17"/>
              </w:rPr>
              <w:t>Case preparation and reading</w:t>
            </w:r>
          </w:p>
        </w:tc>
        <w:tc>
          <w:tcPr>
            <w:tcW w:type="dxa" w:w="5024"/>
            <w:shd w:val="clear" w:color="auto" w:fill="EAF1F4"/>
          </w:tcPr>
          <w:p>
            <w:pPr>
              <w:spacing w:after="50" w:before="50" w:line="252" w:lineRule="auto"/>
            </w:pPr>
            <w:r>
              <w:rPr>
                <w:sz w:val="17"/>
              </w:rPr>
              <w:t>₹[●]</w:t>
            </w:r>
          </w:p>
        </w:tc>
      </w:tr>
      <w:tr>
        <w:tc>
          <w:tcPr>
            <w:tcW w:type="dxa" w:w="4444"/>
          </w:tcPr>
          <w:p>
            <w:pPr>
              <w:spacing w:after="50" w:before="50" w:line="252" w:lineRule="auto"/>
            </w:pPr>
            <w:r>
              <w:rPr>
                <w:sz w:val="17"/>
              </w:rPr>
              <w:t>Settlement agreement drafting</w:t>
            </w:r>
          </w:p>
        </w:tc>
        <w:tc>
          <w:tcPr>
            <w:tcW w:type="dxa" w:w="5024"/>
          </w:tcPr>
          <w:p>
            <w:pPr>
              <w:spacing w:after="50" w:before="50" w:line="252" w:lineRule="auto"/>
            </w:pPr>
            <w:r>
              <w:rPr>
                <w:sz w:val="17"/>
              </w:rPr>
              <w:t>₹[●]</w:t>
            </w:r>
          </w:p>
        </w:tc>
      </w:tr>
      <w:tr>
        <w:tc>
          <w:tcPr>
            <w:tcW w:type="dxa" w:w="4444"/>
            <w:shd w:val="clear" w:color="auto" w:fill="EAF1F4"/>
          </w:tcPr>
          <w:p>
            <w:pPr>
              <w:spacing w:after="50" w:before="50" w:line="252" w:lineRule="auto"/>
            </w:pPr>
            <w:r>
              <w:rPr>
                <w:sz w:val="17"/>
              </w:rPr>
              <w:t>Arbitration</w:t>
            </w:r>
          </w:p>
        </w:tc>
        <w:tc>
          <w:tcPr>
            <w:tcW w:type="dxa" w:w="5024"/>
            <w:shd w:val="clear" w:color="auto" w:fill="EAF1F4"/>
          </w:tcPr>
          <w:p>
            <w:pPr>
              <w:spacing w:after="50" w:before="50" w:line="252" w:lineRule="auto"/>
            </w:pPr>
            <w:r>
              <w:rPr>
                <w:sz w:val="17"/>
              </w:rPr>
              <w:t>Per Equator's schedule of fees for the relevant vertical</w:t>
            </w:r>
          </w:p>
        </w:tc>
      </w:tr>
      <w:tr>
        <w:tc>
          <w:tcPr>
            <w:tcW w:type="dxa" w:w="4444"/>
          </w:tcPr>
          <w:p>
            <w:pPr>
              <w:spacing w:after="50" w:before="50" w:line="252" w:lineRule="auto"/>
            </w:pPr>
            <w:r>
              <w:rPr>
                <w:sz w:val="17"/>
              </w:rPr>
              <w:t>External committee member sitting</w:t>
            </w:r>
          </w:p>
        </w:tc>
        <w:tc>
          <w:tcPr>
            <w:tcW w:type="dxa" w:w="5024"/>
          </w:tcPr>
          <w:p>
            <w:pPr>
              <w:spacing w:after="50" w:before="50" w:line="252" w:lineRule="auto"/>
            </w:pPr>
            <w:r>
              <w:rPr>
                <w:sz w:val="17"/>
              </w:rPr>
              <w:t>₹[●]</w:t>
            </w:r>
          </w:p>
        </w:tc>
      </w:tr>
      <w:tr>
        <w:tc>
          <w:tcPr>
            <w:tcW w:type="dxa" w:w="4444"/>
            <w:shd w:val="clear" w:color="auto" w:fill="EAF1F4"/>
          </w:tcPr>
          <w:p>
            <w:pPr>
              <w:spacing w:after="50" w:before="50" w:line="252" w:lineRule="auto"/>
            </w:pPr>
            <w:r>
              <w:rPr>
                <w:sz w:val="17"/>
              </w:rPr>
              <w:t>Competition assessor</w:t>
            </w:r>
          </w:p>
        </w:tc>
        <w:tc>
          <w:tcPr>
            <w:tcW w:type="dxa" w:w="5024"/>
            <w:shd w:val="clear" w:color="auto" w:fill="EAF1F4"/>
          </w:tcPr>
          <w:p>
            <w:pPr>
              <w:spacing w:after="50" w:before="50" w:line="252" w:lineRule="auto"/>
            </w:pPr>
            <w:r>
              <w:rPr>
                <w:sz w:val="17"/>
              </w:rPr>
              <w:t>₹[●] per session, or honorarium as notified</w:t>
            </w:r>
          </w:p>
        </w:tc>
      </w:tr>
      <w:tr>
        <w:tc>
          <w:tcPr>
            <w:tcW w:type="dxa" w:w="4444"/>
          </w:tcPr>
          <w:p>
            <w:pPr>
              <w:spacing w:after="50" w:before="50" w:line="252" w:lineRule="auto"/>
            </w:pPr>
            <w:r>
              <w:rPr>
                <w:sz w:val="17"/>
              </w:rPr>
              <w:t>Travel and accommodation</w:t>
            </w:r>
          </w:p>
        </w:tc>
        <w:tc>
          <w:tcPr>
            <w:tcW w:type="dxa" w:w="5024"/>
          </w:tcPr>
          <w:p>
            <w:pPr>
              <w:spacing w:after="50" w:before="50" w:line="252" w:lineRule="auto"/>
            </w:pPr>
            <w:r>
              <w:rPr>
                <w:sz w:val="17"/>
              </w:rPr>
              <w:t>At actuals, pre-approved, against receipts</w:t>
            </w:r>
          </w:p>
        </w:tc>
      </w:tr>
    </w:tbl>
    <w:p>
      <w:pPr>
        <w:spacing w:after="80" w:before="0"/>
      </w:pPr>
    </w:p>
    <w:p>
      <w:r>
        <w:rPr>
          <w:b/>
        </w:rPr>
        <w:t>6.1</w:t>
      </w:r>
      <w:r>
        <w:t xml:space="preserve"> Fees are exclusive of GST where applicable. Tax shall be withheld as required. Payment within </w:t>
      </w:r>
      <w:r>
        <w:rPr>
          <w:b/>
        </w:rPr>
        <w:t>twenty-one days</w:t>
      </w:r>
      <w:r>
        <w:t xml:space="preserve"> of a complete invoice and closure report.</w:t>
      </w:r>
    </w:p>
    <w:p>
      <w:r>
        <w:rPr>
          <w:b/>
        </w:rPr>
        <w:t>6.2</w:t>
      </w:r>
      <w:r>
        <w:t xml:space="preserve"> The Neutral shall not accept any payment, gift or benefit from a party, directly or indirectly.</w:t>
      </w:r>
    </w:p>
    <w:p>
      <w:pPr>
        <w:pStyle w:val="Heading2"/>
      </w:pPr>
      <w:r>
        <w:t>7. Use of name and profile</w:t>
      </w:r>
    </w:p>
    <w:p>
      <w:r>
        <w:rPr>
          <w:b/>
        </w:rPr>
        <w:t>7.1</w:t>
      </w:r>
      <w:r>
        <w:t xml:space="preserve"> The Neutral consents to the publication of his or her name, photograph, qualifications and areas of practice on Equator's panel listing and in institutional materials.</w:t>
      </w:r>
    </w:p>
    <w:p>
      <w:r>
        <w:rPr>
          <w:b/>
        </w:rPr>
        <w:t>7.2</w:t>
      </w:r>
      <w:r>
        <w:t xml:space="preserve"> The Neutral may state that he or she is empanelled with Equator Resolution, but shall not describe himself or herself as an employee, officer or partner, and shall not use Equator's marks without written approval.</w:t>
      </w:r>
    </w:p>
    <w:p>
      <w:r>
        <w:rPr>
          <w:b/>
        </w:rPr>
        <w:t>7.3</w:t>
      </w:r>
      <w:r>
        <w:t xml:space="preserve"> Consent under 7.1 may be withdrawn on thirty days' notice, whereupon the listing is removed.</w:t>
      </w:r>
    </w:p>
    <w:p>
      <w:pPr>
        <w:pStyle w:val="Heading2"/>
      </w:pPr>
      <w:r>
        <w:t>8. Term, suspension and removal</w:t>
      </w:r>
    </w:p>
    <w:p>
      <w:r>
        <w:rPr>
          <w:b/>
        </w:rPr>
        <w:t>8.1</w:t>
      </w:r>
      <w:r>
        <w:t xml:space="preserve"> Empanelment continues for </w:t>
      </w:r>
      <w:r>
        <w:rPr>
          <w:b/>
        </w:rPr>
        <w:t>[●] years</w:t>
      </w:r>
      <w:r>
        <w:t xml:space="preserve"> and may be renewed.</w:t>
      </w:r>
    </w:p>
    <w:p>
      <w:r>
        <w:rPr>
          <w:b/>
        </w:rPr>
        <w:t>8.2</w:t>
      </w:r>
      <w:r>
        <w:t xml:space="preserve"> Either Party may terminate on </w:t>
      </w:r>
      <w:r>
        <w:rPr>
          <w:b/>
        </w:rPr>
        <w:t>thirty days'</w:t>
      </w:r>
      <w:r>
        <w:t xml:space="preserve"> written notice, without affecting matters in progress, which shall be completed unless the parties to the matter agree otherwise.</w:t>
      </w:r>
    </w:p>
    <w:p>
      <w:r>
        <w:rPr>
          <w:b/>
        </w:rPr>
        <w:t>8.3</w:t>
      </w:r>
      <w:r>
        <w:t xml:space="preserve"> Equator may suspend or remove the Neutral immediately where: there is a breach of clause 4 or 5; a complaint of substance is upheld under Equator's complaints procedure; a criminal charge or disciplinary proceeding is pending which makes continued listing inappropriate; or a continuing condition in clause 2.2 is not met.</w:t>
      </w:r>
    </w:p>
    <w:p>
      <w:r>
        <w:rPr>
          <w:b/>
        </w:rPr>
        <w:t>8.4</w:t>
      </w:r>
      <w:r>
        <w:t xml:space="preserve"> Before removal other than on interim suspension, the Neutral shall be given written reasons and a reasonable opportunity to respond.</w:t>
      </w:r>
    </w:p>
    <w:p>
      <w:pPr>
        <w:pStyle w:val="Heading2"/>
      </w:pPr>
      <w:r>
        <w:t>9. Liability</w:t>
      </w:r>
    </w:p>
    <w:p>
      <w:r>
        <w:rPr>
          <w:b/>
        </w:rPr>
        <w:t>9.1</w:t>
      </w:r>
      <w:r>
        <w:t xml:space="preserve"> The Neutral shall exercise reasonable skill and care.</w:t>
      </w:r>
    </w:p>
    <w:p>
      <w:r>
        <w:rPr>
          <w:b/>
        </w:rPr>
        <w:t>9.2</w:t>
      </w:r>
      <w:r>
        <w:t xml:space="preserve"> Equator shall maintain professional indemnity insurance covering panel neutrals acting within the scope of an Equator appointment, subject to policy terms. </w:t>
      </w:r>
      <w:r>
        <w:rPr>
          <w:b/>
        </w:rPr>
        <w:t>[verify — confirm scope of cover.]</w:t>
      </w:r>
    </w:p>
    <w:p>
      <w:r>
        <w:rPr>
          <w:b/>
        </w:rPr>
        <w:t>9.3</w:t>
      </w:r>
      <w:r>
        <w:t xml:space="preserve"> The Neutral shall indemnify Equator against loss arising from the Neutral's wilful misconduct, dishonesty or breach of clause 4 or 5.</w:t>
      </w:r>
    </w:p>
    <w:p>
      <w:pPr>
        <w:pStyle w:val="Heading2"/>
      </w:pPr>
      <w:r>
        <w:t>10. General</w:t>
      </w:r>
    </w:p>
    <w:p>
      <w:r>
        <w:t xml:space="preserve">Non-exclusive. No restraint on the Neutral's professional practice save as expressly stated. Governing law India; courts at </w:t>
      </w:r>
      <w:r>
        <w:rPr>
          <w:b/>
        </w:rPr>
        <w:t>[●]</w:t>
      </w:r>
      <w:r>
        <w:t>; disputes referred first to mediation. Variation in writing. Counterparts permitted.</w:t>
      </w:r>
    </w:p>
    <w:p>
      <w:pPr>
        <w:spacing w:before="80" w:after="160"/>
        <w:pBdr>
          <w:bottom w:val="single" w:sz="6" w:space="1" w:color="C9D6DE"/>
        </w:pBdr>
      </w:pPr>
    </w:p>
    <w:p>
      <w:r>
        <w:br w:type="page"/>
      </w:r>
    </w:p>
    <w:p>
      <w:pPr>
        <w:pStyle w:val="Heading1"/>
        <w:pBdr>
          <w:bottom w:val="single" w:sz="8" w:space="4" w:color="C9D6DE"/>
        </w:pBdr>
      </w:pPr>
      <w:r>
        <w:t>Annexure 1 · Profile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050"/>
            <w:shd w:val="clear" w:color="auto" w:fill="10375C"/>
          </w:tcPr>
          <w:p>
            <w:pPr>
              <w:spacing w:after="50" w:before="50"/>
            </w:pPr>
            <w:r>
              <w:rPr>
                <w:b/>
                <w:color w:val="FFFFFF"/>
                <w:sz w:val="17"/>
              </w:rPr>
              <w:t>Item</w:t>
            </w:r>
          </w:p>
        </w:tc>
        <w:tc>
          <w:tcPr>
            <w:tcW w:type="dxa" w:w="1418"/>
            <w:shd w:val="clear" w:color="auto" w:fill="10375C"/>
          </w:tcPr>
          <w:p>
            <w:pPr>
              <w:spacing w:after="50" w:before="50"/>
            </w:pPr>
            <w:r>
              <w:rPr>
                <w:b/>
                <w:color w:val="FFFFFF"/>
                <w:sz w:val="17"/>
              </w:rPr>
              <w:t>Entry</w:t>
            </w:r>
          </w:p>
        </w:tc>
      </w:tr>
      <w:tr>
        <w:tc>
          <w:tcPr>
            <w:tcW w:type="dxa" w:w="8050"/>
          </w:tcPr>
          <w:p>
            <w:pPr>
              <w:spacing w:after="50" w:before="50" w:line="252" w:lineRule="auto"/>
            </w:pPr>
            <w:r>
              <w:rPr>
                <w:sz w:val="17"/>
              </w:rPr>
              <w:t>Name and designation</w:t>
            </w:r>
          </w:p>
        </w:tc>
        <w:tc>
          <w:tcPr>
            <w:tcW w:type="dxa" w:w="1418"/>
          </w:tcPr>
          <w:p>
            <w:pPr>
              <w:spacing w:after="50" w:before="50" w:line="252" w:lineRule="auto"/>
            </w:pPr>
            <w:r>
              <w:rPr>
                <w:sz w:val="17"/>
              </w:rPr>
              <w:t>[●]</w:t>
            </w:r>
          </w:p>
        </w:tc>
      </w:tr>
      <w:tr>
        <w:tc>
          <w:tcPr>
            <w:tcW w:type="dxa" w:w="8050"/>
            <w:shd w:val="clear" w:color="auto" w:fill="EAF1F4"/>
          </w:tcPr>
          <w:p>
            <w:pPr>
              <w:spacing w:after="50" w:before="50" w:line="252" w:lineRule="auto"/>
            </w:pPr>
            <w:r>
              <w:rPr>
                <w:sz w:val="17"/>
              </w:rPr>
              <w:t>Institution</w:t>
            </w:r>
          </w:p>
        </w:tc>
        <w:tc>
          <w:tcPr>
            <w:tcW w:type="dxa" w:w="1418"/>
            <w:shd w:val="clear" w:color="auto" w:fill="EAF1F4"/>
          </w:tcPr>
          <w:p>
            <w:pPr>
              <w:spacing w:after="50" w:before="50" w:line="252" w:lineRule="auto"/>
            </w:pPr>
            <w:r>
              <w:rPr>
                <w:sz w:val="17"/>
              </w:rPr>
              <w:t>[●]</w:t>
            </w:r>
          </w:p>
        </w:tc>
      </w:tr>
      <w:tr>
        <w:tc>
          <w:tcPr>
            <w:tcW w:type="dxa" w:w="8050"/>
          </w:tcPr>
          <w:p>
            <w:pPr>
              <w:spacing w:after="50" w:before="50" w:line="252" w:lineRule="auto"/>
            </w:pPr>
            <w:r>
              <w:rPr>
                <w:sz w:val="17"/>
              </w:rPr>
              <w:t>Qualifications</w:t>
            </w:r>
          </w:p>
        </w:tc>
        <w:tc>
          <w:tcPr>
            <w:tcW w:type="dxa" w:w="1418"/>
          </w:tcPr>
          <w:p>
            <w:pPr>
              <w:spacing w:after="50" w:before="50" w:line="252" w:lineRule="auto"/>
            </w:pPr>
            <w:r>
              <w:rPr>
                <w:sz w:val="17"/>
              </w:rPr>
              <w:t>[●]</w:t>
            </w:r>
          </w:p>
        </w:tc>
      </w:tr>
      <w:tr>
        <w:tc>
          <w:tcPr>
            <w:tcW w:type="dxa" w:w="8050"/>
            <w:shd w:val="clear" w:color="auto" w:fill="EAF1F4"/>
          </w:tcPr>
          <w:p>
            <w:pPr>
              <w:spacing w:after="50" w:before="50" w:line="252" w:lineRule="auto"/>
            </w:pPr>
            <w:r>
              <w:rPr>
                <w:sz w:val="17"/>
              </w:rPr>
              <w:t>Areas of practice and expertise</w:t>
            </w:r>
          </w:p>
        </w:tc>
        <w:tc>
          <w:tcPr>
            <w:tcW w:type="dxa" w:w="1418"/>
            <w:shd w:val="clear" w:color="auto" w:fill="EAF1F4"/>
          </w:tcPr>
          <w:p>
            <w:pPr>
              <w:spacing w:after="50" w:before="50" w:line="252" w:lineRule="auto"/>
            </w:pPr>
            <w:r>
              <w:rPr>
                <w:sz w:val="17"/>
              </w:rPr>
              <w:t>[●]</w:t>
            </w:r>
          </w:p>
        </w:tc>
      </w:tr>
      <w:tr>
        <w:tc>
          <w:tcPr>
            <w:tcW w:type="dxa" w:w="8050"/>
          </w:tcPr>
          <w:p>
            <w:pPr>
              <w:spacing w:after="50" w:before="50" w:line="252" w:lineRule="auto"/>
            </w:pPr>
            <w:r>
              <w:rPr>
                <w:sz w:val="17"/>
              </w:rPr>
              <w:t>Mediation training — provider, hours, year</w:t>
            </w:r>
          </w:p>
        </w:tc>
        <w:tc>
          <w:tcPr>
            <w:tcW w:type="dxa" w:w="1418"/>
          </w:tcPr>
          <w:p>
            <w:pPr>
              <w:spacing w:after="50" w:before="50" w:line="252" w:lineRule="auto"/>
            </w:pPr>
            <w:r>
              <w:rPr>
                <w:sz w:val="17"/>
              </w:rPr>
              <w:t>[●]</w:t>
            </w:r>
          </w:p>
        </w:tc>
      </w:tr>
      <w:tr>
        <w:tc>
          <w:tcPr>
            <w:tcW w:type="dxa" w:w="8050"/>
            <w:shd w:val="clear" w:color="auto" w:fill="EAF1F4"/>
          </w:tcPr>
          <w:p>
            <w:pPr>
              <w:spacing w:after="50" w:before="50" w:line="252" w:lineRule="auto"/>
            </w:pPr>
            <w:r>
              <w:rPr>
                <w:sz w:val="17"/>
              </w:rPr>
              <w:t>Advanced training</w:t>
            </w:r>
          </w:p>
        </w:tc>
        <w:tc>
          <w:tcPr>
            <w:tcW w:type="dxa" w:w="1418"/>
            <w:shd w:val="clear" w:color="auto" w:fill="EAF1F4"/>
          </w:tcPr>
          <w:p>
            <w:pPr>
              <w:spacing w:after="50" w:before="50" w:line="252" w:lineRule="auto"/>
            </w:pPr>
            <w:r>
              <w:rPr>
                <w:sz w:val="17"/>
              </w:rPr>
              <w:t>[●]</w:t>
            </w:r>
          </w:p>
        </w:tc>
      </w:tr>
      <w:tr>
        <w:tc>
          <w:tcPr>
            <w:tcW w:type="dxa" w:w="8050"/>
          </w:tcPr>
          <w:p>
            <w:pPr>
              <w:spacing w:after="50" w:before="50" w:line="252" w:lineRule="auto"/>
            </w:pPr>
            <w:r>
              <w:rPr>
                <w:sz w:val="17"/>
              </w:rPr>
              <w:t>Supervised practice completed</w:t>
            </w:r>
          </w:p>
        </w:tc>
        <w:tc>
          <w:tcPr>
            <w:tcW w:type="dxa" w:w="1418"/>
          </w:tcPr>
          <w:p>
            <w:pPr>
              <w:spacing w:after="50" w:before="50" w:line="252" w:lineRule="auto"/>
            </w:pPr>
            <w:r>
              <w:rPr>
                <w:sz w:val="17"/>
              </w:rPr>
              <w:t>[●]</w:t>
            </w:r>
          </w:p>
        </w:tc>
      </w:tr>
      <w:tr>
        <w:tc>
          <w:tcPr>
            <w:tcW w:type="dxa" w:w="8050"/>
            <w:shd w:val="clear" w:color="auto" w:fill="EAF1F4"/>
          </w:tcPr>
          <w:p>
            <w:pPr>
              <w:spacing w:after="50" w:before="50" w:line="252" w:lineRule="auto"/>
            </w:pPr>
            <w:r>
              <w:rPr>
                <w:sz w:val="17"/>
              </w:rPr>
              <w:t>Languages</w:t>
            </w:r>
          </w:p>
        </w:tc>
        <w:tc>
          <w:tcPr>
            <w:tcW w:type="dxa" w:w="1418"/>
            <w:shd w:val="clear" w:color="auto" w:fill="EAF1F4"/>
          </w:tcPr>
          <w:p>
            <w:pPr>
              <w:spacing w:after="50" w:before="50" w:line="252" w:lineRule="auto"/>
            </w:pPr>
            <w:r>
              <w:rPr>
                <w:sz w:val="17"/>
              </w:rPr>
              <w:t>[●]</w:t>
            </w:r>
          </w:p>
        </w:tc>
      </w:tr>
      <w:tr>
        <w:tc>
          <w:tcPr>
            <w:tcW w:type="dxa" w:w="8050"/>
          </w:tcPr>
          <w:p>
            <w:pPr>
              <w:spacing w:after="50" w:before="50" w:line="252" w:lineRule="auto"/>
            </w:pPr>
            <w:r>
              <w:rPr>
                <w:sz w:val="17"/>
              </w:rPr>
              <w:t>Verticals sought</w:t>
            </w:r>
          </w:p>
        </w:tc>
        <w:tc>
          <w:tcPr>
            <w:tcW w:type="dxa" w:w="1418"/>
          </w:tcPr>
          <w:p>
            <w:pPr>
              <w:spacing w:after="50" w:before="50" w:line="252" w:lineRule="auto"/>
            </w:pPr>
            <w:r>
              <w:rPr>
                <w:sz w:val="17"/>
              </w:rPr>
              <w:t>[●]</w:t>
            </w:r>
          </w:p>
        </w:tc>
      </w:tr>
      <w:tr>
        <w:tc>
          <w:tcPr>
            <w:tcW w:type="dxa" w:w="8050"/>
            <w:shd w:val="clear" w:color="auto" w:fill="EAF1F4"/>
          </w:tcPr>
          <w:p>
            <w:pPr>
              <w:spacing w:after="50" w:before="50" w:line="252" w:lineRule="auto"/>
            </w:pPr>
            <w:r>
              <w:rPr>
                <w:sz w:val="17"/>
              </w:rPr>
              <w:t>PAN and bank details</w:t>
            </w:r>
          </w:p>
        </w:tc>
        <w:tc>
          <w:tcPr>
            <w:tcW w:type="dxa" w:w="1418"/>
            <w:shd w:val="clear" w:color="auto" w:fill="EAF1F4"/>
          </w:tcPr>
          <w:p>
            <w:pPr>
              <w:spacing w:after="50" w:before="50" w:line="252" w:lineRule="auto"/>
            </w:pPr>
            <w:r>
              <w:rPr>
                <w:sz w:val="17"/>
              </w:rPr>
              <w:t>[●]</w:t>
            </w:r>
          </w:p>
        </w:tc>
      </w:tr>
    </w:tbl>
    <w:p>
      <w:pPr>
        <w:spacing w:after="80" w:before="0"/>
      </w:pPr>
    </w:p>
    <w:p>
      <w:pPr>
        <w:pStyle w:val="Heading1"/>
        <w:pBdr>
          <w:bottom w:val="single" w:sz="8" w:space="4" w:color="C9D6DE"/>
        </w:pBdr>
      </w:pPr>
      <w:r>
        <w:t>Annexure 2 · Declaration and consent</w:t>
      </w:r>
    </w:p>
    <w:p>
      <w:r>
        <w:t>I confirm that the information in Annexure 1 is true; that I have read and shall comply with the Code of Conduct for Neutrals and the conflict of interest policy; that no matter exists which would render my empanelment inappropriate; that where my employing institution requires its consent to this engagement I have obtained it; and that I shall disclose immediately any change in these circumstances.</w:t>
      </w:r>
    </w:p>
    <w:p>
      <w:r>
        <w:t>Signature: _______________________  Name: [●]  Date: [●]</w:t>
      </w:r>
    </w:p>
    <w:p>
      <w:pPr>
        <w:pStyle w:val="Heading1"/>
        <w:pBdr>
          <w:bottom w:val="single" w:sz="8" w:space="4" w:color="C9D6DE"/>
        </w:pBdr>
      </w:pPr>
      <w:r>
        <w:t>Execution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186"/>
            <w:shd w:val="clear" w:color="auto" w:fill="10375C"/>
          </w:tcPr>
          <w:p>
            <w:pPr>
              <w:spacing w:after="50" w:before="50"/>
            </w:pPr>
            <w:r>
              <w:rPr>
                <w:b/>
                <w:color w:val="FFFFFF"/>
                <w:sz w:val="17"/>
              </w:rPr>
              <w:t>The Neutral</w:t>
            </w:r>
          </w:p>
        </w:tc>
        <w:tc>
          <w:tcPr>
            <w:tcW w:type="dxa" w:w="5282"/>
            <w:shd w:val="clear" w:color="auto" w:fill="10375C"/>
          </w:tcPr>
          <w:p>
            <w:pPr>
              <w:spacing w:after="50" w:before="50"/>
            </w:pPr>
            <w:r>
              <w:rPr>
                <w:b/>
                <w:color w:val="FFFFFF"/>
                <w:sz w:val="17"/>
              </w:rPr>
              <w:t>For Equator Resolution</w:t>
            </w:r>
          </w:p>
        </w:tc>
      </w:tr>
      <w:tr>
        <w:tc>
          <w:tcPr>
            <w:tcW w:type="dxa" w:w="4186"/>
          </w:tcPr>
          <w:p>
            <w:pPr>
              <w:spacing w:after="50" w:before="50" w:line="252" w:lineRule="auto"/>
            </w:pPr>
            <w:r>
              <w:rPr>
                <w:sz w:val="17"/>
              </w:rPr>
              <w:t>Signature: _______________________</w:t>
            </w:r>
          </w:p>
        </w:tc>
        <w:tc>
          <w:tcPr>
            <w:tcW w:type="dxa" w:w="5282"/>
          </w:tcPr>
          <w:p>
            <w:pPr>
              <w:spacing w:after="50" w:before="50" w:line="252" w:lineRule="auto"/>
            </w:pPr>
            <w:r>
              <w:rPr>
                <w:sz w:val="17"/>
              </w:rPr>
              <w:t>Signature: _______________________</w:t>
            </w:r>
          </w:p>
        </w:tc>
      </w:tr>
      <w:tr>
        <w:tc>
          <w:tcPr>
            <w:tcW w:type="dxa" w:w="4186"/>
            <w:shd w:val="clear" w:color="auto" w:fill="EAF1F4"/>
          </w:tcPr>
          <w:p>
            <w:pPr>
              <w:spacing w:after="50" w:before="50" w:line="252" w:lineRule="auto"/>
            </w:pPr>
            <w:r>
              <w:rPr>
                <w:sz w:val="17"/>
              </w:rPr>
              <w:t>Name: [●]</w:t>
            </w:r>
          </w:p>
        </w:tc>
        <w:tc>
          <w:tcPr>
            <w:tcW w:type="dxa" w:w="5282"/>
            <w:shd w:val="clear" w:color="auto" w:fill="EAF1F4"/>
          </w:tcPr>
          <w:p>
            <w:pPr>
              <w:spacing w:after="50" w:before="50" w:line="252" w:lineRule="auto"/>
            </w:pPr>
            <w:r>
              <w:rPr>
                <w:sz w:val="17"/>
              </w:rPr>
              <w:t>Name: [●]</w:t>
            </w:r>
          </w:p>
        </w:tc>
      </w:tr>
      <w:tr>
        <w:tc>
          <w:tcPr>
            <w:tcW w:type="dxa" w:w="4186"/>
          </w:tcPr>
          <w:p>
            <w:pPr>
              <w:spacing w:after="50" w:before="50" w:line="252" w:lineRule="auto"/>
            </w:pPr>
            <w:r>
              <w:rPr>
                <w:sz w:val="17"/>
              </w:rPr>
              <w:t>Date: [●]</w:t>
            </w:r>
          </w:p>
        </w:tc>
        <w:tc>
          <w:tcPr>
            <w:tcW w:type="dxa" w:w="5282"/>
          </w:tcPr>
          <w:p>
            <w:pPr>
              <w:spacing w:after="50" w:before="50" w:line="252" w:lineRule="auto"/>
            </w:pPr>
            <w:r>
              <w:rPr>
                <w:sz w:val="17"/>
              </w:rPr>
              <w:t>Designation: [●] · Date: [●]</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EQ-UAP-037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Faculty Neutral Empanelment Agreement</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CB7D51B-7317-4E35-BC00-E3A28CC4DB57}"/>
</file>

<file path=customXml/itemProps3.xml><?xml version="1.0" encoding="utf-8"?>
<ds:datastoreItem xmlns:ds="http://schemas.openxmlformats.org/officeDocument/2006/customXml" ds:itemID="{C55F7EAB-30A2-4E45-BB6E-67D1D83D53D5}"/>
</file>

<file path=customXml/itemProps4.xml><?xml version="1.0" encoding="utf-8"?>
<ds:datastoreItem xmlns:ds="http://schemas.openxmlformats.org/officeDocument/2006/customXml" ds:itemID="{19FC9172-2E4E-415D-83BA-C73FA21862F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