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Commercial Model, Pricing Policy &amp; Rate Card</w:t>
      </w:r>
    </w:p>
    <w:p>
      <w:pPr>
        <w:spacing w:after="280" w:line="276" w:lineRule="auto"/>
      </w:pPr>
      <w:r>
        <w:rPr>
          <w:rFonts w:ascii="Calibri" w:hAnsi="Calibri"/>
          <w:i/>
          <w:color w:val="3E6B8A"/>
          <w:sz w:val="25"/>
        </w:rPr>
        <w:t>How every rupee enters the programme — nine revenue lines, the cost base behind them, list and floor prices, and the rules on discounting</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 Floor prices must never be disclosed externally.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commercial proposition in one page</w:t>
      </w:r>
    </w:p>
    <w:p>
      <w:r>
        <w:t>A university partnership is not a marketing expense. It is a portfolio of nine priced revenue lines sitting on a shared, largely variable cost base, plus two non-cash returns that justify the fixed cost of running the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3103"/>
            <w:shd w:val="clear" w:color="auto" w:fill="10375C"/>
          </w:tcPr>
          <w:p>
            <w:pPr>
              <w:spacing w:after="50" w:before="50"/>
            </w:pPr>
            <w:r>
              <w:rPr>
                <w:b/>
                <w:color w:val="FFFFFF"/>
                <w:sz w:val="17"/>
              </w:rPr>
              <w:t>Revenue line</w:t>
            </w:r>
          </w:p>
        </w:tc>
        <w:tc>
          <w:tcPr>
            <w:tcW w:type="dxa" w:w="1968"/>
            <w:shd w:val="clear" w:color="auto" w:fill="10375C"/>
          </w:tcPr>
          <w:p>
            <w:pPr>
              <w:spacing w:after="50" w:before="50"/>
            </w:pPr>
            <w:r>
              <w:rPr>
                <w:b/>
                <w:color w:val="FFFFFF"/>
                <w:sz w:val="17"/>
              </w:rPr>
              <w:t>Payer</w:t>
            </w:r>
          </w:p>
        </w:tc>
        <w:tc>
          <w:tcPr>
            <w:tcW w:type="dxa" w:w="2949"/>
            <w:shd w:val="clear" w:color="auto" w:fill="10375C"/>
          </w:tcPr>
          <w:p>
            <w:pPr>
              <w:spacing w:after="50" w:before="50"/>
            </w:pPr>
            <w:r>
              <w:rPr>
                <w:b/>
                <w:color w:val="FFFFFF"/>
                <w:sz w:val="17"/>
              </w:rPr>
              <w:t>Character</w:t>
            </w:r>
          </w:p>
        </w:tc>
        <w:tc>
          <w:tcPr>
            <w:tcW w:type="dxa" w:w="1091"/>
            <w:shd w:val="clear" w:color="auto" w:fill="10375C"/>
          </w:tcPr>
          <w:p>
            <w:pPr>
              <w:spacing w:after="50" w:before="50"/>
            </w:pPr>
            <w:r>
              <w:rPr>
                <w:b/>
                <w:color w:val="FFFFFF"/>
                <w:sz w:val="17"/>
              </w:rPr>
              <w:t>Gross margin band</w:t>
            </w:r>
          </w:p>
        </w:tc>
      </w:tr>
      <w:tr>
        <w:tc>
          <w:tcPr>
            <w:tcW w:type="dxa" w:w="850"/>
          </w:tcPr>
          <w:p>
            <w:pPr>
              <w:spacing w:after="50" w:before="50" w:line="252" w:lineRule="auto"/>
            </w:pPr>
            <w:r>
              <w:rPr>
                <w:sz w:val="17"/>
              </w:rPr>
              <w:t>1</w:t>
            </w:r>
          </w:p>
        </w:tc>
        <w:tc>
          <w:tcPr>
            <w:tcW w:type="dxa" w:w="3103"/>
          </w:tcPr>
          <w:p>
            <w:pPr>
              <w:spacing w:after="50" w:before="50" w:line="252" w:lineRule="auto"/>
            </w:pPr>
            <w:r>
              <w:rPr>
                <w:sz w:val="17"/>
              </w:rPr>
              <w:t>Student certificate courses</w:t>
            </w:r>
          </w:p>
        </w:tc>
        <w:tc>
          <w:tcPr>
            <w:tcW w:type="dxa" w:w="1968"/>
          </w:tcPr>
          <w:p>
            <w:pPr>
              <w:spacing w:after="50" w:before="50" w:line="252" w:lineRule="auto"/>
            </w:pPr>
            <w:r>
              <w:rPr>
                <w:sz w:val="17"/>
              </w:rPr>
              <w:t>Students, or the institution on their behalf</w:t>
            </w:r>
          </w:p>
        </w:tc>
        <w:tc>
          <w:tcPr>
            <w:tcW w:type="dxa" w:w="2949"/>
          </w:tcPr>
          <w:p>
            <w:pPr>
              <w:spacing w:after="50" w:before="50" w:line="252" w:lineRule="auto"/>
            </w:pPr>
            <w:r>
              <w:rPr>
                <w:sz w:val="17"/>
              </w:rPr>
              <w:t>Volume, seasonal, pipeline-critical</w:t>
            </w:r>
          </w:p>
        </w:tc>
        <w:tc>
          <w:tcPr>
            <w:tcW w:type="dxa" w:w="1091"/>
          </w:tcPr>
          <w:p>
            <w:pPr>
              <w:spacing w:after="50" w:before="50" w:line="252" w:lineRule="auto"/>
            </w:pPr>
            <w:r>
              <w:rPr>
                <w:sz w:val="17"/>
              </w:rPr>
              <w:t>25–32%</w:t>
            </w:r>
          </w:p>
        </w:tc>
      </w:tr>
      <w:tr>
        <w:tc>
          <w:tcPr>
            <w:tcW w:type="dxa" w:w="850"/>
            <w:shd w:val="clear" w:color="auto" w:fill="EAF1F4"/>
          </w:tcPr>
          <w:p>
            <w:pPr>
              <w:spacing w:after="50" w:before="50" w:line="252" w:lineRule="auto"/>
            </w:pPr>
            <w:r>
              <w:rPr>
                <w:sz w:val="17"/>
              </w:rPr>
              <w:t>2</w:t>
            </w:r>
          </w:p>
        </w:tc>
        <w:tc>
          <w:tcPr>
            <w:tcW w:type="dxa" w:w="3103"/>
            <w:shd w:val="clear" w:color="auto" w:fill="EAF1F4"/>
          </w:tcPr>
          <w:p>
            <w:pPr>
              <w:spacing w:after="50" w:before="50" w:line="252" w:lineRule="auto"/>
            </w:pPr>
            <w:r>
              <w:rPr>
                <w:sz w:val="17"/>
              </w:rPr>
              <w:t>Faculty Development Programmes</w:t>
            </w:r>
          </w:p>
        </w:tc>
        <w:tc>
          <w:tcPr>
            <w:tcW w:type="dxa" w:w="1968"/>
            <w:shd w:val="clear" w:color="auto" w:fill="EAF1F4"/>
          </w:tcPr>
          <w:p>
            <w:pPr>
              <w:spacing w:after="50" w:before="50" w:line="252" w:lineRule="auto"/>
            </w:pPr>
            <w:r>
              <w:rPr>
                <w:sz w:val="17"/>
              </w:rPr>
              <w:t>Institutional budget</w:t>
            </w:r>
          </w:p>
        </w:tc>
        <w:tc>
          <w:tcPr>
            <w:tcW w:type="dxa" w:w="2949"/>
            <w:shd w:val="clear" w:color="auto" w:fill="EAF1F4"/>
          </w:tcPr>
          <w:p>
            <w:pPr>
              <w:spacing w:after="50" w:before="50" w:line="252" w:lineRule="auto"/>
            </w:pPr>
            <w:r>
              <w:rPr>
                <w:sz w:val="17"/>
              </w:rPr>
              <w:t>Repeatable, mid-margin</w:t>
            </w:r>
          </w:p>
        </w:tc>
        <w:tc>
          <w:tcPr>
            <w:tcW w:type="dxa" w:w="1091"/>
            <w:shd w:val="clear" w:color="auto" w:fill="EAF1F4"/>
          </w:tcPr>
          <w:p>
            <w:pPr>
              <w:spacing w:after="50" w:before="50" w:line="252" w:lineRule="auto"/>
            </w:pPr>
            <w:r>
              <w:rPr>
                <w:sz w:val="17"/>
              </w:rPr>
              <w:t>32–38%</w:t>
            </w:r>
          </w:p>
        </w:tc>
      </w:tr>
      <w:tr>
        <w:tc>
          <w:tcPr>
            <w:tcW w:type="dxa" w:w="850"/>
          </w:tcPr>
          <w:p>
            <w:pPr>
              <w:spacing w:after="50" w:before="50" w:line="252" w:lineRule="auto"/>
            </w:pPr>
            <w:r>
              <w:rPr>
                <w:sz w:val="17"/>
              </w:rPr>
              <w:t>3</w:t>
            </w:r>
          </w:p>
        </w:tc>
        <w:tc>
          <w:tcPr>
            <w:tcW w:type="dxa" w:w="3103"/>
          </w:tcPr>
          <w:p>
            <w:pPr>
              <w:spacing w:after="50" w:before="50" w:line="252" w:lineRule="auto"/>
            </w:pPr>
            <w:r>
              <w:rPr>
                <w:sz w:val="17"/>
              </w:rPr>
              <w:t>Competitions — registration and sponsorship</w:t>
            </w:r>
          </w:p>
        </w:tc>
        <w:tc>
          <w:tcPr>
            <w:tcW w:type="dxa" w:w="1968"/>
          </w:tcPr>
          <w:p>
            <w:pPr>
              <w:spacing w:after="50" w:before="50" w:line="252" w:lineRule="auto"/>
            </w:pPr>
            <w:r>
              <w:rPr>
                <w:sz w:val="17"/>
              </w:rPr>
              <w:t>Teams and sponsors</w:t>
            </w:r>
          </w:p>
        </w:tc>
        <w:tc>
          <w:tcPr>
            <w:tcW w:type="dxa" w:w="2949"/>
          </w:tcPr>
          <w:p>
            <w:pPr>
              <w:spacing w:after="50" w:before="50" w:line="252" w:lineRule="auto"/>
            </w:pPr>
            <w:r>
              <w:rPr>
                <w:sz w:val="17"/>
              </w:rPr>
              <w:t>Loss-making in edition 1, surplus by edition 3</w:t>
            </w:r>
          </w:p>
        </w:tc>
        <w:tc>
          <w:tcPr>
            <w:tcW w:type="dxa" w:w="1091"/>
          </w:tcPr>
          <w:p>
            <w:pPr>
              <w:spacing w:after="50" w:before="50" w:line="252" w:lineRule="auto"/>
            </w:pPr>
            <w:r>
              <w:rPr>
                <w:sz w:val="17"/>
              </w:rPr>
              <w:t>−20% to +25%</w:t>
            </w:r>
          </w:p>
        </w:tc>
      </w:tr>
      <w:tr>
        <w:tc>
          <w:tcPr>
            <w:tcW w:type="dxa" w:w="850"/>
            <w:shd w:val="clear" w:color="auto" w:fill="EAF1F4"/>
          </w:tcPr>
          <w:p>
            <w:pPr>
              <w:spacing w:after="50" w:before="50" w:line="252" w:lineRule="auto"/>
            </w:pPr>
            <w:r>
              <w:rPr>
                <w:sz w:val="17"/>
              </w:rPr>
              <w:t>4</w:t>
            </w:r>
          </w:p>
        </w:tc>
        <w:tc>
          <w:tcPr>
            <w:tcW w:type="dxa" w:w="3103"/>
            <w:shd w:val="clear" w:color="auto" w:fill="EAF1F4"/>
          </w:tcPr>
          <w:p>
            <w:pPr>
              <w:spacing w:after="50" w:before="50" w:line="252" w:lineRule="auto"/>
            </w:pPr>
            <w:r>
              <w:rPr>
                <w:b/>
                <w:sz w:val="17"/>
              </w:rPr>
              <w:t>Competition coaching</w:t>
            </w:r>
          </w:p>
        </w:tc>
        <w:tc>
          <w:tcPr>
            <w:tcW w:type="dxa" w:w="1968"/>
            <w:shd w:val="clear" w:color="auto" w:fill="EAF1F4"/>
          </w:tcPr>
          <w:p>
            <w:pPr>
              <w:spacing w:after="50" w:before="50" w:line="252" w:lineRule="auto"/>
            </w:pPr>
            <w:r>
              <w:rPr>
                <w:sz w:val="17"/>
              </w:rPr>
              <w:t>Institution or team</w:t>
            </w:r>
          </w:p>
        </w:tc>
        <w:tc>
          <w:tcPr>
            <w:tcW w:type="dxa" w:w="2949"/>
            <w:shd w:val="clear" w:color="auto" w:fill="EAF1F4"/>
          </w:tcPr>
          <w:p>
            <w:pPr>
              <w:spacing w:after="50" w:before="50" w:line="252" w:lineRule="auto"/>
            </w:pPr>
            <w:r>
              <w:rPr>
                <w:b/>
                <w:sz w:val="17"/>
              </w:rPr>
              <w:t>Highest margin, almost no competition</w:t>
            </w:r>
          </w:p>
        </w:tc>
        <w:tc>
          <w:tcPr>
            <w:tcW w:type="dxa" w:w="1091"/>
            <w:shd w:val="clear" w:color="auto" w:fill="EAF1F4"/>
          </w:tcPr>
          <w:p>
            <w:pPr>
              <w:spacing w:after="50" w:before="50" w:line="252" w:lineRule="auto"/>
            </w:pPr>
            <w:r>
              <w:rPr>
                <w:sz w:val="17"/>
              </w:rPr>
              <w:t>55–62%</w:t>
            </w:r>
          </w:p>
        </w:tc>
      </w:tr>
      <w:tr>
        <w:tc>
          <w:tcPr>
            <w:tcW w:type="dxa" w:w="850"/>
          </w:tcPr>
          <w:p>
            <w:pPr>
              <w:spacing w:after="50" w:before="50" w:line="252" w:lineRule="auto"/>
            </w:pPr>
            <w:r>
              <w:rPr>
                <w:sz w:val="17"/>
              </w:rPr>
              <w:t>5</w:t>
            </w:r>
          </w:p>
        </w:tc>
        <w:tc>
          <w:tcPr>
            <w:tcW w:type="dxa" w:w="3103"/>
          </w:tcPr>
          <w:p>
            <w:pPr>
              <w:spacing w:after="50" w:before="50" w:line="252" w:lineRule="auto"/>
            </w:pPr>
            <w:r>
              <w:rPr>
                <w:sz w:val="17"/>
              </w:rPr>
              <w:t>Residential summer and winter schools</w:t>
            </w:r>
          </w:p>
        </w:tc>
        <w:tc>
          <w:tcPr>
            <w:tcW w:type="dxa" w:w="1968"/>
          </w:tcPr>
          <w:p>
            <w:pPr>
              <w:spacing w:after="50" w:before="50" w:line="252" w:lineRule="auto"/>
            </w:pPr>
            <w:r>
              <w:rPr>
                <w:sz w:val="17"/>
              </w:rPr>
              <w:t>Participants</w:t>
            </w:r>
          </w:p>
        </w:tc>
        <w:tc>
          <w:tcPr>
            <w:tcW w:type="dxa" w:w="2949"/>
          </w:tcPr>
          <w:p>
            <w:pPr>
              <w:spacing w:after="50" w:before="50" w:line="252" w:lineRule="auto"/>
            </w:pPr>
            <w:r>
              <w:rPr>
                <w:sz w:val="17"/>
              </w:rPr>
              <w:t>Seasonal, cash-generative</w:t>
            </w:r>
          </w:p>
        </w:tc>
        <w:tc>
          <w:tcPr>
            <w:tcW w:type="dxa" w:w="1091"/>
          </w:tcPr>
          <w:p>
            <w:pPr>
              <w:spacing w:after="50" w:before="50" w:line="252" w:lineRule="auto"/>
            </w:pPr>
            <w:r>
              <w:rPr>
                <w:sz w:val="17"/>
              </w:rPr>
              <w:t>20–28%</w:t>
            </w:r>
          </w:p>
        </w:tc>
      </w:tr>
      <w:tr>
        <w:tc>
          <w:tcPr>
            <w:tcW w:type="dxa" w:w="850"/>
            <w:shd w:val="clear" w:color="auto" w:fill="EAF1F4"/>
          </w:tcPr>
          <w:p>
            <w:pPr>
              <w:spacing w:after="50" w:before="50" w:line="252" w:lineRule="auto"/>
            </w:pPr>
            <w:r>
              <w:rPr>
                <w:sz w:val="17"/>
              </w:rPr>
              <w:t>6</w:t>
            </w:r>
          </w:p>
        </w:tc>
        <w:tc>
          <w:tcPr>
            <w:tcW w:type="dxa" w:w="3103"/>
            <w:shd w:val="clear" w:color="auto" w:fill="EAF1F4"/>
          </w:tcPr>
          <w:p>
            <w:pPr>
              <w:spacing w:after="50" w:before="50" w:line="252" w:lineRule="auto"/>
            </w:pPr>
            <w:r>
              <w:rPr>
                <w:b/>
                <w:sz w:val="17"/>
              </w:rPr>
              <w:t>Institutional advisory retainers</w:t>
            </w:r>
          </w:p>
        </w:tc>
        <w:tc>
          <w:tcPr>
            <w:tcW w:type="dxa" w:w="1968"/>
            <w:shd w:val="clear" w:color="auto" w:fill="EAF1F4"/>
          </w:tcPr>
          <w:p>
            <w:pPr>
              <w:spacing w:after="50" w:before="50" w:line="252" w:lineRule="auto"/>
            </w:pPr>
            <w:r>
              <w:rPr>
                <w:sz w:val="17"/>
              </w:rPr>
              <w:t>Institutional budget</w:t>
            </w:r>
          </w:p>
        </w:tc>
        <w:tc>
          <w:tcPr>
            <w:tcW w:type="dxa" w:w="2949"/>
            <w:shd w:val="clear" w:color="auto" w:fill="EAF1F4"/>
          </w:tcPr>
          <w:p>
            <w:pPr>
              <w:spacing w:after="50" w:before="50" w:line="252" w:lineRule="auto"/>
            </w:pPr>
            <w:r>
              <w:rPr>
                <w:b/>
                <w:sz w:val="17"/>
              </w:rPr>
              <w:t>Annuity; most under-exploited line in the market</w:t>
            </w:r>
          </w:p>
        </w:tc>
        <w:tc>
          <w:tcPr>
            <w:tcW w:type="dxa" w:w="1091"/>
            <w:shd w:val="clear" w:color="auto" w:fill="EAF1F4"/>
          </w:tcPr>
          <w:p>
            <w:pPr>
              <w:spacing w:after="50" w:before="50" w:line="252" w:lineRule="auto"/>
            </w:pPr>
            <w:r>
              <w:rPr>
                <w:sz w:val="17"/>
              </w:rPr>
              <w:t>30–35%</w:t>
            </w:r>
          </w:p>
        </w:tc>
      </w:tr>
      <w:tr>
        <w:tc>
          <w:tcPr>
            <w:tcW w:type="dxa" w:w="850"/>
          </w:tcPr>
          <w:p>
            <w:pPr>
              <w:spacing w:after="50" w:before="50" w:line="252" w:lineRule="auto"/>
            </w:pPr>
            <w:r>
              <w:rPr>
                <w:sz w:val="17"/>
              </w:rPr>
              <w:t>7</w:t>
            </w:r>
          </w:p>
        </w:tc>
        <w:tc>
          <w:tcPr>
            <w:tcW w:type="dxa" w:w="3103"/>
          </w:tcPr>
          <w:p>
            <w:pPr>
              <w:spacing w:after="50" w:before="50" w:line="252" w:lineRule="auto"/>
            </w:pPr>
            <w:r>
              <w:rPr>
                <w:sz w:val="17"/>
              </w:rPr>
              <w:t>External committee member and neutral appointments</w:t>
            </w:r>
          </w:p>
        </w:tc>
        <w:tc>
          <w:tcPr>
            <w:tcW w:type="dxa" w:w="1968"/>
          </w:tcPr>
          <w:p>
            <w:pPr>
              <w:spacing w:after="50" w:before="50" w:line="252" w:lineRule="auto"/>
            </w:pPr>
            <w:r>
              <w:rPr>
                <w:sz w:val="17"/>
              </w:rPr>
              <w:t>Institution</w:t>
            </w:r>
          </w:p>
        </w:tc>
        <w:tc>
          <w:tcPr>
            <w:tcW w:type="dxa" w:w="2949"/>
          </w:tcPr>
          <w:p>
            <w:pPr>
              <w:spacing w:after="50" w:before="50" w:line="252" w:lineRule="auto"/>
            </w:pPr>
            <w:r>
              <w:rPr>
                <w:sz w:val="17"/>
              </w:rPr>
              <w:t>Per engagement</w:t>
            </w:r>
          </w:p>
        </w:tc>
        <w:tc>
          <w:tcPr>
            <w:tcW w:type="dxa" w:w="1091"/>
          </w:tcPr>
          <w:p>
            <w:pPr>
              <w:spacing w:after="50" w:before="50" w:line="252" w:lineRule="auto"/>
            </w:pPr>
            <w:r>
              <w:rPr>
                <w:sz w:val="17"/>
              </w:rPr>
              <w:t>45–55%</w:t>
            </w:r>
          </w:p>
        </w:tc>
      </w:tr>
      <w:tr>
        <w:tc>
          <w:tcPr>
            <w:tcW w:type="dxa" w:w="850"/>
            <w:shd w:val="clear" w:color="auto" w:fill="EAF1F4"/>
          </w:tcPr>
          <w:p>
            <w:pPr>
              <w:spacing w:after="50" w:before="50" w:line="252" w:lineRule="auto"/>
            </w:pPr>
            <w:r>
              <w:rPr>
                <w:sz w:val="17"/>
              </w:rPr>
              <w:t>8</w:t>
            </w:r>
          </w:p>
        </w:tc>
        <w:tc>
          <w:tcPr>
            <w:tcW w:type="dxa" w:w="3103"/>
            <w:shd w:val="clear" w:color="auto" w:fill="EAF1F4"/>
          </w:tcPr>
          <w:p>
            <w:pPr>
              <w:spacing w:after="50" w:before="50" w:line="252" w:lineRule="auto"/>
            </w:pPr>
            <w:r>
              <w:rPr>
                <w:b/>
                <w:sz w:val="17"/>
              </w:rPr>
              <w:t>Curriculum, casebook and problem-set licensing</w:t>
            </w:r>
          </w:p>
        </w:tc>
        <w:tc>
          <w:tcPr>
            <w:tcW w:type="dxa" w:w="1968"/>
            <w:shd w:val="clear" w:color="auto" w:fill="EAF1F4"/>
          </w:tcPr>
          <w:p>
            <w:pPr>
              <w:spacing w:after="50" w:before="50" w:line="252" w:lineRule="auto"/>
            </w:pPr>
            <w:r>
              <w:rPr>
                <w:sz w:val="17"/>
              </w:rPr>
              <w:t>Institution</w:t>
            </w:r>
          </w:p>
        </w:tc>
        <w:tc>
          <w:tcPr>
            <w:tcW w:type="dxa" w:w="2949"/>
            <w:shd w:val="clear" w:color="auto" w:fill="EAF1F4"/>
          </w:tcPr>
          <w:p>
            <w:pPr>
              <w:spacing w:after="50" w:before="50" w:line="252" w:lineRule="auto"/>
            </w:pPr>
            <w:r>
              <w:rPr>
                <w:b/>
                <w:sz w:val="17"/>
              </w:rPr>
              <w:t>Near-pure margin; zero delivery cost</w:t>
            </w:r>
          </w:p>
        </w:tc>
        <w:tc>
          <w:tcPr>
            <w:tcW w:type="dxa" w:w="1091"/>
            <w:shd w:val="clear" w:color="auto" w:fill="EAF1F4"/>
          </w:tcPr>
          <w:p>
            <w:pPr>
              <w:spacing w:after="50" w:before="50" w:line="252" w:lineRule="auto"/>
            </w:pPr>
            <w:r>
              <w:rPr>
                <w:sz w:val="17"/>
              </w:rPr>
              <w:t>85–90%</w:t>
            </w:r>
          </w:p>
        </w:tc>
      </w:tr>
      <w:tr>
        <w:tc>
          <w:tcPr>
            <w:tcW w:type="dxa" w:w="850"/>
          </w:tcPr>
          <w:p>
            <w:pPr>
              <w:spacing w:after="50" w:before="50" w:line="252" w:lineRule="auto"/>
            </w:pPr>
            <w:r>
              <w:rPr>
                <w:sz w:val="17"/>
              </w:rPr>
              <w:t>9</w:t>
            </w:r>
          </w:p>
        </w:tc>
        <w:tc>
          <w:tcPr>
            <w:tcW w:type="dxa" w:w="3103"/>
          </w:tcPr>
          <w:p>
            <w:pPr>
              <w:spacing w:after="50" w:before="50" w:line="252" w:lineRule="auto"/>
            </w:pPr>
            <w:r>
              <w:rPr>
                <w:sz w:val="17"/>
              </w:rPr>
              <w:t>Referred cases into Equator Resolution</w:t>
            </w:r>
          </w:p>
        </w:tc>
        <w:tc>
          <w:tcPr>
            <w:tcW w:type="dxa" w:w="1968"/>
          </w:tcPr>
          <w:p>
            <w:pPr>
              <w:spacing w:after="50" w:before="50" w:line="252" w:lineRule="auto"/>
            </w:pPr>
            <w:r>
              <w:rPr>
                <w:sz w:val="17"/>
              </w:rPr>
              <w:t>Disputing parties</w:t>
            </w:r>
          </w:p>
        </w:tc>
        <w:tc>
          <w:tcPr>
            <w:tcW w:type="dxa" w:w="2949"/>
          </w:tcPr>
          <w:p>
            <w:pPr>
              <w:spacing w:after="50" w:before="50" w:line="252" w:lineRule="auto"/>
            </w:pPr>
            <w:r>
              <w:rPr>
                <w:sz w:val="17"/>
              </w:rPr>
              <w:t>Strategic; compounds over time</w:t>
            </w:r>
          </w:p>
        </w:tc>
        <w:tc>
          <w:tcPr>
            <w:tcW w:type="dxa" w:w="1091"/>
          </w:tcPr>
          <w:p>
            <w:pPr>
              <w:spacing w:after="50" w:before="50" w:line="252" w:lineRule="auto"/>
            </w:pPr>
            <w:r>
              <w:rPr>
                <w:sz w:val="17"/>
              </w:rPr>
              <w:t>Per vertical fee schedule</w:t>
            </w:r>
          </w:p>
        </w:tc>
      </w:tr>
    </w:tbl>
    <w:p>
      <w:pPr>
        <w:spacing w:after="80" w:before="0"/>
      </w:pPr>
    </w:p>
    <w:p>
      <w:r>
        <w:rPr>
          <w:b/>
        </w:rPr>
        <w:t>Non-cash returns</w:t>
      </w:r>
      <w:r>
        <w:t>, tracked because they justify the fixed cost base: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03"/>
            <w:shd w:val="clear" w:color="auto" w:fill="10375C"/>
          </w:tcPr>
          <w:p>
            <w:pPr>
              <w:spacing w:after="50" w:before="50"/>
            </w:pPr>
            <w:r>
              <w:rPr>
                <w:b/>
                <w:color w:val="FFFFFF"/>
                <w:sz w:val="17"/>
              </w:rPr>
              <w:t>Return</w:t>
            </w:r>
          </w:p>
        </w:tc>
        <w:tc>
          <w:tcPr>
            <w:tcW w:type="dxa" w:w="4233"/>
            <w:shd w:val="clear" w:color="auto" w:fill="10375C"/>
          </w:tcPr>
          <w:p>
            <w:pPr>
              <w:spacing w:after="50" w:before="50"/>
            </w:pPr>
            <w:r>
              <w:rPr>
                <w:b/>
                <w:color w:val="FFFFFF"/>
                <w:sz w:val="17"/>
              </w:rPr>
              <w:t>Basis</w:t>
            </w:r>
          </w:p>
        </w:tc>
        <w:tc>
          <w:tcPr>
            <w:tcW w:type="dxa" w:w="3032"/>
            <w:shd w:val="clear" w:color="auto" w:fill="10375C"/>
          </w:tcPr>
          <w:p>
            <w:pPr>
              <w:spacing w:after="50" w:before="50"/>
            </w:pPr>
            <w:r>
              <w:rPr>
                <w:b/>
                <w:color w:val="FFFFFF"/>
                <w:sz w:val="17"/>
              </w:rPr>
              <w:t>Indicative value</w:t>
            </w:r>
          </w:p>
        </w:tc>
      </w:tr>
      <w:tr>
        <w:tc>
          <w:tcPr>
            <w:tcW w:type="dxa" w:w="2203"/>
          </w:tcPr>
          <w:p>
            <w:pPr>
              <w:spacing w:after="50" w:before="50" w:line="252" w:lineRule="auto"/>
            </w:pPr>
            <w:r>
              <w:rPr>
                <w:sz w:val="17"/>
              </w:rPr>
              <w:t>Cost-of-hire avoided</w:t>
            </w:r>
          </w:p>
        </w:tc>
        <w:tc>
          <w:tcPr>
            <w:tcW w:type="dxa" w:w="4233"/>
          </w:tcPr>
          <w:p>
            <w:pPr>
              <w:spacing w:after="50" w:before="50" w:line="252" w:lineRule="auto"/>
            </w:pPr>
            <w:r>
              <w:rPr>
                <w:sz w:val="17"/>
              </w:rPr>
              <w:t>Recruitment, screening and initial training displaced by an intern converted to employment</w:t>
            </w:r>
          </w:p>
        </w:tc>
        <w:tc>
          <w:tcPr>
            <w:tcW w:type="dxa" w:w="3032"/>
          </w:tcPr>
          <w:p>
            <w:pPr>
              <w:spacing w:after="50" w:before="50" w:line="252" w:lineRule="auto"/>
            </w:pPr>
            <w:r>
              <w:rPr>
                <w:sz w:val="17"/>
              </w:rPr>
              <w:t>₹85,000 to ₹1,40,000 per conversion</w:t>
            </w:r>
          </w:p>
        </w:tc>
      </w:tr>
      <w:tr>
        <w:tc>
          <w:tcPr>
            <w:tcW w:type="dxa" w:w="2203"/>
            <w:shd w:val="clear" w:color="auto" w:fill="EAF1F4"/>
          </w:tcPr>
          <w:p>
            <w:pPr>
              <w:spacing w:after="50" w:before="50" w:line="252" w:lineRule="auto"/>
            </w:pPr>
            <w:r>
              <w:rPr>
                <w:sz w:val="17"/>
              </w:rPr>
              <w:t>Venue and production cost avoided</w:t>
            </w:r>
          </w:p>
        </w:tc>
        <w:tc>
          <w:tcPr>
            <w:tcW w:type="dxa" w:w="4233"/>
            <w:shd w:val="clear" w:color="auto" w:fill="EAF1F4"/>
          </w:tcPr>
          <w:p>
            <w:pPr>
              <w:spacing w:after="50" w:before="50" w:line="252" w:lineRule="auto"/>
            </w:pPr>
            <w:r>
              <w:rPr>
                <w:sz w:val="17"/>
              </w:rPr>
              <w:t>Campus venue, hostel and student volunteers displacing commercial event cost</w:t>
            </w:r>
          </w:p>
        </w:tc>
        <w:tc>
          <w:tcPr>
            <w:tcW w:type="dxa" w:w="3032"/>
            <w:shd w:val="clear" w:color="auto" w:fill="EAF1F4"/>
          </w:tcPr>
          <w:p>
            <w:pPr>
              <w:spacing w:after="50" w:before="50" w:line="252" w:lineRule="auto"/>
            </w:pPr>
            <w:r>
              <w:rPr>
                <w:sz w:val="17"/>
              </w:rPr>
              <w:t>₹1,80,000 to ₹4,50,000 per major event</w:t>
            </w:r>
          </w:p>
        </w:tc>
      </w:tr>
    </w:tbl>
    <w:p>
      <w:pPr>
        <w:spacing w:after="80" w:before="0"/>
      </w:pPr>
    </w:p>
    <w:p>
      <w:pPr>
        <w:spacing w:before="80" w:after="160"/>
        <w:pBdr>
          <w:bottom w:val="single" w:sz="6" w:space="1" w:color="C9D6DE"/>
        </w:pBdr>
      </w:pPr>
    </w:p>
    <w:p>
      <w:pPr>
        <w:pStyle w:val="Heading1"/>
        <w:pBdr>
          <w:bottom w:val="single" w:sz="8" w:space="4" w:color="C9D6DE"/>
        </w:pBdr>
      </w:pPr>
      <w:r>
        <w:t>2. The central finding — read this before pricing anything</w:t>
      </w:r>
    </w:p>
    <w:p>
      <w:r>
        <w:t>Modelling in 04.2 produces one result that governs every pricing decision in this programme:</w:t>
      </w:r>
    </w:p>
    <w:p>
      <w:pPr>
        <w:spacing w:before="140" w:after="140"/>
        <w:ind w:left="198" w:right="113"/>
        <w:shd w:val="clear" w:color="auto" w:fill="EAF1F4"/>
        <w:pBdr>
          <w:left w:val="single" w:sz="18" w:space="6" w:color="0E7C7B"/>
        </w:pBdr>
      </w:pPr>
      <w:r>
        <w:rPr>
          <w:b/>
          <w:sz w:val="19"/>
        </w:rPr>
        <w:t>A student certificate course delivered by a local trainer bench earns a contribution margin of about 30%. The identical course delivered by outstation trainers earns about 6%.</w:t>
      </w:r>
      <w:r>
        <w:rPr>
          <w:sz w:val="19"/>
        </w:rPr>
        <w:t xml:space="preserve"> Travel and accommodation for two trainers over a five-day programme is roughly ₹63,000, and at student price points that consumes three-quarters of the contribution.</w:t>
      </w:r>
    </w:p>
    <w:p>
      <w:r>
        <w:t>Three consequences follow, and they are not negotiable:</w:t>
      </w:r>
    </w:p>
    <w:p>
      <w:pPr>
        <w:pStyle w:val="ListNumber"/>
      </w:pPr>
      <w:r>
        <w:rPr>
          <w:b/>
          <w:sz w:val="21"/>
        </w:rPr>
        <w:t>Build the local trainer bench before signing partnerships in a city.</w:t>
      </w:r>
      <w:r>
        <w:rPr>
          <w:sz w:val="21"/>
        </w:rPr>
        <w:t xml:space="preserve"> The train-the-trainer programme is not a nice-to-have; it is the precondition of profitable student delivery.</w:t>
      </w:r>
    </w:p>
    <w:p>
      <w:pPr>
        <w:pStyle w:val="ListNumber"/>
      </w:pPr>
      <w:r>
        <w:rPr>
          <w:b/>
          <w:sz w:val="21"/>
        </w:rPr>
        <w:t>Cluster partnerships geographically.</w:t>
      </w:r>
      <w:r>
        <w:rPr>
          <w:sz w:val="21"/>
        </w:rPr>
        <w:t xml:space="preserve"> Three partnerships in one city share a bench and are individually profitable. Three partnerships in three cities each carry full travel cost.</w:t>
      </w:r>
    </w:p>
    <w:p>
      <w:pPr>
        <w:pStyle w:val="ListNumber"/>
      </w:pPr>
      <w:r>
        <w:rPr>
          <w:b/>
          <w:sz w:val="21"/>
        </w:rPr>
        <w:t>Where a bench does not yet exist, price on the institution-paid model (block booking or FDP), not on the student revenue-share model.</w:t>
      </w:r>
      <w:r>
        <w:rPr>
          <w:sz w:val="21"/>
        </w:rPr>
        <w:t xml:space="preserve"> Institution-paid programmes absorb travel; student programmes do not.</w:t>
      </w:r>
    </w:p>
    <w:p>
      <w:pPr>
        <w:spacing w:before="80" w:after="160"/>
        <w:pBdr>
          <w:bottom w:val="single" w:sz="6" w:space="1" w:color="C9D6DE"/>
        </w:pBdr>
      </w:pPr>
    </w:p>
    <w:p>
      <w:pPr>
        <w:pStyle w:val="Heading1"/>
        <w:pBdr>
          <w:bottom w:val="single" w:sz="8" w:space="4" w:color="C9D6DE"/>
        </w:pBdr>
      </w:pPr>
      <w:r>
        <w:t>3. Pricing principles</w:t>
      </w:r>
    </w:p>
    <w:p>
      <w:pPr>
        <w:pStyle w:val="ListNumber"/>
      </w:pPr>
      <w:r>
        <w:rPr>
          <w:b/>
          <w:sz w:val="21"/>
        </w:rPr>
        <w:t>Price to the payer, not to the cost.</w:t>
      </w:r>
      <w:r>
        <w:rPr>
          <w:sz w:val="21"/>
        </w:rPr>
        <w:t xml:space="preserve"> Students, institutional budgets and sponsors have entirely different willingness to pay for what is often the same delivery.</w:t>
      </w:r>
    </w:p>
    <w:p>
      <w:pPr>
        <w:pStyle w:val="ListNumber"/>
      </w:pPr>
      <w:r>
        <w:rPr>
          <w:b/>
          <w:sz w:val="21"/>
        </w:rPr>
        <w:t>The student programme is a pipeline instrument.</w:t>
      </w:r>
      <w:r>
        <w:rPr>
          <w:sz w:val="21"/>
        </w:rPr>
        <w:t xml:space="preserve"> It is priced to fill, not to maximise. Its return arrives through lines 4, 6, 8 and 9 and through the talent pipeline.</w:t>
      </w:r>
    </w:p>
    <w:p>
      <w:pPr>
        <w:pStyle w:val="ListNumber"/>
      </w:pPr>
      <w:r>
        <w:rPr>
          <w:b/>
          <w:sz w:val="21"/>
        </w:rPr>
        <w:t>The professional programme is a revenue instrument</w:t>
      </w:r>
      <w:r>
        <w:rPr>
          <w:sz w:val="21"/>
        </w:rPr>
        <w:t xml:space="preserve"> and is priced inside the observed market band.</w:t>
      </w:r>
    </w:p>
    <w:p>
      <w:pPr>
        <w:pStyle w:val="ListNumber"/>
      </w:pPr>
      <w:r>
        <w:rPr>
          <w:b/>
          <w:sz w:val="21"/>
        </w:rPr>
        <w:t>Never discount; restructure.</w:t>
      </w:r>
      <w:r>
        <w:rPr>
          <w:sz w:val="21"/>
        </w:rPr>
        <w:t xml:space="preserve"> A shorter format, a smaller cohort, a phased delivery or a revenue share achieves the institution's objective without resetting the price.</w:t>
      </w:r>
    </w:p>
    <w:p>
      <w:pPr>
        <w:pStyle w:val="ListNumber"/>
      </w:pPr>
      <w:r>
        <w:rPr>
          <w:b/>
          <w:sz w:val="21"/>
        </w:rPr>
        <w:t>Charge for customisation.</w:t>
      </w:r>
      <w:r>
        <w:rPr>
          <w:sz w:val="21"/>
        </w:rPr>
        <w:t xml:space="preserve"> Standard delivery is priced as listed. Bespoke content is quoted at the customisation rate.</w:t>
      </w:r>
    </w:p>
    <w:p>
      <w:pPr>
        <w:pStyle w:val="ListNumber"/>
      </w:pPr>
      <w:r>
        <w:rPr>
          <w:b/>
          <w:sz w:val="21"/>
        </w:rPr>
        <w:t>Free is a decision, not a courtesy.</w:t>
      </w:r>
      <w:r>
        <w:rPr>
          <w:sz w:val="21"/>
        </w:rPr>
        <w:t xml:space="preserve"> Only the listed loss leaders are free, within their stated limits.</w:t>
      </w:r>
    </w:p>
    <w:p>
      <w:pPr>
        <w:pStyle w:val="ListNumber"/>
      </w:pPr>
      <w:r>
        <w:rPr>
          <w:b/>
          <w:sz w:val="21"/>
        </w:rPr>
        <w:t>The floor is a floor.</w:t>
      </w:r>
      <w:r>
        <w:rPr>
          <w:sz w:val="21"/>
        </w:rPr>
        <w:t xml:space="preserve"> It is the price below which contribution turns negative at standard volumes. It is internal and is never disclosed.</w:t>
      </w:r>
    </w:p>
    <w:p>
      <w:pPr>
        <w:spacing w:before="80" w:after="160"/>
        <w:pBdr>
          <w:bottom w:val="single" w:sz="6" w:space="1" w:color="C9D6DE"/>
        </w:pBdr>
      </w:pPr>
    </w:p>
    <w:p>
      <w:pPr>
        <w:pStyle w:val="Heading1"/>
        <w:pBdr>
          <w:bottom w:val="single" w:sz="8" w:space="4" w:color="C9D6DE"/>
        </w:pBdr>
      </w:pPr>
      <w:r>
        <w:t>4. Observed market benchmarks</w:t>
      </w:r>
    </w:p>
    <w:p>
      <w:r>
        <w:t xml:space="preserve">These are the reference points against which the rate card is set. They relate to </w:t>
      </w:r>
      <w:r>
        <w:rPr>
          <w:b/>
        </w:rPr>
        <w:t>professional</w:t>
      </w:r>
      <w:r>
        <w:t xml:space="preserve"> mediation training in India.</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162"/>
            <w:shd w:val="clear" w:color="auto" w:fill="10375C"/>
          </w:tcPr>
          <w:p>
            <w:pPr>
              <w:spacing w:after="50" w:before="50"/>
            </w:pPr>
            <w:r>
              <w:rPr>
                <w:b/>
                <w:color w:val="FFFFFF"/>
                <w:sz w:val="17"/>
              </w:rPr>
              <w:t>Provider category</w:t>
            </w:r>
          </w:p>
        </w:tc>
        <w:tc>
          <w:tcPr>
            <w:tcW w:type="dxa" w:w="3095"/>
            <w:shd w:val="clear" w:color="auto" w:fill="10375C"/>
          </w:tcPr>
          <w:p>
            <w:pPr>
              <w:spacing w:after="50" w:before="50"/>
            </w:pPr>
            <w:r>
              <w:rPr>
                <w:b/>
                <w:color w:val="FFFFFF"/>
                <w:sz w:val="17"/>
              </w:rPr>
              <w:t>Programme</w:t>
            </w:r>
          </w:p>
        </w:tc>
        <w:tc>
          <w:tcPr>
            <w:tcW w:type="dxa" w:w="3211"/>
            <w:shd w:val="clear" w:color="auto" w:fill="10375C"/>
          </w:tcPr>
          <w:p>
            <w:pPr>
              <w:spacing w:after="50" w:before="50"/>
            </w:pPr>
            <w:r>
              <w:rPr>
                <w:b/>
                <w:color w:val="FFFFFF"/>
                <w:sz w:val="17"/>
              </w:rPr>
              <w:t>Observed price</w:t>
            </w:r>
          </w:p>
        </w:tc>
      </w:tr>
      <w:tr>
        <w:tc>
          <w:tcPr>
            <w:tcW w:type="dxa" w:w="3162"/>
          </w:tcPr>
          <w:p>
            <w:pPr>
              <w:spacing w:after="50" w:before="50" w:line="252" w:lineRule="auto"/>
            </w:pPr>
            <w:r>
              <w:rPr>
                <w:sz w:val="17"/>
              </w:rPr>
              <w:t>State dispute resolution society</w:t>
            </w:r>
          </w:p>
        </w:tc>
        <w:tc>
          <w:tcPr>
            <w:tcW w:type="dxa" w:w="3095"/>
          </w:tcPr>
          <w:p>
            <w:pPr>
              <w:spacing w:after="50" w:before="50" w:line="252" w:lineRule="auto"/>
            </w:pPr>
            <w:r>
              <w:rPr>
                <w:sz w:val="17"/>
              </w:rPr>
              <w:t>40-hour mediation training</w:t>
            </w:r>
          </w:p>
        </w:tc>
        <w:tc>
          <w:tcPr>
            <w:tcW w:type="dxa" w:w="3211"/>
          </w:tcPr>
          <w:p>
            <w:pPr>
              <w:spacing w:after="50" w:before="50" w:line="252" w:lineRule="auto"/>
            </w:pPr>
            <w:r>
              <w:rPr>
                <w:sz w:val="17"/>
              </w:rPr>
              <w:t>₹25,000 per candidate</w:t>
            </w:r>
          </w:p>
        </w:tc>
      </w:tr>
      <w:tr>
        <w:tc>
          <w:tcPr>
            <w:tcW w:type="dxa" w:w="3162"/>
            <w:shd w:val="clear" w:color="auto" w:fill="EAF1F4"/>
          </w:tcPr>
          <w:p>
            <w:pPr>
              <w:spacing w:after="50" w:before="50" w:line="252" w:lineRule="auto"/>
            </w:pPr>
            <w:r>
              <w:rPr>
                <w:sz w:val="17"/>
              </w:rPr>
              <w:t>Established private institute</w:t>
            </w:r>
          </w:p>
        </w:tc>
        <w:tc>
          <w:tcPr>
            <w:tcW w:type="dxa" w:w="3095"/>
            <w:shd w:val="clear" w:color="auto" w:fill="EAF1F4"/>
          </w:tcPr>
          <w:p>
            <w:pPr>
              <w:spacing w:after="50" w:before="50" w:line="252" w:lineRule="auto"/>
            </w:pPr>
            <w:r>
              <w:rPr>
                <w:sz w:val="17"/>
              </w:rPr>
              <w:t>Certified mediation training, stage 1</w:t>
            </w:r>
          </w:p>
        </w:tc>
        <w:tc>
          <w:tcPr>
            <w:tcW w:type="dxa" w:w="3211"/>
            <w:shd w:val="clear" w:color="auto" w:fill="EAF1F4"/>
          </w:tcPr>
          <w:p>
            <w:pPr>
              <w:spacing w:after="50" w:before="50" w:line="252" w:lineRule="auto"/>
            </w:pPr>
            <w:r>
              <w:rPr>
                <w:sz w:val="17"/>
              </w:rPr>
              <w:t>₹50,000 inclusive of tax; further stage ₹22,500</w:t>
            </w:r>
          </w:p>
        </w:tc>
      </w:tr>
      <w:tr>
        <w:tc>
          <w:tcPr>
            <w:tcW w:type="dxa" w:w="3162"/>
          </w:tcPr>
          <w:p>
            <w:pPr>
              <w:spacing w:after="50" w:before="50" w:line="252" w:lineRule="auto"/>
            </w:pPr>
            <w:r>
              <w:rPr>
                <w:sz w:val="17"/>
              </w:rPr>
              <w:t>International provider, India delivery</w:t>
            </w:r>
          </w:p>
        </w:tc>
        <w:tc>
          <w:tcPr>
            <w:tcW w:type="dxa" w:w="3095"/>
          </w:tcPr>
          <w:p>
            <w:pPr>
              <w:spacing w:after="50" w:before="50" w:line="252" w:lineRule="auto"/>
            </w:pPr>
            <w:r>
              <w:rPr>
                <w:sz w:val="17"/>
              </w:rPr>
              <w:t>Civil and commercial mediation training</w:t>
            </w:r>
          </w:p>
        </w:tc>
        <w:tc>
          <w:tcPr>
            <w:tcW w:type="dxa" w:w="3211"/>
          </w:tcPr>
          <w:p>
            <w:pPr>
              <w:spacing w:after="50" w:before="50" w:line="252" w:lineRule="auto"/>
            </w:pPr>
            <w:r>
              <w:rPr>
                <w:sz w:val="17"/>
              </w:rPr>
              <w:t>₹50,000 inclusive of tax</w:t>
            </w:r>
          </w:p>
        </w:tc>
      </w:tr>
    </w:tbl>
    <w:p>
      <w:pPr>
        <w:spacing w:after="80" w:before="0"/>
      </w:pPr>
    </w:p>
    <w:p>
      <w:r>
        <w:rPr>
          <w:b/>
        </w:rPr>
        <w:t>Conclusion.</w:t>
      </w:r>
      <w:r>
        <w:t xml:space="preserve"> The professional market clears between </w:t>
      </w:r>
      <w:r>
        <w:rPr>
          <w:b/>
        </w:rPr>
        <w:t>₹25,000 and ₹50,000</w:t>
      </w:r>
      <w:r>
        <w:t>. Equator prices professional programmes at ₹38,000 list — inside the band, above the subsidised floor, below the premium. The student market does not support these levels and is priced separately at roughly a quarter of the professional rate, which is viable only because campus delivery removes venue cost and volume dilutes trainer cost.</w:t>
      </w:r>
    </w:p>
    <w:p>
      <w:pPr>
        <w:spacing w:before="80" w:after="160"/>
        <w:pBdr>
          <w:bottom w:val="single" w:sz="6" w:space="1" w:color="C9D6DE"/>
        </w:pBdr>
      </w:pPr>
    </w:p>
    <w:p>
      <w:pPr>
        <w:pStyle w:val="Heading1"/>
        <w:pBdr>
          <w:bottom w:val="single" w:sz="8" w:space="4" w:color="C9D6DE"/>
        </w:pBdr>
      </w:pPr>
      <w:r>
        <w:t>5. Rate card</w:t>
      </w:r>
    </w:p>
    <w:p>
      <w:r>
        <w:t xml:space="preserve">All amounts in Indian Rupees, </w:t>
      </w:r>
      <w:r>
        <w:rPr>
          <w:b/>
        </w:rPr>
        <w:t>exclusive of applicable taxes</w:t>
      </w:r>
      <w:r>
        <w:t xml:space="preserve">. Tax characterisation is subject to open item </w:t>
      </w:r>
      <w:r>
        <w:rPr>
          <w:b/>
        </w:rPr>
        <w:t>U1</w:t>
      </w:r>
      <w:r>
        <w:t xml:space="preserve">. Effective from </w:t>
      </w:r>
      <w:r>
        <w:rPr>
          <w:b/>
        </w:rPr>
        <w:t>[●]</w:t>
      </w:r>
      <w:r>
        <w:t>; review annually.</w:t>
      </w:r>
    </w:p>
    <w:p>
      <w:pPr>
        <w:pStyle w:val="Heading2"/>
      </w:pPr>
      <w:r>
        <w:t>5.1 Student programmes — per participant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1012"/>
            <w:shd w:val="clear" w:color="auto" w:fill="10375C"/>
          </w:tcPr>
          <w:p>
            <w:pPr>
              <w:spacing w:after="50" w:before="50"/>
            </w:pPr>
            <w:r>
              <w:rPr>
                <w:b/>
                <w:color w:val="FFFFFF"/>
                <w:sz w:val="17"/>
              </w:rPr>
              <w:t>Code</w:t>
            </w:r>
          </w:p>
        </w:tc>
        <w:tc>
          <w:tcPr>
            <w:tcW w:type="dxa" w:w="3899"/>
            <w:shd w:val="clear" w:color="auto" w:fill="10375C"/>
          </w:tcPr>
          <w:p>
            <w:pPr>
              <w:spacing w:after="50" w:before="50"/>
            </w:pPr>
            <w:r>
              <w:rPr>
                <w:b/>
                <w:color w:val="FFFFFF"/>
                <w:sz w:val="17"/>
              </w:rPr>
              <w:t>Programme</w:t>
            </w:r>
          </w:p>
        </w:tc>
        <w:tc>
          <w:tcPr>
            <w:tcW w:type="dxa" w:w="850"/>
            <w:shd w:val="clear" w:color="auto" w:fill="10375C"/>
          </w:tcPr>
          <w:p>
            <w:pPr>
              <w:spacing w:after="50" w:before="50"/>
            </w:pPr>
            <w:r>
              <w:rPr>
                <w:b/>
                <w:color w:val="FFFFFF"/>
                <w:sz w:val="17"/>
              </w:rPr>
              <w:t>Hours</w:t>
            </w:r>
          </w:p>
        </w:tc>
        <w:tc>
          <w:tcPr>
            <w:tcW w:type="dxa" w:w="850"/>
            <w:shd w:val="clear" w:color="auto" w:fill="10375C"/>
          </w:tcPr>
          <w:p>
            <w:pPr>
              <w:spacing w:after="50" w:before="50"/>
            </w:pPr>
            <w:r>
              <w:rPr>
                <w:b/>
                <w:color w:val="FFFFFF"/>
                <w:sz w:val="17"/>
              </w:rPr>
              <w:t>List</w:t>
            </w:r>
          </w:p>
        </w:tc>
        <w:tc>
          <w:tcPr>
            <w:tcW w:type="dxa" w:w="1102"/>
            <w:shd w:val="clear" w:color="auto" w:fill="10375C"/>
          </w:tcPr>
          <w:p>
            <w:pPr>
              <w:spacing w:after="50" w:before="50"/>
            </w:pPr>
            <w:r>
              <w:rPr>
                <w:b/>
                <w:color w:val="FFFFFF"/>
                <w:sz w:val="17"/>
              </w:rPr>
              <w:t>Partner rate</w:t>
            </w:r>
          </w:p>
        </w:tc>
        <w:tc>
          <w:tcPr>
            <w:tcW w:type="dxa" w:w="1336"/>
            <w:shd w:val="clear" w:color="auto" w:fill="10375C"/>
          </w:tcPr>
          <w:p>
            <w:pPr>
              <w:spacing w:after="50" w:before="50"/>
            </w:pPr>
            <w:r>
              <w:rPr>
                <w:b/>
                <w:color w:val="FFFFFF"/>
                <w:sz w:val="17"/>
              </w:rPr>
              <w:t>Floor</w:t>
            </w:r>
          </w:p>
        </w:tc>
        <w:tc>
          <w:tcPr>
            <w:tcW w:type="dxa" w:w="850"/>
            <w:shd w:val="clear" w:color="auto" w:fill="10375C"/>
          </w:tcPr>
          <w:p>
            <w:pPr>
              <w:spacing w:after="50" w:before="50"/>
            </w:pPr>
            <w:r>
              <w:rPr>
                <w:b/>
                <w:color w:val="FFFFFF"/>
                <w:sz w:val="17"/>
              </w:rPr>
              <w:t>Min cohort</w:t>
            </w:r>
          </w:p>
        </w:tc>
      </w:tr>
      <w:tr>
        <w:tc>
          <w:tcPr>
            <w:tcW w:type="dxa" w:w="1012"/>
          </w:tcPr>
          <w:p>
            <w:pPr>
              <w:spacing w:after="50" w:before="50" w:line="252" w:lineRule="auto"/>
            </w:pPr>
            <w:r>
              <w:rPr>
                <w:sz w:val="17"/>
              </w:rPr>
              <w:t>T-40-S</w:t>
            </w:r>
          </w:p>
        </w:tc>
        <w:tc>
          <w:tcPr>
            <w:tcW w:type="dxa" w:w="3899"/>
          </w:tcPr>
          <w:p>
            <w:pPr>
              <w:spacing w:after="50" w:before="50" w:line="252" w:lineRule="auto"/>
            </w:pPr>
            <w:r>
              <w:rPr>
                <w:sz w:val="17"/>
              </w:rPr>
              <w:t>Basic Mediation Training</w:t>
            </w:r>
          </w:p>
        </w:tc>
        <w:tc>
          <w:tcPr>
            <w:tcW w:type="dxa" w:w="850"/>
          </w:tcPr>
          <w:p>
            <w:pPr>
              <w:spacing w:after="50" w:before="50" w:line="252" w:lineRule="auto"/>
            </w:pPr>
            <w:r>
              <w:rPr>
                <w:sz w:val="17"/>
              </w:rPr>
              <w:t>40</w:t>
            </w:r>
          </w:p>
        </w:tc>
        <w:tc>
          <w:tcPr>
            <w:tcW w:type="dxa" w:w="850"/>
          </w:tcPr>
          <w:p>
            <w:pPr>
              <w:spacing w:after="50" w:before="50" w:line="252" w:lineRule="auto"/>
            </w:pPr>
            <w:r>
              <w:rPr>
                <w:sz w:val="17"/>
              </w:rPr>
              <w:t>12,500</w:t>
            </w:r>
          </w:p>
        </w:tc>
        <w:tc>
          <w:tcPr>
            <w:tcW w:type="dxa" w:w="1102"/>
          </w:tcPr>
          <w:p>
            <w:pPr>
              <w:spacing w:after="50" w:before="50" w:line="252" w:lineRule="auto"/>
            </w:pPr>
            <w:r>
              <w:rPr>
                <w:sz w:val="17"/>
              </w:rPr>
              <w:t>9,500</w:t>
            </w:r>
          </w:p>
        </w:tc>
        <w:tc>
          <w:tcPr>
            <w:tcW w:type="dxa" w:w="1336"/>
          </w:tcPr>
          <w:p>
            <w:pPr>
              <w:spacing w:after="50" w:before="50" w:line="252" w:lineRule="auto"/>
            </w:pPr>
            <w:r>
              <w:rPr>
                <w:b/>
                <w:sz w:val="17"/>
              </w:rPr>
              <w:t>7,500</w:t>
            </w:r>
          </w:p>
        </w:tc>
        <w:tc>
          <w:tcPr>
            <w:tcW w:type="dxa" w:w="850"/>
          </w:tcPr>
          <w:p>
            <w:pPr>
              <w:spacing w:after="50" w:before="50" w:line="252" w:lineRule="auto"/>
            </w:pPr>
            <w:r>
              <w:rPr>
                <w:sz w:val="17"/>
              </w:rPr>
              <w:t>25</w:t>
            </w:r>
          </w:p>
        </w:tc>
      </w:tr>
      <w:tr>
        <w:tc>
          <w:tcPr>
            <w:tcW w:type="dxa" w:w="1012"/>
            <w:shd w:val="clear" w:color="auto" w:fill="EAF1F4"/>
          </w:tcPr>
          <w:p>
            <w:pPr>
              <w:spacing w:after="50" w:before="50" w:line="252" w:lineRule="auto"/>
            </w:pPr>
            <w:r>
              <w:rPr>
                <w:sz w:val="17"/>
              </w:rPr>
              <w:t>T-20-S</w:t>
            </w:r>
          </w:p>
        </w:tc>
        <w:tc>
          <w:tcPr>
            <w:tcW w:type="dxa" w:w="3899"/>
            <w:shd w:val="clear" w:color="auto" w:fill="EAF1F4"/>
          </w:tcPr>
          <w:p>
            <w:pPr>
              <w:spacing w:after="50" w:before="50" w:line="252" w:lineRule="auto"/>
            </w:pPr>
            <w:r>
              <w:rPr>
                <w:sz w:val="17"/>
              </w:rPr>
              <w:t>Advanced Mediation Training</w:t>
            </w:r>
          </w:p>
        </w:tc>
        <w:tc>
          <w:tcPr>
            <w:tcW w:type="dxa" w:w="850"/>
            <w:shd w:val="clear" w:color="auto" w:fill="EAF1F4"/>
          </w:tcPr>
          <w:p>
            <w:pPr>
              <w:spacing w:after="50" w:before="50" w:line="252" w:lineRule="auto"/>
            </w:pPr>
            <w:r>
              <w:rPr>
                <w:sz w:val="17"/>
              </w:rPr>
              <w:t>20</w:t>
            </w:r>
          </w:p>
        </w:tc>
        <w:tc>
          <w:tcPr>
            <w:tcW w:type="dxa" w:w="850"/>
            <w:shd w:val="clear" w:color="auto" w:fill="EAF1F4"/>
          </w:tcPr>
          <w:p>
            <w:pPr>
              <w:spacing w:after="50" w:before="50" w:line="252" w:lineRule="auto"/>
            </w:pPr>
            <w:r>
              <w:rPr>
                <w:sz w:val="17"/>
              </w:rPr>
              <w:t>7,500</w:t>
            </w:r>
          </w:p>
        </w:tc>
        <w:tc>
          <w:tcPr>
            <w:tcW w:type="dxa" w:w="1102"/>
            <w:shd w:val="clear" w:color="auto" w:fill="EAF1F4"/>
          </w:tcPr>
          <w:p>
            <w:pPr>
              <w:spacing w:after="50" w:before="50" w:line="252" w:lineRule="auto"/>
            </w:pPr>
            <w:r>
              <w:rPr>
                <w:sz w:val="17"/>
              </w:rPr>
              <w:t>5,500</w:t>
            </w:r>
          </w:p>
        </w:tc>
        <w:tc>
          <w:tcPr>
            <w:tcW w:type="dxa" w:w="1336"/>
            <w:shd w:val="clear" w:color="auto" w:fill="EAF1F4"/>
          </w:tcPr>
          <w:p>
            <w:pPr>
              <w:spacing w:after="50" w:before="50" w:line="252" w:lineRule="auto"/>
            </w:pPr>
            <w:r>
              <w:rPr>
                <w:b/>
                <w:sz w:val="17"/>
              </w:rPr>
              <w:t>4,500</w:t>
            </w:r>
          </w:p>
        </w:tc>
        <w:tc>
          <w:tcPr>
            <w:tcW w:type="dxa" w:w="850"/>
            <w:shd w:val="clear" w:color="auto" w:fill="EAF1F4"/>
          </w:tcPr>
          <w:p>
            <w:pPr>
              <w:spacing w:after="50" w:before="50" w:line="252" w:lineRule="auto"/>
            </w:pPr>
            <w:r>
              <w:rPr>
                <w:sz w:val="17"/>
              </w:rPr>
              <w:t>20</w:t>
            </w:r>
          </w:p>
        </w:tc>
      </w:tr>
      <w:tr>
        <w:tc>
          <w:tcPr>
            <w:tcW w:type="dxa" w:w="1012"/>
          </w:tcPr>
          <w:p>
            <w:pPr>
              <w:spacing w:after="50" w:before="50" w:line="252" w:lineRule="auto"/>
            </w:pPr>
            <w:r>
              <w:rPr>
                <w:sz w:val="17"/>
              </w:rPr>
              <w:t>C-CERT</w:t>
            </w:r>
          </w:p>
        </w:tc>
        <w:tc>
          <w:tcPr>
            <w:tcW w:type="dxa" w:w="3899"/>
          </w:tcPr>
          <w:p>
            <w:pPr>
              <w:spacing w:after="50" w:before="50" w:line="252" w:lineRule="auto"/>
            </w:pPr>
            <w:r>
              <w:rPr>
                <w:sz w:val="17"/>
              </w:rPr>
              <w:t>Credit-bearing certificate course</w:t>
            </w:r>
          </w:p>
        </w:tc>
        <w:tc>
          <w:tcPr>
            <w:tcW w:type="dxa" w:w="850"/>
          </w:tcPr>
          <w:p>
            <w:pPr>
              <w:spacing w:after="50" w:before="50" w:line="252" w:lineRule="auto"/>
            </w:pPr>
            <w:r>
              <w:rPr>
                <w:sz w:val="17"/>
              </w:rPr>
              <w:t>[●]</w:t>
            </w:r>
          </w:p>
        </w:tc>
        <w:tc>
          <w:tcPr>
            <w:tcW w:type="dxa" w:w="850"/>
          </w:tcPr>
          <w:p>
            <w:pPr>
              <w:spacing w:after="50" w:before="50" w:line="252" w:lineRule="auto"/>
            </w:pPr>
            <w:r>
              <w:rPr>
                <w:sz w:val="17"/>
              </w:rPr>
              <w:t>14,000</w:t>
            </w:r>
          </w:p>
        </w:tc>
        <w:tc>
          <w:tcPr>
            <w:tcW w:type="dxa" w:w="1102"/>
          </w:tcPr>
          <w:p>
            <w:pPr>
              <w:spacing w:after="50" w:before="50" w:line="252" w:lineRule="auto"/>
            </w:pPr>
            <w:r>
              <w:rPr>
                <w:sz w:val="17"/>
              </w:rPr>
              <w:t>11,000</w:t>
            </w:r>
          </w:p>
        </w:tc>
        <w:tc>
          <w:tcPr>
            <w:tcW w:type="dxa" w:w="1336"/>
          </w:tcPr>
          <w:p>
            <w:pPr>
              <w:spacing w:after="50" w:before="50" w:line="252" w:lineRule="auto"/>
            </w:pPr>
            <w:r>
              <w:rPr>
                <w:b/>
                <w:sz w:val="17"/>
              </w:rPr>
              <w:t>8,500</w:t>
            </w:r>
          </w:p>
        </w:tc>
        <w:tc>
          <w:tcPr>
            <w:tcW w:type="dxa" w:w="850"/>
          </w:tcPr>
          <w:p>
            <w:pPr>
              <w:spacing w:after="50" w:before="50" w:line="252" w:lineRule="auto"/>
            </w:pPr>
            <w:r>
              <w:rPr>
                <w:sz w:val="17"/>
              </w:rPr>
              <w:t>30</w:t>
            </w:r>
          </w:p>
        </w:tc>
      </w:tr>
      <w:tr>
        <w:tc>
          <w:tcPr>
            <w:tcW w:type="dxa" w:w="1012"/>
            <w:shd w:val="clear" w:color="auto" w:fill="EAF1F4"/>
          </w:tcPr>
          <w:p>
            <w:pPr>
              <w:spacing w:after="50" w:before="50" w:line="252" w:lineRule="auto"/>
            </w:pPr>
            <w:r>
              <w:rPr>
                <w:sz w:val="17"/>
              </w:rPr>
              <w:t>W-HALF-S</w:t>
            </w:r>
          </w:p>
        </w:tc>
        <w:tc>
          <w:tcPr>
            <w:tcW w:type="dxa" w:w="3899"/>
            <w:shd w:val="clear" w:color="auto" w:fill="EAF1F4"/>
          </w:tcPr>
          <w:p>
            <w:pPr>
              <w:spacing w:after="50" w:before="50" w:line="252" w:lineRule="auto"/>
            </w:pPr>
            <w:r>
              <w:rPr>
                <w:sz w:val="17"/>
              </w:rPr>
              <w:t>Workshop, half day</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1,500</w:t>
            </w:r>
          </w:p>
        </w:tc>
        <w:tc>
          <w:tcPr>
            <w:tcW w:type="dxa" w:w="1102"/>
            <w:shd w:val="clear" w:color="auto" w:fill="EAF1F4"/>
          </w:tcPr>
          <w:p>
            <w:pPr>
              <w:spacing w:after="50" w:before="50" w:line="252" w:lineRule="auto"/>
            </w:pPr>
            <w:r>
              <w:rPr>
                <w:sz w:val="17"/>
              </w:rPr>
              <w:t>1,200</w:t>
            </w:r>
          </w:p>
        </w:tc>
        <w:tc>
          <w:tcPr>
            <w:tcW w:type="dxa" w:w="1336"/>
            <w:shd w:val="clear" w:color="auto" w:fill="EAF1F4"/>
          </w:tcPr>
          <w:p>
            <w:pPr>
              <w:spacing w:after="50" w:before="50" w:line="252" w:lineRule="auto"/>
            </w:pPr>
            <w:r>
              <w:rPr>
                <w:b/>
                <w:sz w:val="17"/>
              </w:rPr>
              <w:t>800</w:t>
            </w:r>
          </w:p>
        </w:tc>
        <w:tc>
          <w:tcPr>
            <w:tcW w:type="dxa" w:w="850"/>
            <w:shd w:val="clear" w:color="auto" w:fill="EAF1F4"/>
          </w:tcPr>
          <w:p>
            <w:pPr>
              <w:spacing w:after="50" w:before="50" w:line="252" w:lineRule="auto"/>
            </w:pPr>
            <w:r>
              <w:rPr>
                <w:sz w:val="17"/>
              </w:rPr>
              <w:t>25</w:t>
            </w:r>
          </w:p>
        </w:tc>
      </w:tr>
      <w:tr>
        <w:tc>
          <w:tcPr>
            <w:tcW w:type="dxa" w:w="1012"/>
          </w:tcPr>
          <w:p>
            <w:pPr>
              <w:spacing w:after="50" w:before="50" w:line="252" w:lineRule="auto"/>
            </w:pPr>
            <w:r>
              <w:rPr>
                <w:sz w:val="17"/>
              </w:rPr>
              <w:t>W-FULL-S</w:t>
            </w:r>
          </w:p>
        </w:tc>
        <w:tc>
          <w:tcPr>
            <w:tcW w:type="dxa" w:w="3899"/>
          </w:tcPr>
          <w:p>
            <w:pPr>
              <w:spacing w:after="50" w:before="50" w:line="252" w:lineRule="auto"/>
            </w:pPr>
            <w:r>
              <w:rPr>
                <w:sz w:val="17"/>
              </w:rPr>
              <w:t>Workshop, full day</w:t>
            </w:r>
          </w:p>
        </w:tc>
        <w:tc>
          <w:tcPr>
            <w:tcW w:type="dxa" w:w="850"/>
          </w:tcPr>
          <w:p>
            <w:pPr>
              <w:spacing w:after="50" w:before="50" w:line="252" w:lineRule="auto"/>
            </w:pPr>
            <w:r>
              <w:rPr>
                <w:sz w:val="17"/>
              </w:rPr>
              <w:t>8</w:t>
            </w:r>
          </w:p>
        </w:tc>
        <w:tc>
          <w:tcPr>
            <w:tcW w:type="dxa" w:w="850"/>
          </w:tcPr>
          <w:p>
            <w:pPr>
              <w:spacing w:after="50" w:before="50" w:line="252" w:lineRule="auto"/>
            </w:pPr>
            <w:r>
              <w:rPr>
                <w:sz w:val="17"/>
              </w:rPr>
              <w:t>2,800</w:t>
            </w:r>
          </w:p>
        </w:tc>
        <w:tc>
          <w:tcPr>
            <w:tcW w:type="dxa" w:w="1102"/>
          </w:tcPr>
          <w:p>
            <w:pPr>
              <w:spacing w:after="50" w:before="50" w:line="252" w:lineRule="auto"/>
            </w:pPr>
            <w:r>
              <w:rPr>
                <w:sz w:val="17"/>
              </w:rPr>
              <w:t>2,200</w:t>
            </w:r>
          </w:p>
        </w:tc>
        <w:tc>
          <w:tcPr>
            <w:tcW w:type="dxa" w:w="1336"/>
          </w:tcPr>
          <w:p>
            <w:pPr>
              <w:spacing w:after="50" w:before="50" w:line="252" w:lineRule="auto"/>
            </w:pPr>
            <w:r>
              <w:rPr>
                <w:b/>
                <w:sz w:val="17"/>
              </w:rPr>
              <w:t>1,500</w:t>
            </w:r>
          </w:p>
        </w:tc>
        <w:tc>
          <w:tcPr>
            <w:tcW w:type="dxa" w:w="850"/>
          </w:tcPr>
          <w:p>
            <w:pPr>
              <w:spacing w:after="50" w:before="50" w:line="252" w:lineRule="auto"/>
            </w:pPr>
            <w:r>
              <w:rPr>
                <w:sz w:val="17"/>
              </w:rPr>
              <w:t>25</w:t>
            </w:r>
          </w:p>
        </w:tc>
      </w:tr>
      <w:tr>
        <w:tc>
          <w:tcPr>
            <w:tcW w:type="dxa" w:w="1012"/>
            <w:shd w:val="clear" w:color="auto" w:fill="EAF1F4"/>
          </w:tcPr>
          <w:p>
            <w:pPr>
              <w:spacing w:after="50" w:before="50" w:line="252" w:lineRule="auto"/>
            </w:pPr>
            <w:r>
              <w:rPr>
                <w:sz w:val="17"/>
              </w:rPr>
              <w:t>W-SERIES</w:t>
            </w:r>
          </w:p>
        </w:tc>
        <w:tc>
          <w:tcPr>
            <w:tcW w:type="dxa" w:w="3899"/>
            <w:shd w:val="clear" w:color="auto" w:fill="EAF1F4"/>
          </w:tcPr>
          <w:p>
            <w:pPr>
              <w:spacing w:after="50" w:before="50" w:line="252" w:lineRule="auto"/>
            </w:pPr>
            <w:r>
              <w:rPr>
                <w:sz w:val="17"/>
              </w:rPr>
              <w:t>Workshop series, three half days</w:t>
            </w:r>
          </w:p>
        </w:tc>
        <w:tc>
          <w:tcPr>
            <w:tcW w:type="dxa" w:w="850"/>
            <w:shd w:val="clear" w:color="auto" w:fill="EAF1F4"/>
          </w:tcPr>
          <w:p>
            <w:pPr>
              <w:spacing w:after="50" w:before="50" w:line="252" w:lineRule="auto"/>
            </w:pPr>
            <w:r>
              <w:rPr>
                <w:sz w:val="17"/>
              </w:rPr>
              <w:t>12</w:t>
            </w:r>
          </w:p>
        </w:tc>
        <w:tc>
          <w:tcPr>
            <w:tcW w:type="dxa" w:w="850"/>
            <w:shd w:val="clear" w:color="auto" w:fill="EAF1F4"/>
          </w:tcPr>
          <w:p>
            <w:pPr>
              <w:spacing w:after="50" w:before="50" w:line="252" w:lineRule="auto"/>
            </w:pPr>
            <w:r>
              <w:rPr>
                <w:sz w:val="17"/>
              </w:rPr>
              <w:t>3,800</w:t>
            </w:r>
          </w:p>
        </w:tc>
        <w:tc>
          <w:tcPr>
            <w:tcW w:type="dxa" w:w="1102"/>
            <w:shd w:val="clear" w:color="auto" w:fill="EAF1F4"/>
          </w:tcPr>
          <w:p>
            <w:pPr>
              <w:spacing w:after="50" w:before="50" w:line="252" w:lineRule="auto"/>
            </w:pPr>
            <w:r>
              <w:rPr>
                <w:sz w:val="17"/>
              </w:rPr>
              <w:t>3,000</w:t>
            </w:r>
          </w:p>
        </w:tc>
        <w:tc>
          <w:tcPr>
            <w:tcW w:type="dxa" w:w="1336"/>
            <w:shd w:val="clear" w:color="auto" w:fill="EAF1F4"/>
          </w:tcPr>
          <w:p>
            <w:pPr>
              <w:spacing w:after="50" w:before="50" w:line="252" w:lineRule="auto"/>
            </w:pPr>
            <w:r>
              <w:rPr>
                <w:b/>
                <w:sz w:val="17"/>
              </w:rPr>
              <w:t>2,200</w:t>
            </w:r>
          </w:p>
        </w:tc>
        <w:tc>
          <w:tcPr>
            <w:tcW w:type="dxa" w:w="850"/>
            <w:shd w:val="clear" w:color="auto" w:fill="EAF1F4"/>
          </w:tcPr>
          <w:p>
            <w:pPr>
              <w:spacing w:after="50" w:before="50" w:line="252" w:lineRule="auto"/>
            </w:pPr>
            <w:r>
              <w:rPr>
                <w:sz w:val="17"/>
              </w:rPr>
              <w:t>25</w:t>
            </w:r>
          </w:p>
        </w:tc>
      </w:tr>
      <w:tr>
        <w:tc>
          <w:tcPr>
            <w:tcW w:type="dxa" w:w="1012"/>
          </w:tcPr>
          <w:p>
            <w:pPr>
              <w:spacing w:after="50" w:before="50" w:line="252" w:lineRule="auto"/>
            </w:pPr>
            <w:r>
              <w:rPr>
                <w:sz w:val="17"/>
              </w:rPr>
              <w:t>SCH-RES</w:t>
            </w:r>
          </w:p>
        </w:tc>
        <w:tc>
          <w:tcPr>
            <w:tcW w:type="dxa" w:w="3899"/>
          </w:tcPr>
          <w:p>
            <w:pPr>
              <w:spacing w:after="50" w:before="50" w:line="252" w:lineRule="auto"/>
            </w:pPr>
            <w:r>
              <w:rPr>
                <w:sz w:val="17"/>
              </w:rPr>
              <w:t>Residential summer or winter school</w:t>
            </w:r>
          </w:p>
        </w:tc>
        <w:tc>
          <w:tcPr>
            <w:tcW w:type="dxa" w:w="850"/>
          </w:tcPr>
          <w:p>
            <w:pPr>
              <w:spacing w:after="50" w:before="50" w:line="252" w:lineRule="auto"/>
            </w:pPr>
            <w:r>
              <w:rPr>
                <w:sz w:val="17"/>
              </w:rPr>
              <w:t>6 days</w:t>
            </w:r>
          </w:p>
        </w:tc>
        <w:tc>
          <w:tcPr>
            <w:tcW w:type="dxa" w:w="850"/>
          </w:tcPr>
          <w:p>
            <w:pPr>
              <w:spacing w:after="50" w:before="50" w:line="252" w:lineRule="auto"/>
            </w:pPr>
            <w:r>
              <w:rPr>
                <w:sz w:val="17"/>
              </w:rPr>
              <w:t>26,000</w:t>
            </w:r>
          </w:p>
        </w:tc>
        <w:tc>
          <w:tcPr>
            <w:tcW w:type="dxa" w:w="1102"/>
          </w:tcPr>
          <w:p>
            <w:pPr>
              <w:spacing w:after="50" w:before="50" w:line="252" w:lineRule="auto"/>
            </w:pPr>
            <w:r>
              <w:rPr>
                <w:sz w:val="17"/>
              </w:rPr>
              <w:t>22,000</w:t>
            </w:r>
          </w:p>
        </w:tc>
        <w:tc>
          <w:tcPr>
            <w:tcW w:type="dxa" w:w="1336"/>
          </w:tcPr>
          <w:p>
            <w:pPr>
              <w:spacing w:after="50" w:before="50" w:line="252" w:lineRule="auto"/>
            </w:pPr>
            <w:r>
              <w:rPr>
                <w:b/>
                <w:sz w:val="17"/>
              </w:rPr>
              <w:t>17,500</w:t>
            </w:r>
          </w:p>
        </w:tc>
        <w:tc>
          <w:tcPr>
            <w:tcW w:type="dxa" w:w="850"/>
          </w:tcPr>
          <w:p>
            <w:pPr>
              <w:spacing w:after="50" w:before="50" w:line="252" w:lineRule="auto"/>
            </w:pPr>
            <w:r>
              <w:rPr>
                <w:sz w:val="17"/>
              </w:rPr>
              <w:t>25</w:t>
            </w:r>
          </w:p>
        </w:tc>
      </w:tr>
      <w:tr>
        <w:tc>
          <w:tcPr>
            <w:tcW w:type="dxa" w:w="1012"/>
            <w:shd w:val="clear" w:color="auto" w:fill="EAF1F4"/>
          </w:tcPr>
          <w:p>
            <w:pPr>
              <w:spacing w:after="50" w:before="50" w:line="252" w:lineRule="auto"/>
            </w:pPr>
            <w:r>
              <w:rPr>
                <w:sz w:val="17"/>
              </w:rPr>
              <w:t>SCH-DAY</w:t>
            </w:r>
          </w:p>
        </w:tc>
        <w:tc>
          <w:tcPr>
            <w:tcW w:type="dxa" w:w="3899"/>
            <w:shd w:val="clear" w:color="auto" w:fill="EAF1F4"/>
          </w:tcPr>
          <w:p>
            <w:pPr>
              <w:spacing w:after="50" w:before="50" w:line="252" w:lineRule="auto"/>
            </w:pPr>
            <w:r>
              <w:rPr>
                <w:sz w:val="17"/>
              </w:rPr>
              <w:t>Non-residential school</w:t>
            </w:r>
          </w:p>
        </w:tc>
        <w:tc>
          <w:tcPr>
            <w:tcW w:type="dxa" w:w="850"/>
            <w:shd w:val="clear" w:color="auto" w:fill="EAF1F4"/>
          </w:tcPr>
          <w:p>
            <w:pPr>
              <w:spacing w:after="50" w:before="50" w:line="252" w:lineRule="auto"/>
            </w:pPr>
            <w:r>
              <w:rPr>
                <w:sz w:val="17"/>
              </w:rPr>
              <w:t>6 days</w:t>
            </w:r>
          </w:p>
        </w:tc>
        <w:tc>
          <w:tcPr>
            <w:tcW w:type="dxa" w:w="850"/>
            <w:shd w:val="clear" w:color="auto" w:fill="EAF1F4"/>
          </w:tcPr>
          <w:p>
            <w:pPr>
              <w:spacing w:after="50" w:before="50" w:line="252" w:lineRule="auto"/>
            </w:pPr>
            <w:r>
              <w:rPr>
                <w:sz w:val="17"/>
              </w:rPr>
              <w:t>16,000</w:t>
            </w:r>
          </w:p>
        </w:tc>
        <w:tc>
          <w:tcPr>
            <w:tcW w:type="dxa" w:w="1102"/>
            <w:shd w:val="clear" w:color="auto" w:fill="EAF1F4"/>
          </w:tcPr>
          <w:p>
            <w:pPr>
              <w:spacing w:after="50" w:before="50" w:line="252" w:lineRule="auto"/>
            </w:pPr>
            <w:r>
              <w:rPr>
                <w:sz w:val="17"/>
              </w:rPr>
              <w:t>13,500</w:t>
            </w:r>
          </w:p>
        </w:tc>
        <w:tc>
          <w:tcPr>
            <w:tcW w:type="dxa" w:w="1336"/>
            <w:shd w:val="clear" w:color="auto" w:fill="EAF1F4"/>
          </w:tcPr>
          <w:p>
            <w:pPr>
              <w:spacing w:after="50" w:before="50" w:line="252" w:lineRule="auto"/>
            </w:pPr>
            <w:r>
              <w:rPr>
                <w:b/>
                <w:sz w:val="17"/>
              </w:rPr>
              <w:t>10,500</w:t>
            </w:r>
          </w:p>
        </w:tc>
        <w:tc>
          <w:tcPr>
            <w:tcW w:type="dxa" w:w="850"/>
            <w:shd w:val="clear" w:color="auto" w:fill="EAF1F4"/>
          </w:tcPr>
          <w:p>
            <w:pPr>
              <w:spacing w:after="50" w:before="50" w:line="252" w:lineRule="auto"/>
            </w:pPr>
            <w:r>
              <w:rPr>
                <w:sz w:val="17"/>
              </w:rPr>
              <w:t>25</w:t>
            </w:r>
          </w:p>
        </w:tc>
      </w:tr>
    </w:tbl>
    <w:p>
      <w:pPr>
        <w:spacing w:after="80" w:before="0"/>
      </w:pPr>
    </w:p>
    <w:p>
      <w:pPr>
        <w:pStyle w:val="Heading2"/>
      </w:pPr>
      <w:r>
        <w:t>5.2 Professional and faculty programmes — per participant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006"/>
            <w:shd w:val="clear" w:color="auto" w:fill="10375C"/>
          </w:tcPr>
          <w:p>
            <w:pPr>
              <w:spacing w:after="50" w:before="50"/>
            </w:pPr>
            <w:r>
              <w:rPr>
                <w:b/>
                <w:color w:val="FFFFFF"/>
                <w:sz w:val="17"/>
              </w:rPr>
              <w:t>Code</w:t>
            </w:r>
          </w:p>
        </w:tc>
        <w:tc>
          <w:tcPr>
            <w:tcW w:type="dxa" w:w="4883"/>
            <w:shd w:val="clear" w:color="auto" w:fill="10375C"/>
          </w:tcPr>
          <w:p>
            <w:pPr>
              <w:spacing w:after="50" w:before="50"/>
            </w:pPr>
            <w:r>
              <w:rPr>
                <w:b/>
                <w:color w:val="FFFFFF"/>
                <w:sz w:val="17"/>
              </w:rPr>
              <w:t>Programme</w:t>
            </w:r>
          </w:p>
        </w:tc>
        <w:tc>
          <w:tcPr>
            <w:tcW w:type="dxa" w:w="1146"/>
            <w:shd w:val="clear" w:color="auto" w:fill="10375C"/>
          </w:tcPr>
          <w:p>
            <w:pPr>
              <w:spacing w:after="50" w:before="50"/>
            </w:pPr>
            <w:r>
              <w:rPr>
                <w:b/>
                <w:color w:val="FFFFFF"/>
                <w:sz w:val="17"/>
              </w:rPr>
              <w:t>Duration</w:t>
            </w:r>
          </w:p>
        </w:tc>
        <w:tc>
          <w:tcPr>
            <w:tcW w:type="dxa" w:w="901"/>
            <w:shd w:val="clear" w:color="auto" w:fill="10375C"/>
          </w:tcPr>
          <w:p>
            <w:pPr>
              <w:spacing w:after="50" w:before="50"/>
            </w:pPr>
            <w:r>
              <w:rPr>
                <w:b/>
                <w:color w:val="FFFFFF"/>
                <w:sz w:val="17"/>
              </w:rPr>
              <w:t>List</w:t>
            </w:r>
          </w:p>
        </w:tc>
        <w:tc>
          <w:tcPr>
            <w:tcW w:type="dxa" w:w="1532"/>
            <w:shd w:val="clear" w:color="auto" w:fill="10375C"/>
          </w:tcPr>
          <w:p>
            <w:pPr>
              <w:spacing w:after="50" w:before="50"/>
            </w:pPr>
            <w:r>
              <w:rPr>
                <w:b/>
                <w:color w:val="FFFFFF"/>
                <w:sz w:val="17"/>
              </w:rPr>
              <w:t>Floor</w:t>
            </w:r>
          </w:p>
        </w:tc>
      </w:tr>
      <w:tr>
        <w:tc>
          <w:tcPr>
            <w:tcW w:type="dxa" w:w="1006"/>
          </w:tcPr>
          <w:p>
            <w:pPr>
              <w:spacing w:after="50" w:before="50" w:line="252" w:lineRule="auto"/>
            </w:pPr>
            <w:r>
              <w:rPr>
                <w:sz w:val="17"/>
              </w:rPr>
              <w:t>T-40-P</w:t>
            </w:r>
          </w:p>
        </w:tc>
        <w:tc>
          <w:tcPr>
            <w:tcW w:type="dxa" w:w="4883"/>
          </w:tcPr>
          <w:p>
            <w:pPr>
              <w:spacing w:after="50" w:before="50" w:line="252" w:lineRule="auto"/>
            </w:pPr>
            <w:r>
              <w:rPr>
                <w:sz w:val="17"/>
              </w:rPr>
              <w:t>Basic Mediation Training, professional</w:t>
            </w:r>
          </w:p>
        </w:tc>
        <w:tc>
          <w:tcPr>
            <w:tcW w:type="dxa" w:w="1146"/>
          </w:tcPr>
          <w:p>
            <w:pPr>
              <w:spacing w:after="50" w:before="50" w:line="252" w:lineRule="auto"/>
            </w:pPr>
            <w:r>
              <w:rPr>
                <w:sz w:val="17"/>
              </w:rPr>
              <w:t>40 hours</w:t>
            </w:r>
          </w:p>
        </w:tc>
        <w:tc>
          <w:tcPr>
            <w:tcW w:type="dxa" w:w="901"/>
          </w:tcPr>
          <w:p>
            <w:pPr>
              <w:spacing w:after="50" w:before="50" w:line="252" w:lineRule="auto"/>
            </w:pPr>
            <w:r>
              <w:rPr>
                <w:sz w:val="17"/>
              </w:rPr>
              <w:t>38,000</w:t>
            </w:r>
          </w:p>
        </w:tc>
        <w:tc>
          <w:tcPr>
            <w:tcW w:type="dxa" w:w="1532"/>
          </w:tcPr>
          <w:p>
            <w:pPr>
              <w:spacing w:after="50" w:before="50" w:line="252" w:lineRule="auto"/>
            </w:pPr>
            <w:r>
              <w:rPr>
                <w:b/>
                <w:sz w:val="17"/>
              </w:rPr>
              <w:t>30,000</w:t>
            </w:r>
          </w:p>
        </w:tc>
      </w:tr>
      <w:tr>
        <w:tc>
          <w:tcPr>
            <w:tcW w:type="dxa" w:w="1006"/>
            <w:shd w:val="clear" w:color="auto" w:fill="EAF1F4"/>
          </w:tcPr>
          <w:p>
            <w:pPr>
              <w:spacing w:after="50" w:before="50" w:line="252" w:lineRule="auto"/>
            </w:pPr>
            <w:r>
              <w:rPr>
                <w:sz w:val="17"/>
              </w:rPr>
              <w:t>T-20-P</w:t>
            </w:r>
          </w:p>
        </w:tc>
        <w:tc>
          <w:tcPr>
            <w:tcW w:type="dxa" w:w="4883"/>
            <w:shd w:val="clear" w:color="auto" w:fill="EAF1F4"/>
          </w:tcPr>
          <w:p>
            <w:pPr>
              <w:spacing w:after="50" w:before="50" w:line="252" w:lineRule="auto"/>
            </w:pPr>
            <w:r>
              <w:rPr>
                <w:sz w:val="17"/>
              </w:rPr>
              <w:t>Advanced Mediation Training, professional</w:t>
            </w:r>
          </w:p>
        </w:tc>
        <w:tc>
          <w:tcPr>
            <w:tcW w:type="dxa" w:w="1146"/>
            <w:shd w:val="clear" w:color="auto" w:fill="EAF1F4"/>
          </w:tcPr>
          <w:p>
            <w:pPr>
              <w:spacing w:after="50" w:before="50" w:line="252" w:lineRule="auto"/>
            </w:pPr>
            <w:r>
              <w:rPr>
                <w:sz w:val="17"/>
              </w:rPr>
              <w:t>20 hours</w:t>
            </w:r>
          </w:p>
        </w:tc>
        <w:tc>
          <w:tcPr>
            <w:tcW w:type="dxa" w:w="901"/>
            <w:shd w:val="clear" w:color="auto" w:fill="EAF1F4"/>
          </w:tcPr>
          <w:p>
            <w:pPr>
              <w:spacing w:after="50" w:before="50" w:line="252" w:lineRule="auto"/>
            </w:pPr>
            <w:r>
              <w:rPr>
                <w:sz w:val="17"/>
              </w:rPr>
              <w:t>22,000</w:t>
            </w:r>
          </w:p>
        </w:tc>
        <w:tc>
          <w:tcPr>
            <w:tcW w:type="dxa" w:w="1532"/>
            <w:shd w:val="clear" w:color="auto" w:fill="EAF1F4"/>
          </w:tcPr>
          <w:p>
            <w:pPr>
              <w:spacing w:after="50" w:before="50" w:line="252" w:lineRule="auto"/>
            </w:pPr>
            <w:r>
              <w:rPr>
                <w:b/>
                <w:sz w:val="17"/>
              </w:rPr>
              <w:t>18,000</w:t>
            </w:r>
          </w:p>
        </w:tc>
      </w:tr>
      <w:tr>
        <w:tc>
          <w:tcPr>
            <w:tcW w:type="dxa" w:w="1006"/>
          </w:tcPr>
          <w:p>
            <w:pPr>
              <w:spacing w:after="50" w:before="50" w:line="252" w:lineRule="auto"/>
            </w:pPr>
            <w:r>
              <w:rPr>
                <w:sz w:val="17"/>
              </w:rPr>
              <w:t>T-TTT</w:t>
            </w:r>
          </w:p>
        </w:tc>
        <w:tc>
          <w:tcPr>
            <w:tcW w:type="dxa" w:w="4883"/>
          </w:tcPr>
          <w:p>
            <w:pPr>
              <w:spacing w:after="50" w:before="50" w:line="252" w:lineRule="auto"/>
            </w:pPr>
            <w:r>
              <w:rPr>
                <w:sz w:val="17"/>
              </w:rPr>
              <w:t>Train the Trainer</w:t>
            </w:r>
          </w:p>
        </w:tc>
        <w:tc>
          <w:tcPr>
            <w:tcW w:type="dxa" w:w="1146"/>
          </w:tcPr>
          <w:p>
            <w:pPr>
              <w:spacing w:after="50" w:before="50" w:line="252" w:lineRule="auto"/>
            </w:pPr>
            <w:r>
              <w:rPr>
                <w:sz w:val="17"/>
              </w:rPr>
              <w:t>3 days</w:t>
            </w:r>
          </w:p>
        </w:tc>
        <w:tc>
          <w:tcPr>
            <w:tcW w:type="dxa" w:w="901"/>
          </w:tcPr>
          <w:p>
            <w:pPr>
              <w:spacing w:after="50" w:before="50" w:line="252" w:lineRule="auto"/>
            </w:pPr>
            <w:r>
              <w:rPr>
                <w:sz w:val="17"/>
              </w:rPr>
              <w:t>45,000</w:t>
            </w:r>
          </w:p>
        </w:tc>
        <w:tc>
          <w:tcPr>
            <w:tcW w:type="dxa" w:w="1532"/>
          </w:tcPr>
          <w:p>
            <w:pPr>
              <w:spacing w:after="50" w:before="50" w:line="252" w:lineRule="auto"/>
            </w:pPr>
            <w:r>
              <w:rPr>
                <w:b/>
                <w:sz w:val="17"/>
              </w:rPr>
              <w:t>36,000</w:t>
            </w:r>
          </w:p>
        </w:tc>
      </w:tr>
      <w:tr>
        <w:tc>
          <w:tcPr>
            <w:tcW w:type="dxa" w:w="1006"/>
            <w:shd w:val="clear" w:color="auto" w:fill="EAF1F4"/>
          </w:tcPr>
          <w:p>
            <w:pPr>
              <w:spacing w:after="50" w:before="50" w:line="252" w:lineRule="auto"/>
            </w:pPr>
            <w:r>
              <w:rPr>
                <w:sz w:val="17"/>
              </w:rPr>
              <w:t>T-ASSESS</w:t>
            </w:r>
          </w:p>
        </w:tc>
        <w:tc>
          <w:tcPr>
            <w:tcW w:type="dxa" w:w="4883"/>
            <w:shd w:val="clear" w:color="auto" w:fill="EAF1F4"/>
          </w:tcPr>
          <w:p>
            <w:pPr>
              <w:spacing w:after="50" w:before="50" w:line="252" w:lineRule="auto"/>
            </w:pPr>
            <w:r>
              <w:rPr>
                <w:sz w:val="17"/>
              </w:rPr>
              <w:t>Assessor and judge certification</w:t>
            </w:r>
          </w:p>
        </w:tc>
        <w:tc>
          <w:tcPr>
            <w:tcW w:type="dxa" w:w="1146"/>
            <w:shd w:val="clear" w:color="auto" w:fill="EAF1F4"/>
          </w:tcPr>
          <w:p>
            <w:pPr>
              <w:spacing w:after="50" w:before="50" w:line="252" w:lineRule="auto"/>
            </w:pPr>
            <w:r>
              <w:rPr>
                <w:sz w:val="17"/>
              </w:rPr>
              <w:t>1 day</w:t>
            </w:r>
          </w:p>
        </w:tc>
        <w:tc>
          <w:tcPr>
            <w:tcW w:type="dxa" w:w="901"/>
            <w:shd w:val="clear" w:color="auto" w:fill="EAF1F4"/>
          </w:tcPr>
          <w:p>
            <w:pPr>
              <w:spacing w:after="50" w:before="50" w:line="252" w:lineRule="auto"/>
            </w:pPr>
            <w:r>
              <w:rPr>
                <w:sz w:val="17"/>
              </w:rPr>
              <w:t>12,000</w:t>
            </w:r>
          </w:p>
        </w:tc>
        <w:tc>
          <w:tcPr>
            <w:tcW w:type="dxa" w:w="1532"/>
            <w:shd w:val="clear" w:color="auto" w:fill="EAF1F4"/>
          </w:tcPr>
          <w:p>
            <w:pPr>
              <w:spacing w:after="50" w:before="50" w:line="252" w:lineRule="auto"/>
            </w:pPr>
            <w:r>
              <w:rPr>
                <w:b/>
                <w:sz w:val="17"/>
              </w:rPr>
              <w:t>9,000</w:t>
            </w:r>
          </w:p>
        </w:tc>
      </w:tr>
    </w:tbl>
    <w:p>
      <w:pPr>
        <w:spacing w:after="80" w:before="0"/>
      </w:pPr>
    </w:p>
    <w:p>
      <w:pPr>
        <w:pStyle w:val="Heading2"/>
      </w:pPr>
      <w:r>
        <w:t>5.3 Institution-paid programmes — per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Code</w:t>
            </w:r>
          </w:p>
        </w:tc>
        <w:tc>
          <w:tcPr>
            <w:tcW w:type="dxa" w:w="4385"/>
            <w:shd w:val="clear" w:color="auto" w:fill="10375C"/>
          </w:tcPr>
          <w:p>
            <w:pPr>
              <w:spacing w:after="50" w:before="50"/>
            </w:pPr>
            <w:r>
              <w:rPr>
                <w:b/>
                <w:color w:val="FFFFFF"/>
                <w:sz w:val="17"/>
              </w:rPr>
              <w:t>Programme</w:t>
            </w:r>
          </w:p>
        </w:tc>
        <w:tc>
          <w:tcPr>
            <w:tcW w:type="dxa" w:w="2269"/>
            <w:shd w:val="clear" w:color="auto" w:fill="10375C"/>
          </w:tcPr>
          <w:p>
            <w:pPr>
              <w:spacing w:after="50" w:before="50"/>
            </w:pPr>
            <w:r>
              <w:rPr>
                <w:b/>
                <w:color w:val="FFFFFF"/>
                <w:sz w:val="17"/>
              </w:rPr>
              <w:t>Scope</w:t>
            </w:r>
          </w:p>
        </w:tc>
        <w:tc>
          <w:tcPr>
            <w:tcW w:type="dxa" w:w="850"/>
            <w:shd w:val="clear" w:color="auto" w:fill="10375C"/>
          </w:tcPr>
          <w:p>
            <w:pPr>
              <w:spacing w:after="50" w:before="50"/>
            </w:pPr>
            <w:r>
              <w:rPr>
                <w:b/>
                <w:color w:val="FFFFFF"/>
                <w:sz w:val="17"/>
              </w:rPr>
              <w:t>List</w:t>
            </w:r>
          </w:p>
        </w:tc>
        <w:tc>
          <w:tcPr>
            <w:tcW w:type="dxa" w:w="1257"/>
            <w:shd w:val="clear" w:color="auto" w:fill="10375C"/>
          </w:tcPr>
          <w:p>
            <w:pPr>
              <w:spacing w:after="50" w:before="50"/>
            </w:pPr>
            <w:r>
              <w:rPr>
                <w:b/>
                <w:color w:val="FFFFFF"/>
                <w:sz w:val="17"/>
              </w:rPr>
              <w:t>Floor</w:t>
            </w:r>
          </w:p>
        </w:tc>
      </w:tr>
      <w:tr>
        <w:tc>
          <w:tcPr>
            <w:tcW w:type="dxa" w:w="850"/>
          </w:tcPr>
          <w:p>
            <w:pPr>
              <w:spacing w:after="50" w:before="50" w:line="252" w:lineRule="auto"/>
            </w:pPr>
            <w:r>
              <w:rPr>
                <w:sz w:val="17"/>
              </w:rPr>
              <w:t>T-FDP</w:t>
            </w:r>
          </w:p>
        </w:tc>
        <w:tc>
          <w:tcPr>
            <w:tcW w:type="dxa" w:w="4385"/>
          </w:tcPr>
          <w:p>
            <w:pPr>
              <w:spacing w:after="50" w:before="50" w:line="252" w:lineRule="auto"/>
            </w:pPr>
            <w:r>
              <w:rPr>
                <w:sz w:val="17"/>
              </w:rPr>
              <w:t>Faculty Development Programme</w:t>
            </w:r>
          </w:p>
        </w:tc>
        <w:tc>
          <w:tcPr>
            <w:tcW w:type="dxa" w:w="2269"/>
          </w:tcPr>
          <w:p>
            <w:pPr>
              <w:spacing w:after="50" w:before="50" w:line="252" w:lineRule="auto"/>
            </w:pPr>
            <w:r>
              <w:rPr>
                <w:sz w:val="17"/>
              </w:rPr>
              <w:t>5 days, up to 30 faculty</w:t>
            </w:r>
          </w:p>
        </w:tc>
        <w:tc>
          <w:tcPr>
            <w:tcW w:type="dxa" w:w="850"/>
          </w:tcPr>
          <w:p>
            <w:pPr>
              <w:spacing w:after="50" w:before="50" w:line="252" w:lineRule="auto"/>
            </w:pPr>
            <w:r>
              <w:rPr>
                <w:sz w:val="17"/>
              </w:rPr>
              <w:t>3,50,000</w:t>
            </w:r>
          </w:p>
        </w:tc>
        <w:tc>
          <w:tcPr>
            <w:tcW w:type="dxa" w:w="1257"/>
          </w:tcPr>
          <w:p>
            <w:pPr>
              <w:spacing w:after="50" w:before="50" w:line="252" w:lineRule="auto"/>
            </w:pPr>
            <w:r>
              <w:rPr>
                <w:b/>
                <w:sz w:val="17"/>
              </w:rPr>
              <w:t>2,60,000</w:t>
            </w:r>
          </w:p>
        </w:tc>
      </w:tr>
      <w:tr>
        <w:tc>
          <w:tcPr>
            <w:tcW w:type="dxa" w:w="850"/>
            <w:shd w:val="clear" w:color="auto" w:fill="EAF1F4"/>
          </w:tcPr>
          <w:p>
            <w:pPr>
              <w:spacing w:after="50" w:before="50" w:line="252" w:lineRule="auto"/>
            </w:pPr>
            <w:r>
              <w:rPr>
                <w:sz w:val="17"/>
              </w:rPr>
              <w:t>T-FDP-3</w:t>
            </w:r>
          </w:p>
        </w:tc>
        <w:tc>
          <w:tcPr>
            <w:tcW w:type="dxa" w:w="4385"/>
            <w:shd w:val="clear" w:color="auto" w:fill="EAF1F4"/>
          </w:tcPr>
          <w:p>
            <w:pPr>
              <w:spacing w:after="50" w:before="50" w:line="252" w:lineRule="auto"/>
            </w:pPr>
            <w:r>
              <w:rPr>
                <w:sz w:val="17"/>
              </w:rPr>
              <w:t>Faculty Development Programme, short</w:t>
            </w:r>
          </w:p>
        </w:tc>
        <w:tc>
          <w:tcPr>
            <w:tcW w:type="dxa" w:w="2269"/>
            <w:shd w:val="clear" w:color="auto" w:fill="EAF1F4"/>
          </w:tcPr>
          <w:p>
            <w:pPr>
              <w:spacing w:after="50" w:before="50" w:line="252" w:lineRule="auto"/>
            </w:pPr>
            <w:r>
              <w:rPr>
                <w:sz w:val="17"/>
              </w:rPr>
              <w:t>3 days, up to 30 faculty</w:t>
            </w:r>
          </w:p>
        </w:tc>
        <w:tc>
          <w:tcPr>
            <w:tcW w:type="dxa" w:w="850"/>
            <w:shd w:val="clear" w:color="auto" w:fill="EAF1F4"/>
          </w:tcPr>
          <w:p>
            <w:pPr>
              <w:spacing w:after="50" w:before="50" w:line="252" w:lineRule="auto"/>
            </w:pPr>
            <w:r>
              <w:rPr>
                <w:sz w:val="17"/>
              </w:rPr>
              <w:t>2,25,000</w:t>
            </w:r>
          </w:p>
        </w:tc>
        <w:tc>
          <w:tcPr>
            <w:tcW w:type="dxa" w:w="1257"/>
            <w:shd w:val="clear" w:color="auto" w:fill="EAF1F4"/>
          </w:tcPr>
          <w:p>
            <w:pPr>
              <w:spacing w:after="50" w:before="50" w:line="252" w:lineRule="auto"/>
            </w:pPr>
            <w:r>
              <w:rPr>
                <w:b/>
                <w:sz w:val="17"/>
              </w:rPr>
              <w:t>1,70,000</w:t>
            </w:r>
          </w:p>
        </w:tc>
      </w:tr>
      <w:tr>
        <w:tc>
          <w:tcPr>
            <w:tcW w:type="dxa" w:w="850"/>
          </w:tcPr>
          <w:p>
            <w:pPr>
              <w:spacing w:after="50" w:before="50" w:line="252" w:lineRule="auto"/>
            </w:pPr>
            <w:r>
              <w:rPr>
                <w:sz w:val="17"/>
              </w:rPr>
              <w:t>W-FULL-I</w:t>
            </w:r>
          </w:p>
        </w:tc>
        <w:tc>
          <w:tcPr>
            <w:tcW w:type="dxa" w:w="4385"/>
          </w:tcPr>
          <w:p>
            <w:pPr>
              <w:spacing w:after="50" w:before="50" w:line="252" w:lineRule="auto"/>
            </w:pPr>
            <w:r>
              <w:rPr>
                <w:sz w:val="17"/>
              </w:rPr>
              <w:t>Workshop, full day, block booking</w:t>
            </w:r>
          </w:p>
        </w:tc>
        <w:tc>
          <w:tcPr>
            <w:tcW w:type="dxa" w:w="2269"/>
          </w:tcPr>
          <w:p>
            <w:pPr>
              <w:spacing w:after="50" w:before="50" w:line="252" w:lineRule="auto"/>
            </w:pPr>
            <w:r>
              <w:rPr>
                <w:sz w:val="17"/>
              </w:rPr>
              <w:t>Up to 45 participants</w:t>
            </w:r>
          </w:p>
        </w:tc>
        <w:tc>
          <w:tcPr>
            <w:tcW w:type="dxa" w:w="850"/>
          </w:tcPr>
          <w:p>
            <w:pPr>
              <w:spacing w:after="50" w:before="50" w:line="252" w:lineRule="auto"/>
            </w:pPr>
            <w:r>
              <w:rPr>
                <w:sz w:val="17"/>
              </w:rPr>
              <w:t>65,000</w:t>
            </w:r>
          </w:p>
        </w:tc>
        <w:tc>
          <w:tcPr>
            <w:tcW w:type="dxa" w:w="1257"/>
          </w:tcPr>
          <w:p>
            <w:pPr>
              <w:spacing w:after="50" w:before="50" w:line="252" w:lineRule="auto"/>
            </w:pPr>
            <w:r>
              <w:rPr>
                <w:b/>
                <w:sz w:val="17"/>
              </w:rPr>
              <w:t>45,000</w:t>
            </w:r>
          </w:p>
        </w:tc>
      </w:tr>
      <w:tr>
        <w:tc>
          <w:tcPr>
            <w:tcW w:type="dxa" w:w="850"/>
            <w:shd w:val="clear" w:color="auto" w:fill="EAF1F4"/>
          </w:tcPr>
          <w:p>
            <w:pPr>
              <w:spacing w:after="50" w:before="50" w:line="252" w:lineRule="auto"/>
            </w:pPr>
            <w:r>
              <w:rPr>
                <w:sz w:val="17"/>
              </w:rPr>
              <w:t>W-HALF-I</w:t>
            </w:r>
          </w:p>
        </w:tc>
        <w:tc>
          <w:tcPr>
            <w:tcW w:type="dxa" w:w="4385"/>
            <w:shd w:val="clear" w:color="auto" w:fill="EAF1F4"/>
          </w:tcPr>
          <w:p>
            <w:pPr>
              <w:spacing w:after="50" w:before="50" w:line="252" w:lineRule="auto"/>
            </w:pPr>
            <w:r>
              <w:rPr>
                <w:sz w:val="17"/>
              </w:rPr>
              <w:t>Workshop, half day, block booking</w:t>
            </w:r>
          </w:p>
        </w:tc>
        <w:tc>
          <w:tcPr>
            <w:tcW w:type="dxa" w:w="2269"/>
            <w:shd w:val="clear" w:color="auto" w:fill="EAF1F4"/>
          </w:tcPr>
          <w:p>
            <w:pPr>
              <w:spacing w:after="50" w:before="50" w:line="252" w:lineRule="auto"/>
            </w:pPr>
            <w:r>
              <w:rPr>
                <w:sz w:val="17"/>
              </w:rPr>
              <w:t>Up to 45 participants</w:t>
            </w:r>
          </w:p>
        </w:tc>
        <w:tc>
          <w:tcPr>
            <w:tcW w:type="dxa" w:w="850"/>
            <w:shd w:val="clear" w:color="auto" w:fill="EAF1F4"/>
          </w:tcPr>
          <w:p>
            <w:pPr>
              <w:spacing w:after="50" w:before="50" w:line="252" w:lineRule="auto"/>
            </w:pPr>
            <w:r>
              <w:rPr>
                <w:sz w:val="17"/>
              </w:rPr>
              <w:t>38,000</w:t>
            </w:r>
          </w:p>
        </w:tc>
        <w:tc>
          <w:tcPr>
            <w:tcW w:type="dxa" w:w="1257"/>
            <w:shd w:val="clear" w:color="auto" w:fill="EAF1F4"/>
          </w:tcPr>
          <w:p>
            <w:pPr>
              <w:spacing w:after="50" w:before="50" w:line="252" w:lineRule="auto"/>
            </w:pPr>
            <w:r>
              <w:rPr>
                <w:b/>
                <w:sz w:val="17"/>
              </w:rPr>
              <w:t>28,000</w:t>
            </w:r>
          </w:p>
        </w:tc>
      </w:tr>
      <w:tr>
        <w:tc>
          <w:tcPr>
            <w:tcW w:type="dxa" w:w="850"/>
          </w:tcPr>
          <w:p>
            <w:pPr>
              <w:spacing w:after="50" w:before="50" w:line="252" w:lineRule="auto"/>
            </w:pPr>
            <w:r>
              <w:rPr>
                <w:sz w:val="17"/>
              </w:rPr>
              <w:t>A-POSH</w:t>
            </w:r>
          </w:p>
        </w:tc>
        <w:tc>
          <w:tcPr>
            <w:tcW w:type="dxa" w:w="4385"/>
          </w:tcPr>
          <w:p>
            <w:pPr>
              <w:spacing w:after="50" w:before="50" w:line="252" w:lineRule="auto"/>
            </w:pPr>
            <w:r>
              <w:rPr>
                <w:sz w:val="17"/>
              </w:rPr>
              <w:t>Internal Committee training</w:t>
            </w:r>
          </w:p>
        </w:tc>
        <w:tc>
          <w:tcPr>
            <w:tcW w:type="dxa" w:w="2269"/>
          </w:tcPr>
          <w:p>
            <w:pPr>
              <w:spacing w:after="50" w:before="50" w:line="252" w:lineRule="auto"/>
            </w:pPr>
            <w:r>
              <w:rPr>
                <w:sz w:val="17"/>
              </w:rPr>
              <w:t>1 day, up to 25</w:t>
            </w:r>
          </w:p>
        </w:tc>
        <w:tc>
          <w:tcPr>
            <w:tcW w:type="dxa" w:w="850"/>
          </w:tcPr>
          <w:p>
            <w:pPr>
              <w:spacing w:after="50" w:before="50" w:line="252" w:lineRule="auto"/>
            </w:pPr>
            <w:r>
              <w:rPr>
                <w:sz w:val="17"/>
              </w:rPr>
              <w:t>85,000</w:t>
            </w:r>
          </w:p>
        </w:tc>
        <w:tc>
          <w:tcPr>
            <w:tcW w:type="dxa" w:w="1257"/>
          </w:tcPr>
          <w:p>
            <w:pPr>
              <w:spacing w:after="50" w:before="50" w:line="252" w:lineRule="auto"/>
            </w:pPr>
            <w:r>
              <w:rPr>
                <w:b/>
                <w:sz w:val="17"/>
              </w:rPr>
              <w:t>60,000</w:t>
            </w:r>
          </w:p>
        </w:tc>
      </w:tr>
      <w:tr>
        <w:tc>
          <w:tcPr>
            <w:tcW w:type="dxa" w:w="850"/>
            <w:shd w:val="clear" w:color="auto" w:fill="EAF1F4"/>
          </w:tcPr>
          <w:p>
            <w:pPr>
              <w:spacing w:after="50" w:before="50" w:line="252" w:lineRule="auto"/>
            </w:pPr>
            <w:r>
              <w:rPr>
                <w:sz w:val="17"/>
              </w:rPr>
              <w:t>A-SGRC</w:t>
            </w:r>
          </w:p>
        </w:tc>
        <w:tc>
          <w:tcPr>
            <w:tcW w:type="dxa" w:w="4385"/>
            <w:shd w:val="clear" w:color="auto" w:fill="EAF1F4"/>
          </w:tcPr>
          <w:p>
            <w:pPr>
              <w:spacing w:after="50" w:before="50" w:line="252" w:lineRule="auto"/>
            </w:pPr>
            <w:r>
              <w:rPr>
                <w:sz w:val="17"/>
              </w:rPr>
              <w:t>Grievance redressal and Ombudsperson workshop</w:t>
            </w:r>
          </w:p>
        </w:tc>
        <w:tc>
          <w:tcPr>
            <w:tcW w:type="dxa" w:w="2269"/>
            <w:shd w:val="clear" w:color="auto" w:fill="EAF1F4"/>
          </w:tcPr>
          <w:p>
            <w:pPr>
              <w:spacing w:after="50" w:before="50" w:line="252" w:lineRule="auto"/>
            </w:pPr>
            <w:r>
              <w:rPr>
                <w:sz w:val="17"/>
              </w:rPr>
              <w:t>1 day, up to 25</w:t>
            </w:r>
          </w:p>
        </w:tc>
        <w:tc>
          <w:tcPr>
            <w:tcW w:type="dxa" w:w="850"/>
            <w:shd w:val="clear" w:color="auto" w:fill="EAF1F4"/>
          </w:tcPr>
          <w:p>
            <w:pPr>
              <w:spacing w:after="50" w:before="50" w:line="252" w:lineRule="auto"/>
            </w:pPr>
            <w:r>
              <w:rPr>
                <w:sz w:val="17"/>
              </w:rPr>
              <w:t>95,000</w:t>
            </w:r>
          </w:p>
        </w:tc>
        <w:tc>
          <w:tcPr>
            <w:tcW w:type="dxa" w:w="1257"/>
            <w:shd w:val="clear" w:color="auto" w:fill="EAF1F4"/>
          </w:tcPr>
          <w:p>
            <w:pPr>
              <w:spacing w:after="50" w:before="50" w:line="252" w:lineRule="auto"/>
            </w:pPr>
            <w:r>
              <w:rPr>
                <w:b/>
                <w:sz w:val="17"/>
              </w:rPr>
              <w:t>70,000</w:t>
            </w:r>
          </w:p>
        </w:tc>
      </w:tr>
      <w:tr>
        <w:tc>
          <w:tcPr>
            <w:tcW w:type="dxa" w:w="850"/>
          </w:tcPr>
          <w:p>
            <w:pPr>
              <w:spacing w:after="50" w:before="50" w:line="252" w:lineRule="auto"/>
            </w:pPr>
            <w:r>
              <w:rPr>
                <w:sz w:val="17"/>
              </w:rPr>
              <w:t>A-CELL</w:t>
            </w:r>
          </w:p>
        </w:tc>
        <w:tc>
          <w:tcPr>
            <w:tcW w:type="dxa" w:w="4385"/>
          </w:tcPr>
          <w:p>
            <w:pPr>
              <w:spacing w:after="50" w:before="50" w:line="252" w:lineRule="auto"/>
            </w:pPr>
            <w:r>
              <w:rPr>
                <w:sz w:val="17"/>
              </w:rPr>
              <w:t>Campus Mediation Cell — establishment and first cohort</w:t>
            </w:r>
          </w:p>
        </w:tc>
        <w:tc>
          <w:tcPr>
            <w:tcW w:type="dxa" w:w="2269"/>
          </w:tcPr>
          <w:p>
            <w:pPr>
              <w:spacing w:after="50" w:before="50" w:line="252" w:lineRule="auto"/>
            </w:pPr>
            <w:r>
              <w:rPr>
                <w:sz w:val="17"/>
              </w:rPr>
              <w:t>Setup plus 2 days</w:t>
            </w:r>
          </w:p>
        </w:tc>
        <w:tc>
          <w:tcPr>
            <w:tcW w:type="dxa" w:w="850"/>
          </w:tcPr>
          <w:p>
            <w:pPr>
              <w:spacing w:after="50" w:before="50" w:line="252" w:lineRule="auto"/>
            </w:pPr>
            <w:r>
              <w:rPr>
                <w:sz w:val="17"/>
              </w:rPr>
              <w:t>1,45,000</w:t>
            </w:r>
          </w:p>
        </w:tc>
        <w:tc>
          <w:tcPr>
            <w:tcW w:type="dxa" w:w="1257"/>
          </w:tcPr>
          <w:p>
            <w:pPr>
              <w:spacing w:after="50" w:before="50" w:line="252" w:lineRule="auto"/>
            </w:pPr>
            <w:r>
              <w:rPr>
                <w:b/>
                <w:sz w:val="17"/>
              </w:rPr>
              <w:t>1,05,000</w:t>
            </w:r>
          </w:p>
        </w:tc>
      </w:tr>
      <w:tr>
        <w:tc>
          <w:tcPr>
            <w:tcW w:type="dxa" w:w="850"/>
            <w:shd w:val="clear" w:color="auto" w:fill="EAF1F4"/>
          </w:tcPr>
          <w:p>
            <w:pPr>
              <w:spacing w:after="50" w:before="50" w:line="252" w:lineRule="auto"/>
            </w:pPr>
            <w:r>
              <w:rPr>
                <w:sz w:val="17"/>
              </w:rPr>
              <w:t>CUSTOM</w:t>
            </w:r>
          </w:p>
        </w:tc>
        <w:tc>
          <w:tcPr>
            <w:tcW w:type="dxa" w:w="4385"/>
            <w:shd w:val="clear" w:color="auto" w:fill="EAF1F4"/>
          </w:tcPr>
          <w:p>
            <w:pPr>
              <w:spacing w:after="50" w:before="50" w:line="252" w:lineRule="auto"/>
            </w:pPr>
            <w:r>
              <w:rPr>
                <w:sz w:val="17"/>
              </w:rPr>
              <w:t>Bespoke content development</w:t>
            </w:r>
          </w:p>
        </w:tc>
        <w:tc>
          <w:tcPr>
            <w:tcW w:type="dxa" w:w="2269"/>
            <w:shd w:val="clear" w:color="auto" w:fill="EAF1F4"/>
          </w:tcPr>
          <w:p>
            <w:pPr>
              <w:spacing w:after="50" w:before="50" w:line="252" w:lineRule="auto"/>
            </w:pPr>
            <w:r>
              <w:rPr>
                <w:sz w:val="17"/>
              </w:rPr>
              <w:t>Per day of development</w:t>
            </w:r>
          </w:p>
        </w:tc>
        <w:tc>
          <w:tcPr>
            <w:tcW w:type="dxa" w:w="850"/>
            <w:shd w:val="clear" w:color="auto" w:fill="EAF1F4"/>
          </w:tcPr>
          <w:p>
            <w:pPr>
              <w:spacing w:after="50" w:before="50" w:line="252" w:lineRule="auto"/>
            </w:pPr>
            <w:r>
              <w:rPr>
                <w:sz w:val="17"/>
              </w:rPr>
              <w:t>28,000</w:t>
            </w:r>
          </w:p>
        </w:tc>
        <w:tc>
          <w:tcPr>
            <w:tcW w:type="dxa" w:w="1257"/>
            <w:shd w:val="clear" w:color="auto" w:fill="EAF1F4"/>
          </w:tcPr>
          <w:p>
            <w:pPr>
              <w:spacing w:after="50" w:before="50" w:line="252" w:lineRule="auto"/>
            </w:pPr>
            <w:r>
              <w:rPr>
                <w:b/>
                <w:sz w:val="17"/>
              </w:rPr>
              <w:t>22,000</w:t>
            </w:r>
          </w:p>
        </w:tc>
      </w:tr>
    </w:tbl>
    <w:p>
      <w:pPr>
        <w:spacing w:after="80" w:before="0"/>
      </w:pPr>
    </w:p>
    <w:p>
      <w:pPr>
        <w:pStyle w:val="Heading2"/>
      </w:pPr>
      <w:r>
        <w:t>5.4 Advisory, licensing and coaching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Code</w:t>
            </w:r>
          </w:p>
        </w:tc>
        <w:tc>
          <w:tcPr>
            <w:tcW w:type="dxa" w:w="3244"/>
            <w:shd w:val="clear" w:color="auto" w:fill="10375C"/>
          </w:tcPr>
          <w:p>
            <w:pPr>
              <w:spacing w:after="50" w:before="50"/>
            </w:pPr>
            <w:r>
              <w:rPr>
                <w:b/>
                <w:color w:val="FFFFFF"/>
                <w:sz w:val="17"/>
              </w:rPr>
              <w:t>Service</w:t>
            </w:r>
          </w:p>
        </w:tc>
        <w:tc>
          <w:tcPr>
            <w:tcW w:type="dxa" w:w="3938"/>
            <w:shd w:val="clear" w:color="auto" w:fill="10375C"/>
          </w:tcPr>
          <w:p>
            <w:pPr>
              <w:spacing w:after="50" w:before="50"/>
            </w:pPr>
            <w:r>
              <w:rPr>
                <w:b/>
                <w:color w:val="FFFFFF"/>
                <w:sz w:val="17"/>
              </w:rPr>
              <w:t>Basis</w:t>
            </w:r>
          </w:p>
        </w:tc>
        <w:tc>
          <w:tcPr>
            <w:tcW w:type="dxa" w:w="850"/>
            <w:shd w:val="clear" w:color="auto" w:fill="10375C"/>
          </w:tcPr>
          <w:p>
            <w:pPr>
              <w:spacing w:after="50" w:before="50"/>
            </w:pPr>
            <w:r>
              <w:rPr>
                <w:b/>
                <w:color w:val="FFFFFF"/>
                <w:sz w:val="17"/>
              </w:rPr>
              <w:t>List</w:t>
            </w:r>
          </w:p>
        </w:tc>
        <w:tc>
          <w:tcPr>
            <w:tcW w:type="dxa" w:w="968"/>
            <w:shd w:val="clear" w:color="auto" w:fill="10375C"/>
          </w:tcPr>
          <w:p>
            <w:pPr>
              <w:spacing w:after="50" w:before="50"/>
            </w:pPr>
            <w:r>
              <w:rPr>
                <w:b/>
                <w:color w:val="FFFFFF"/>
                <w:sz w:val="17"/>
              </w:rPr>
              <w:t>Floor</w:t>
            </w:r>
          </w:p>
        </w:tc>
      </w:tr>
      <w:tr>
        <w:tc>
          <w:tcPr>
            <w:tcW w:type="dxa" w:w="850"/>
          </w:tcPr>
          <w:p>
            <w:pPr>
              <w:spacing w:after="50" w:before="50" w:line="252" w:lineRule="auto"/>
            </w:pPr>
            <w:r>
              <w:rPr>
                <w:sz w:val="17"/>
              </w:rPr>
              <w:t>ADV-A</w:t>
            </w:r>
          </w:p>
        </w:tc>
        <w:tc>
          <w:tcPr>
            <w:tcW w:type="dxa" w:w="3244"/>
          </w:tcPr>
          <w:p>
            <w:pPr>
              <w:spacing w:after="50" w:before="50" w:line="252" w:lineRule="auto"/>
            </w:pPr>
            <w:r>
              <w:rPr>
                <w:sz w:val="17"/>
              </w:rPr>
              <w:t>Institutional advisory retainer, comprehensive</w:t>
            </w:r>
          </w:p>
        </w:tc>
        <w:tc>
          <w:tcPr>
            <w:tcW w:type="dxa" w:w="3938"/>
          </w:tcPr>
          <w:p>
            <w:pPr>
              <w:spacing w:after="50" w:before="50" w:line="252" w:lineRule="auto"/>
            </w:pPr>
            <w:r>
              <w:rPr>
                <w:sz w:val="17"/>
              </w:rPr>
              <w:t>Per annum. SGRC and Ombudsperson process design, documentation, four review visits, member training, helpline</w:t>
            </w:r>
          </w:p>
        </w:tc>
        <w:tc>
          <w:tcPr>
            <w:tcW w:type="dxa" w:w="850"/>
          </w:tcPr>
          <w:p>
            <w:pPr>
              <w:spacing w:after="50" w:before="50" w:line="252" w:lineRule="auto"/>
            </w:pPr>
            <w:r>
              <w:rPr>
                <w:sz w:val="17"/>
              </w:rPr>
              <w:t>3,60,000</w:t>
            </w:r>
          </w:p>
        </w:tc>
        <w:tc>
          <w:tcPr>
            <w:tcW w:type="dxa" w:w="968"/>
          </w:tcPr>
          <w:p>
            <w:pPr>
              <w:spacing w:after="50" w:before="50" w:line="252" w:lineRule="auto"/>
            </w:pPr>
            <w:r>
              <w:rPr>
                <w:b/>
                <w:sz w:val="17"/>
              </w:rPr>
              <w:t>2,70,000</w:t>
            </w:r>
          </w:p>
        </w:tc>
      </w:tr>
      <w:tr>
        <w:tc>
          <w:tcPr>
            <w:tcW w:type="dxa" w:w="850"/>
            <w:shd w:val="clear" w:color="auto" w:fill="EAF1F4"/>
          </w:tcPr>
          <w:p>
            <w:pPr>
              <w:spacing w:after="50" w:before="50" w:line="252" w:lineRule="auto"/>
            </w:pPr>
            <w:r>
              <w:rPr>
                <w:sz w:val="17"/>
              </w:rPr>
              <w:t>ADV-B</w:t>
            </w:r>
          </w:p>
        </w:tc>
        <w:tc>
          <w:tcPr>
            <w:tcW w:type="dxa" w:w="3244"/>
            <w:shd w:val="clear" w:color="auto" w:fill="EAF1F4"/>
          </w:tcPr>
          <w:p>
            <w:pPr>
              <w:spacing w:after="50" w:before="50" w:line="252" w:lineRule="auto"/>
            </w:pPr>
            <w:r>
              <w:rPr>
                <w:sz w:val="17"/>
              </w:rPr>
              <w:t>Institutional advisory retainer, standard</w:t>
            </w:r>
          </w:p>
        </w:tc>
        <w:tc>
          <w:tcPr>
            <w:tcW w:type="dxa" w:w="3938"/>
            <w:shd w:val="clear" w:color="auto" w:fill="EAF1F4"/>
          </w:tcPr>
          <w:p>
            <w:pPr>
              <w:spacing w:after="50" w:before="50" w:line="252" w:lineRule="auto"/>
            </w:pPr>
            <w:r>
              <w:rPr>
                <w:sz w:val="17"/>
              </w:rPr>
              <w:t>Per annum. Process design, documentation, two review visits</w:t>
            </w:r>
          </w:p>
        </w:tc>
        <w:tc>
          <w:tcPr>
            <w:tcW w:type="dxa" w:w="850"/>
            <w:shd w:val="clear" w:color="auto" w:fill="EAF1F4"/>
          </w:tcPr>
          <w:p>
            <w:pPr>
              <w:spacing w:after="50" w:before="50" w:line="252" w:lineRule="auto"/>
            </w:pPr>
            <w:r>
              <w:rPr>
                <w:sz w:val="17"/>
              </w:rPr>
              <w:t>1,80,000</w:t>
            </w:r>
          </w:p>
        </w:tc>
        <w:tc>
          <w:tcPr>
            <w:tcW w:type="dxa" w:w="968"/>
            <w:shd w:val="clear" w:color="auto" w:fill="EAF1F4"/>
          </w:tcPr>
          <w:p>
            <w:pPr>
              <w:spacing w:after="50" w:before="50" w:line="252" w:lineRule="auto"/>
            </w:pPr>
            <w:r>
              <w:rPr>
                <w:b/>
                <w:sz w:val="17"/>
              </w:rPr>
              <w:t>1,35,000</w:t>
            </w:r>
          </w:p>
        </w:tc>
      </w:tr>
      <w:tr>
        <w:tc>
          <w:tcPr>
            <w:tcW w:type="dxa" w:w="850"/>
          </w:tcPr>
          <w:p>
            <w:pPr>
              <w:spacing w:after="50" w:before="50" w:line="252" w:lineRule="auto"/>
            </w:pPr>
            <w:r>
              <w:rPr>
                <w:sz w:val="17"/>
              </w:rPr>
              <w:t>ADV-IC</w:t>
            </w:r>
          </w:p>
        </w:tc>
        <w:tc>
          <w:tcPr>
            <w:tcW w:type="dxa" w:w="3244"/>
          </w:tcPr>
          <w:p>
            <w:pPr>
              <w:spacing w:after="50" w:before="50" w:line="252" w:lineRule="auto"/>
            </w:pPr>
            <w:r>
              <w:rPr>
                <w:sz w:val="17"/>
              </w:rPr>
              <w:t>External Internal Committee member</w:t>
            </w:r>
          </w:p>
        </w:tc>
        <w:tc>
          <w:tcPr>
            <w:tcW w:type="dxa" w:w="3938"/>
          </w:tcPr>
          <w:p>
            <w:pPr>
              <w:spacing w:after="50" w:before="50" w:line="252" w:lineRule="auto"/>
            </w:pPr>
            <w:r>
              <w:rPr>
                <w:sz w:val="17"/>
              </w:rPr>
              <w:t>Per sitting</w:t>
            </w:r>
          </w:p>
        </w:tc>
        <w:tc>
          <w:tcPr>
            <w:tcW w:type="dxa" w:w="850"/>
          </w:tcPr>
          <w:p>
            <w:pPr>
              <w:spacing w:after="50" w:before="50" w:line="252" w:lineRule="auto"/>
            </w:pPr>
            <w:r>
              <w:rPr>
                <w:sz w:val="17"/>
              </w:rPr>
              <w:t>18,000</w:t>
            </w:r>
          </w:p>
        </w:tc>
        <w:tc>
          <w:tcPr>
            <w:tcW w:type="dxa" w:w="968"/>
          </w:tcPr>
          <w:p>
            <w:pPr>
              <w:spacing w:after="50" w:before="50" w:line="252" w:lineRule="auto"/>
            </w:pPr>
            <w:r>
              <w:rPr>
                <w:b/>
                <w:sz w:val="17"/>
              </w:rPr>
              <w:t>14,000</w:t>
            </w:r>
          </w:p>
        </w:tc>
      </w:tr>
      <w:tr>
        <w:tc>
          <w:tcPr>
            <w:tcW w:type="dxa" w:w="850"/>
            <w:shd w:val="clear" w:color="auto" w:fill="EAF1F4"/>
          </w:tcPr>
          <w:p>
            <w:pPr>
              <w:spacing w:after="50" w:before="50" w:line="252" w:lineRule="auto"/>
            </w:pPr>
            <w:r>
              <w:rPr>
                <w:sz w:val="17"/>
              </w:rPr>
              <w:t>ADV-OMB</w:t>
            </w:r>
          </w:p>
        </w:tc>
        <w:tc>
          <w:tcPr>
            <w:tcW w:type="dxa" w:w="3244"/>
            <w:shd w:val="clear" w:color="auto" w:fill="EAF1F4"/>
          </w:tcPr>
          <w:p>
            <w:pPr>
              <w:spacing w:after="50" w:before="50" w:line="252" w:lineRule="auto"/>
            </w:pPr>
            <w:r>
              <w:rPr>
                <w:sz w:val="17"/>
              </w:rPr>
              <w:t>Ombudsperson process support</w:t>
            </w:r>
          </w:p>
        </w:tc>
        <w:tc>
          <w:tcPr>
            <w:tcW w:type="dxa" w:w="3938"/>
            <w:shd w:val="clear" w:color="auto" w:fill="EAF1F4"/>
          </w:tcPr>
          <w:p>
            <w:pPr>
              <w:spacing w:after="50" w:before="50" w:line="252" w:lineRule="auto"/>
            </w:pPr>
            <w:r>
              <w:rPr>
                <w:sz w:val="17"/>
              </w:rPr>
              <w:t>Per matter</w:t>
            </w:r>
          </w:p>
        </w:tc>
        <w:tc>
          <w:tcPr>
            <w:tcW w:type="dxa" w:w="850"/>
            <w:shd w:val="clear" w:color="auto" w:fill="EAF1F4"/>
          </w:tcPr>
          <w:p>
            <w:pPr>
              <w:spacing w:after="50" w:before="50" w:line="252" w:lineRule="auto"/>
            </w:pPr>
            <w:r>
              <w:rPr>
                <w:sz w:val="17"/>
              </w:rPr>
              <w:t>22,000</w:t>
            </w:r>
          </w:p>
        </w:tc>
        <w:tc>
          <w:tcPr>
            <w:tcW w:type="dxa" w:w="968"/>
            <w:shd w:val="clear" w:color="auto" w:fill="EAF1F4"/>
          </w:tcPr>
          <w:p>
            <w:pPr>
              <w:spacing w:after="50" w:before="50" w:line="252" w:lineRule="auto"/>
            </w:pPr>
            <w:r>
              <w:rPr>
                <w:b/>
                <w:sz w:val="17"/>
              </w:rPr>
              <w:t>17,000</w:t>
            </w:r>
          </w:p>
        </w:tc>
      </w:tr>
      <w:tr>
        <w:tc>
          <w:tcPr>
            <w:tcW w:type="dxa" w:w="850"/>
          </w:tcPr>
          <w:p>
            <w:pPr>
              <w:spacing w:after="50" w:before="50" w:line="252" w:lineRule="auto"/>
            </w:pPr>
            <w:r>
              <w:rPr>
                <w:sz w:val="17"/>
              </w:rPr>
              <w:t>COACH-INTL</w:t>
            </w:r>
          </w:p>
        </w:tc>
        <w:tc>
          <w:tcPr>
            <w:tcW w:type="dxa" w:w="3244"/>
          </w:tcPr>
          <w:p>
            <w:pPr>
              <w:spacing w:after="50" w:before="50" w:line="252" w:lineRule="auto"/>
            </w:pPr>
            <w:r>
              <w:rPr>
                <w:sz w:val="17"/>
              </w:rPr>
              <w:t>Coaching for an international competition</w:t>
            </w:r>
          </w:p>
        </w:tc>
        <w:tc>
          <w:tcPr>
            <w:tcW w:type="dxa" w:w="3938"/>
          </w:tcPr>
          <w:p>
            <w:pPr>
              <w:spacing w:after="50" w:before="50" w:line="252" w:lineRule="auto"/>
            </w:pPr>
            <w:r>
              <w:rPr>
                <w:sz w:val="17"/>
              </w:rPr>
              <w:t>Per team per season, 10 sessions</w:t>
            </w:r>
          </w:p>
        </w:tc>
        <w:tc>
          <w:tcPr>
            <w:tcW w:type="dxa" w:w="850"/>
          </w:tcPr>
          <w:p>
            <w:pPr>
              <w:spacing w:after="50" w:before="50" w:line="252" w:lineRule="auto"/>
            </w:pPr>
            <w:r>
              <w:rPr>
                <w:sz w:val="17"/>
              </w:rPr>
              <w:t>2,25,000</w:t>
            </w:r>
          </w:p>
        </w:tc>
        <w:tc>
          <w:tcPr>
            <w:tcW w:type="dxa" w:w="968"/>
          </w:tcPr>
          <w:p>
            <w:pPr>
              <w:spacing w:after="50" w:before="50" w:line="252" w:lineRule="auto"/>
            </w:pPr>
            <w:r>
              <w:rPr>
                <w:b/>
                <w:sz w:val="17"/>
              </w:rPr>
              <w:t>1,60,000</w:t>
            </w:r>
          </w:p>
        </w:tc>
      </w:tr>
      <w:tr>
        <w:tc>
          <w:tcPr>
            <w:tcW w:type="dxa" w:w="850"/>
            <w:shd w:val="clear" w:color="auto" w:fill="EAF1F4"/>
          </w:tcPr>
          <w:p>
            <w:pPr>
              <w:spacing w:after="50" w:before="50" w:line="252" w:lineRule="auto"/>
            </w:pPr>
            <w:r>
              <w:rPr>
                <w:sz w:val="17"/>
              </w:rPr>
              <w:t>COACH-NAT</w:t>
            </w:r>
          </w:p>
        </w:tc>
        <w:tc>
          <w:tcPr>
            <w:tcW w:type="dxa" w:w="3244"/>
            <w:shd w:val="clear" w:color="auto" w:fill="EAF1F4"/>
          </w:tcPr>
          <w:p>
            <w:pPr>
              <w:spacing w:after="50" w:before="50" w:line="252" w:lineRule="auto"/>
            </w:pPr>
            <w:r>
              <w:rPr>
                <w:sz w:val="17"/>
              </w:rPr>
              <w:t>Coaching for a national competition</w:t>
            </w:r>
          </w:p>
        </w:tc>
        <w:tc>
          <w:tcPr>
            <w:tcW w:type="dxa" w:w="3938"/>
            <w:shd w:val="clear" w:color="auto" w:fill="EAF1F4"/>
          </w:tcPr>
          <w:p>
            <w:pPr>
              <w:spacing w:after="50" w:before="50" w:line="252" w:lineRule="auto"/>
            </w:pPr>
            <w:r>
              <w:rPr>
                <w:sz w:val="17"/>
              </w:rPr>
              <w:t>Per team per season, 6 sessions</w:t>
            </w:r>
          </w:p>
        </w:tc>
        <w:tc>
          <w:tcPr>
            <w:tcW w:type="dxa" w:w="850"/>
            <w:shd w:val="clear" w:color="auto" w:fill="EAF1F4"/>
          </w:tcPr>
          <w:p>
            <w:pPr>
              <w:spacing w:after="50" w:before="50" w:line="252" w:lineRule="auto"/>
            </w:pPr>
            <w:r>
              <w:rPr>
                <w:sz w:val="17"/>
              </w:rPr>
              <w:t>1,10,000</w:t>
            </w:r>
          </w:p>
        </w:tc>
        <w:tc>
          <w:tcPr>
            <w:tcW w:type="dxa" w:w="968"/>
            <w:shd w:val="clear" w:color="auto" w:fill="EAF1F4"/>
          </w:tcPr>
          <w:p>
            <w:pPr>
              <w:spacing w:after="50" w:before="50" w:line="252" w:lineRule="auto"/>
            </w:pPr>
            <w:r>
              <w:rPr>
                <w:b/>
                <w:sz w:val="17"/>
              </w:rPr>
              <w:t>80,000</w:t>
            </w:r>
          </w:p>
        </w:tc>
      </w:tr>
      <w:tr>
        <w:tc>
          <w:tcPr>
            <w:tcW w:type="dxa" w:w="850"/>
          </w:tcPr>
          <w:p>
            <w:pPr>
              <w:spacing w:after="50" w:before="50" w:line="252" w:lineRule="auto"/>
            </w:pPr>
            <w:r>
              <w:rPr>
                <w:sz w:val="17"/>
              </w:rPr>
              <w:t>LIC-CURR</w:t>
            </w:r>
          </w:p>
        </w:tc>
        <w:tc>
          <w:tcPr>
            <w:tcW w:type="dxa" w:w="3244"/>
          </w:tcPr>
          <w:p>
            <w:pPr>
              <w:spacing w:after="50" w:before="50" w:line="252" w:lineRule="auto"/>
            </w:pPr>
            <w:r>
              <w:rPr>
                <w:sz w:val="17"/>
              </w:rPr>
              <w:t>Curriculum licence, single programme</w:t>
            </w:r>
          </w:p>
        </w:tc>
        <w:tc>
          <w:tcPr>
            <w:tcW w:type="dxa" w:w="3938"/>
          </w:tcPr>
          <w:p>
            <w:pPr>
              <w:spacing w:after="50" w:before="50" w:line="252" w:lineRule="auto"/>
            </w:pPr>
            <w:r>
              <w:rPr>
                <w:sz w:val="17"/>
              </w:rPr>
              <w:t>Per annum, non-transferable</w:t>
            </w:r>
          </w:p>
        </w:tc>
        <w:tc>
          <w:tcPr>
            <w:tcW w:type="dxa" w:w="850"/>
          </w:tcPr>
          <w:p>
            <w:pPr>
              <w:spacing w:after="50" w:before="50" w:line="252" w:lineRule="auto"/>
            </w:pPr>
            <w:r>
              <w:rPr>
                <w:sz w:val="17"/>
              </w:rPr>
              <w:t>1,25,000</w:t>
            </w:r>
          </w:p>
        </w:tc>
        <w:tc>
          <w:tcPr>
            <w:tcW w:type="dxa" w:w="968"/>
          </w:tcPr>
          <w:p>
            <w:pPr>
              <w:spacing w:after="50" w:before="50" w:line="252" w:lineRule="auto"/>
            </w:pPr>
            <w:r>
              <w:rPr>
                <w:b/>
                <w:sz w:val="17"/>
              </w:rPr>
              <w:t>75,000</w:t>
            </w:r>
          </w:p>
        </w:tc>
      </w:tr>
      <w:tr>
        <w:tc>
          <w:tcPr>
            <w:tcW w:type="dxa" w:w="850"/>
            <w:shd w:val="clear" w:color="auto" w:fill="EAF1F4"/>
          </w:tcPr>
          <w:p>
            <w:pPr>
              <w:spacing w:after="50" w:before="50" w:line="252" w:lineRule="auto"/>
            </w:pPr>
            <w:r>
              <w:rPr>
                <w:sz w:val="17"/>
              </w:rPr>
              <w:t>LIC-CASE</w:t>
            </w:r>
          </w:p>
        </w:tc>
        <w:tc>
          <w:tcPr>
            <w:tcW w:type="dxa" w:w="3244"/>
            <w:shd w:val="clear" w:color="auto" w:fill="EAF1F4"/>
          </w:tcPr>
          <w:p>
            <w:pPr>
              <w:spacing w:after="50" w:before="50" w:line="252" w:lineRule="auto"/>
            </w:pPr>
            <w:r>
              <w:rPr>
                <w:sz w:val="17"/>
              </w:rPr>
              <w:t>Casebook and problem-set licence</w:t>
            </w:r>
          </w:p>
        </w:tc>
        <w:tc>
          <w:tcPr>
            <w:tcW w:type="dxa" w:w="3938"/>
            <w:shd w:val="clear" w:color="auto" w:fill="EAF1F4"/>
          </w:tcPr>
          <w:p>
            <w:pPr>
              <w:spacing w:after="50" w:before="50" w:line="252" w:lineRule="auto"/>
            </w:pPr>
            <w:r>
              <w:rPr>
                <w:sz w:val="17"/>
              </w:rPr>
              <w:t>Per annum</w:t>
            </w:r>
          </w:p>
        </w:tc>
        <w:tc>
          <w:tcPr>
            <w:tcW w:type="dxa" w:w="850"/>
            <w:shd w:val="clear" w:color="auto" w:fill="EAF1F4"/>
          </w:tcPr>
          <w:p>
            <w:pPr>
              <w:spacing w:after="50" w:before="50" w:line="252" w:lineRule="auto"/>
            </w:pPr>
            <w:r>
              <w:rPr>
                <w:sz w:val="17"/>
              </w:rPr>
              <w:t>65,000</w:t>
            </w:r>
          </w:p>
        </w:tc>
        <w:tc>
          <w:tcPr>
            <w:tcW w:type="dxa" w:w="968"/>
            <w:shd w:val="clear" w:color="auto" w:fill="EAF1F4"/>
          </w:tcPr>
          <w:p>
            <w:pPr>
              <w:spacing w:after="50" w:before="50" w:line="252" w:lineRule="auto"/>
            </w:pPr>
            <w:r>
              <w:rPr>
                <w:b/>
                <w:sz w:val="17"/>
              </w:rPr>
              <w:t>45,000</w:t>
            </w:r>
          </w:p>
        </w:tc>
      </w:tr>
    </w:tbl>
    <w:p>
      <w:pPr>
        <w:spacing w:after="80" w:before="0"/>
      </w:pPr>
    </w:p>
    <w:p>
      <w:pPr>
        <w:pStyle w:val="Heading2"/>
      </w:pPr>
      <w:r>
        <w:t>5.5 Competitions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205"/>
            <w:shd w:val="clear" w:color="auto" w:fill="10375C"/>
          </w:tcPr>
          <w:p>
            <w:pPr>
              <w:spacing w:after="50" w:before="50"/>
            </w:pPr>
            <w:r>
              <w:rPr>
                <w:b/>
                <w:color w:val="FFFFFF"/>
                <w:sz w:val="17"/>
              </w:rPr>
              <w:t>Item</w:t>
            </w:r>
          </w:p>
        </w:tc>
        <w:tc>
          <w:tcPr>
            <w:tcW w:type="dxa" w:w="2842"/>
            <w:shd w:val="clear" w:color="auto" w:fill="10375C"/>
          </w:tcPr>
          <w:p>
            <w:pPr>
              <w:spacing w:after="50" w:before="50"/>
            </w:pPr>
            <w:r>
              <w:rPr>
                <w:b/>
                <w:color w:val="FFFFFF"/>
                <w:sz w:val="17"/>
              </w:rPr>
              <w:t>Basis</w:t>
            </w:r>
          </w:p>
        </w:tc>
        <w:tc>
          <w:tcPr>
            <w:tcW w:type="dxa" w:w="1421"/>
            <w:shd w:val="clear" w:color="auto" w:fill="10375C"/>
          </w:tcPr>
          <w:p>
            <w:pPr>
              <w:spacing w:after="50" w:before="50"/>
            </w:pPr>
            <w:r>
              <w:rPr>
                <w:b/>
                <w:color w:val="FFFFFF"/>
                <w:sz w:val="17"/>
              </w:rPr>
              <w:t>Amount</w:t>
            </w:r>
          </w:p>
        </w:tc>
      </w:tr>
      <w:tr>
        <w:tc>
          <w:tcPr>
            <w:tcW w:type="dxa" w:w="5205"/>
          </w:tcPr>
          <w:p>
            <w:pPr>
              <w:spacing w:after="50" w:before="50" w:line="252" w:lineRule="auto"/>
            </w:pPr>
            <w:r>
              <w:rPr>
                <w:sz w:val="17"/>
              </w:rPr>
              <w:t>Team registration, national edition</w:t>
            </w:r>
          </w:p>
        </w:tc>
        <w:tc>
          <w:tcPr>
            <w:tcW w:type="dxa" w:w="2842"/>
          </w:tcPr>
          <w:p>
            <w:pPr>
              <w:spacing w:after="50" w:before="50" w:line="252" w:lineRule="auto"/>
            </w:pPr>
            <w:r>
              <w:rPr>
                <w:sz w:val="17"/>
              </w:rPr>
              <w:t>Per team</w:t>
            </w:r>
          </w:p>
        </w:tc>
        <w:tc>
          <w:tcPr>
            <w:tcW w:type="dxa" w:w="1421"/>
          </w:tcPr>
          <w:p>
            <w:pPr>
              <w:spacing w:after="50" w:before="50" w:line="252" w:lineRule="auto"/>
            </w:pPr>
            <w:r>
              <w:rPr>
                <w:sz w:val="17"/>
              </w:rPr>
              <w:t>7,500</w:t>
            </w:r>
          </w:p>
        </w:tc>
      </w:tr>
      <w:tr>
        <w:tc>
          <w:tcPr>
            <w:tcW w:type="dxa" w:w="5205"/>
            <w:shd w:val="clear" w:color="auto" w:fill="EAF1F4"/>
          </w:tcPr>
          <w:p>
            <w:pPr>
              <w:spacing w:after="50" w:before="50" w:line="252" w:lineRule="auto"/>
            </w:pPr>
            <w:r>
              <w:rPr>
                <w:sz w:val="17"/>
              </w:rPr>
              <w:t>Team registration, regional round</w:t>
            </w:r>
          </w:p>
        </w:tc>
        <w:tc>
          <w:tcPr>
            <w:tcW w:type="dxa" w:w="2842"/>
            <w:shd w:val="clear" w:color="auto" w:fill="EAF1F4"/>
          </w:tcPr>
          <w:p>
            <w:pPr>
              <w:spacing w:after="50" w:before="50" w:line="252" w:lineRule="auto"/>
            </w:pPr>
            <w:r>
              <w:rPr>
                <w:sz w:val="17"/>
              </w:rPr>
              <w:t>Per team</w:t>
            </w:r>
          </w:p>
        </w:tc>
        <w:tc>
          <w:tcPr>
            <w:tcW w:type="dxa" w:w="1421"/>
            <w:shd w:val="clear" w:color="auto" w:fill="EAF1F4"/>
          </w:tcPr>
          <w:p>
            <w:pPr>
              <w:spacing w:after="50" w:before="50" w:line="252" w:lineRule="auto"/>
            </w:pPr>
            <w:r>
              <w:rPr>
                <w:sz w:val="17"/>
              </w:rPr>
              <w:t>4,500</w:t>
            </w:r>
          </w:p>
        </w:tc>
      </w:tr>
      <w:tr>
        <w:tc>
          <w:tcPr>
            <w:tcW w:type="dxa" w:w="5205"/>
          </w:tcPr>
          <w:p>
            <w:pPr>
              <w:spacing w:after="50" w:before="50" w:line="252" w:lineRule="auto"/>
            </w:pPr>
            <w:r>
              <w:rPr>
                <w:sz w:val="17"/>
              </w:rPr>
              <w:t>Late registration surcharge</w:t>
            </w:r>
          </w:p>
        </w:tc>
        <w:tc>
          <w:tcPr>
            <w:tcW w:type="dxa" w:w="2842"/>
          </w:tcPr>
          <w:p>
            <w:pPr>
              <w:spacing w:after="50" w:before="50" w:line="252" w:lineRule="auto"/>
            </w:pPr>
            <w:r>
              <w:rPr>
                <w:sz w:val="17"/>
              </w:rPr>
              <w:t>Per team</w:t>
            </w:r>
          </w:p>
        </w:tc>
        <w:tc>
          <w:tcPr>
            <w:tcW w:type="dxa" w:w="1421"/>
          </w:tcPr>
          <w:p>
            <w:pPr>
              <w:spacing w:after="50" w:before="50" w:line="252" w:lineRule="auto"/>
            </w:pPr>
            <w:r>
              <w:rPr>
                <w:sz w:val="17"/>
              </w:rPr>
              <w:t>2,000</w:t>
            </w:r>
          </w:p>
        </w:tc>
      </w:tr>
      <w:tr>
        <w:tc>
          <w:tcPr>
            <w:tcW w:type="dxa" w:w="5205"/>
            <w:shd w:val="clear" w:color="auto" w:fill="EAF1F4"/>
          </w:tcPr>
          <w:p>
            <w:pPr>
              <w:spacing w:after="50" w:before="50" w:line="252" w:lineRule="auto"/>
            </w:pPr>
            <w:r>
              <w:rPr>
                <w:sz w:val="17"/>
              </w:rPr>
              <w:t>Observer or delegate pass</w:t>
            </w:r>
          </w:p>
        </w:tc>
        <w:tc>
          <w:tcPr>
            <w:tcW w:type="dxa" w:w="2842"/>
            <w:shd w:val="clear" w:color="auto" w:fill="EAF1F4"/>
          </w:tcPr>
          <w:p>
            <w:pPr>
              <w:spacing w:after="50" w:before="50" w:line="252" w:lineRule="auto"/>
            </w:pPr>
            <w:r>
              <w:rPr>
                <w:sz w:val="17"/>
              </w:rPr>
              <w:t>Per person</w:t>
            </w:r>
          </w:p>
        </w:tc>
        <w:tc>
          <w:tcPr>
            <w:tcW w:type="dxa" w:w="1421"/>
            <w:shd w:val="clear" w:color="auto" w:fill="EAF1F4"/>
          </w:tcPr>
          <w:p>
            <w:pPr>
              <w:spacing w:after="50" w:before="50" w:line="252" w:lineRule="auto"/>
            </w:pPr>
            <w:r>
              <w:rPr>
                <w:sz w:val="17"/>
              </w:rPr>
              <w:t>2,500</w:t>
            </w:r>
          </w:p>
        </w:tc>
      </w:tr>
      <w:tr>
        <w:tc>
          <w:tcPr>
            <w:tcW w:type="dxa" w:w="5205"/>
          </w:tcPr>
          <w:p>
            <w:pPr>
              <w:spacing w:after="50" w:before="50" w:line="252" w:lineRule="auto"/>
            </w:pPr>
            <w:r>
              <w:rPr>
                <w:sz w:val="17"/>
              </w:rPr>
              <w:t>Title sponsorship</w:t>
            </w:r>
          </w:p>
        </w:tc>
        <w:tc>
          <w:tcPr>
            <w:tcW w:type="dxa" w:w="2842"/>
          </w:tcPr>
          <w:p>
            <w:pPr>
              <w:spacing w:after="50" w:before="50" w:line="252" w:lineRule="auto"/>
            </w:pPr>
            <w:r>
              <w:rPr>
                <w:sz w:val="17"/>
              </w:rPr>
              <w:t>Per edition</w:t>
            </w:r>
          </w:p>
        </w:tc>
        <w:tc>
          <w:tcPr>
            <w:tcW w:type="dxa" w:w="1421"/>
          </w:tcPr>
          <w:p>
            <w:pPr>
              <w:spacing w:after="50" w:before="50" w:line="252" w:lineRule="auto"/>
            </w:pPr>
            <w:r>
              <w:rPr>
                <w:sz w:val="17"/>
              </w:rPr>
              <w:t>12,00,000</w:t>
            </w:r>
          </w:p>
        </w:tc>
      </w:tr>
      <w:tr>
        <w:tc>
          <w:tcPr>
            <w:tcW w:type="dxa" w:w="5205"/>
            <w:shd w:val="clear" w:color="auto" w:fill="EAF1F4"/>
          </w:tcPr>
          <w:p>
            <w:pPr>
              <w:spacing w:after="50" w:before="50" w:line="252" w:lineRule="auto"/>
            </w:pPr>
            <w:r>
              <w:rPr>
                <w:sz w:val="17"/>
              </w:rPr>
              <w:t>Associate sponsorship</w:t>
            </w:r>
          </w:p>
        </w:tc>
        <w:tc>
          <w:tcPr>
            <w:tcW w:type="dxa" w:w="2842"/>
            <w:shd w:val="clear" w:color="auto" w:fill="EAF1F4"/>
          </w:tcPr>
          <w:p>
            <w:pPr>
              <w:spacing w:after="50" w:before="50" w:line="252" w:lineRule="auto"/>
            </w:pPr>
            <w:r>
              <w:rPr>
                <w:sz w:val="17"/>
              </w:rPr>
              <w:t>Per edition, maximum three</w:t>
            </w:r>
          </w:p>
        </w:tc>
        <w:tc>
          <w:tcPr>
            <w:tcW w:type="dxa" w:w="1421"/>
            <w:shd w:val="clear" w:color="auto" w:fill="EAF1F4"/>
          </w:tcPr>
          <w:p>
            <w:pPr>
              <w:spacing w:after="50" w:before="50" w:line="252" w:lineRule="auto"/>
            </w:pPr>
            <w:r>
              <w:rPr>
                <w:sz w:val="17"/>
              </w:rPr>
              <w:t>6,00,000</w:t>
            </w:r>
          </w:p>
        </w:tc>
      </w:tr>
      <w:tr>
        <w:tc>
          <w:tcPr>
            <w:tcW w:type="dxa" w:w="5205"/>
          </w:tcPr>
          <w:p>
            <w:pPr>
              <w:spacing w:after="50" w:before="50" w:line="252" w:lineRule="auto"/>
            </w:pPr>
            <w:r>
              <w:rPr>
                <w:sz w:val="17"/>
              </w:rPr>
              <w:t>Round sponsorship</w:t>
            </w:r>
          </w:p>
        </w:tc>
        <w:tc>
          <w:tcPr>
            <w:tcW w:type="dxa" w:w="2842"/>
          </w:tcPr>
          <w:p>
            <w:pPr>
              <w:spacing w:after="50" w:before="50" w:line="252" w:lineRule="auto"/>
            </w:pPr>
            <w:r>
              <w:rPr>
                <w:sz w:val="17"/>
              </w:rPr>
              <w:t>Per round</w:t>
            </w:r>
          </w:p>
        </w:tc>
        <w:tc>
          <w:tcPr>
            <w:tcW w:type="dxa" w:w="1421"/>
          </w:tcPr>
          <w:p>
            <w:pPr>
              <w:spacing w:after="50" w:before="50" w:line="252" w:lineRule="auto"/>
            </w:pPr>
            <w:r>
              <w:rPr>
                <w:sz w:val="17"/>
              </w:rPr>
              <w:t>2,50,000</w:t>
            </w:r>
          </w:p>
        </w:tc>
      </w:tr>
      <w:tr>
        <w:tc>
          <w:tcPr>
            <w:tcW w:type="dxa" w:w="5205"/>
            <w:shd w:val="clear" w:color="auto" w:fill="EAF1F4"/>
          </w:tcPr>
          <w:p>
            <w:pPr>
              <w:spacing w:after="50" w:before="50" w:line="252" w:lineRule="auto"/>
            </w:pPr>
            <w:r>
              <w:rPr>
                <w:sz w:val="17"/>
              </w:rPr>
              <w:t>Award sponsorship</w:t>
            </w:r>
          </w:p>
        </w:tc>
        <w:tc>
          <w:tcPr>
            <w:tcW w:type="dxa" w:w="2842"/>
            <w:shd w:val="clear" w:color="auto" w:fill="EAF1F4"/>
          </w:tcPr>
          <w:p>
            <w:pPr>
              <w:spacing w:after="50" w:before="50" w:line="252" w:lineRule="auto"/>
            </w:pPr>
            <w:r>
              <w:rPr>
                <w:sz w:val="17"/>
              </w:rPr>
              <w:t>Per award</w:t>
            </w:r>
          </w:p>
        </w:tc>
        <w:tc>
          <w:tcPr>
            <w:tcW w:type="dxa" w:w="1421"/>
            <w:shd w:val="clear" w:color="auto" w:fill="EAF1F4"/>
          </w:tcPr>
          <w:p>
            <w:pPr>
              <w:spacing w:after="50" w:before="50" w:line="252" w:lineRule="auto"/>
            </w:pPr>
            <w:r>
              <w:rPr>
                <w:sz w:val="17"/>
              </w:rPr>
              <w:t>1,00,000</w:t>
            </w:r>
          </w:p>
        </w:tc>
      </w:tr>
      <w:tr>
        <w:tc>
          <w:tcPr>
            <w:tcW w:type="dxa" w:w="5205"/>
          </w:tcPr>
          <w:p>
            <w:pPr>
              <w:spacing w:after="50" w:before="50" w:line="252" w:lineRule="auto"/>
            </w:pPr>
            <w:r>
              <w:rPr>
                <w:sz w:val="17"/>
              </w:rPr>
              <w:t>Hospitality or category sponsorship</w:t>
            </w:r>
          </w:p>
        </w:tc>
        <w:tc>
          <w:tcPr>
            <w:tcW w:type="dxa" w:w="2842"/>
          </w:tcPr>
          <w:p>
            <w:pPr>
              <w:spacing w:after="50" w:before="50" w:line="252" w:lineRule="auto"/>
            </w:pPr>
            <w:r>
              <w:rPr>
                <w:sz w:val="17"/>
              </w:rPr>
              <w:t>Per item</w:t>
            </w:r>
          </w:p>
        </w:tc>
        <w:tc>
          <w:tcPr>
            <w:tcW w:type="dxa" w:w="1421"/>
          </w:tcPr>
          <w:p>
            <w:pPr>
              <w:spacing w:after="50" w:before="50" w:line="252" w:lineRule="auto"/>
            </w:pPr>
            <w:r>
              <w:rPr>
                <w:sz w:val="17"/>
              </w:rPr>
              <w:t>75,000</w:t>
            </w:r>
          </w:p>
        </w:tc>
      </w:tr>
    </w:tbl>
    <w:p>
      <w:pPr>
        <w:spacing w:after="80" w:before="0"/>
      </w:pPr>
    </w:p>
    <w:p>
      <w:r>
        <w:rPr>
          <w:i/>
        </w:rPr>
        <w:t>Sponsorship figures are the mature-edition ask. Edition 1 is expected to clear at roughly 60% of these levels; see 04.2 section 6.</w:t>
      </w:r>
    </w:p>
    <w:p>
      <w:pPr>
        <w:pStyle w:val="Heading2"/>
      </w:pPr>
      <w:r>
        <w:t>5.6 Loss leaders — free, within these limits and no further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350"/>
            <w:shd w:val="clear" w:color="auto" w:fill="10375C"/>
          </w:tcPr>
          <w:p>
            <w:pPr>
              <w:spacing w:after="50" w:before="50"/>
            </w:pPr>
            <w:r>
              <w:rPr>
                <w:b/>
                <w:color w:val="FFFFFF"/>
                <w:sz w:val="17"/>
              </w:rPr>
              <w:t>Item</w:t>
            </w:r>
          </w:p>
        </w:tc>
        <w:tc>
          <w:tcPr>
            <w:tcW w:type="dxa" w:w="5118"/>
            <w:shd w:val="clear" w:color="auto" w:fill="10375C"/>
          </w:tcPr>
          <w:p>
            <w:pPr>
              <w:spacing w:after="50" w:before="50"/>
            </w:pPr>
            <w:r>
              <w:rPr>
                <w:b/>
                <w:color w:val="FFFFFF"/>
                <w:sz w:val="17"/>
              </w:rPr>
              <w:t>Limit</w:t>
            </w:r>
          </w:p>
        </w:tc>
      </w:tr>
      <w:tr>
        <w:tc>
          <w:tcPr>
            <w:tcW w:type="dxa" w:w="4350"/>
          </w:tcPr>
          <w:p>
            <w:pPr>
              <w:spacing w:after="50" w:before="50" w:line="252" w:lineRule="auto"/>
            </w:pPr>
            <w:r>
              <w:rPr>
                <w:sz w:val="17"/>
              </w:rPr>
              <w:t>Guest lecture or orientation session</w:t>
            </w:r>
          </w:p>
        </w:tc>
        <w:tc>
          <w:tcPr>
            <w:tcW w:type="dxa" w:w="5118"/>
          </w:tcPr>
          <w:p>
            <w:pPr>
              <w:spacing w:after="50" w:before="50" w:line="252" w:lineRule="auto"/>
            </w:pPr>
            <w:r>
              <w:rPr>
                <w:sz w:val="17"/>
              </w:rPr>
              <w:t>90 minutes, one per institution per Academic Year</w:t>
            </w:r>
          </w:p>
        </w:tc>
      </w:tr>
      <w:tr>
        <w:tc>
          <w:tcPr>
            <w:tcW w:type="dxa" w:w="4350"/>
            <w:shd w:val="clear" w:color="auto" w:fill="EAF1F4"/>
          </w:tcPr>
          <w:p>
            <w:pPr>
              <w:spacing w:after="50" w:before="50" w:line="252" w:lineRule="auto"/>
            </w:pPr>
            <w:r>
              <w:rPr>
                <w:sz w:val="17"/>
              </w:rPr>
              <w:t>National webinar programme</w:t>
            </w:r>
          </w:p>
        </w:tc>
        <w:tc>
          <w:tcPr>
            <w:tcW w:type="dxa" w:w="5118"/>
            <w:shd w:val="clear" w:color="auto" w:fill="EAF1F4"/>
          </w:tcPr>
          <w:p>
            <w:pPr>
              <w:spacing w:after="50" w:before="50" w:line="252" w:lineRule="auto"/>
            </w:pPr>
            <w:r>
              <w:rPr>
                <w:sz w:val="17"/>
              </w:rPr>
              <w:t>All students of a partner institution; online only</w:t>
            </w:r>
          </w:p>
        </w:tc>
      </w:tr>
      <w:tr>
        <w:tc>
          <w:tcPr>
            <w:tcW w:type="dxa" w:w="4350"/>
          </w:tcPr>
          <w:p>
            <w:pPr>
              <w:spacing w:after="50" w:before="50" w:line="252" w:lineRule="auto"/>
            </w:pPr>
            <w:r>
              <w:rPr>
                <w:sz w:val="17"/>
              </w:rPr>
              <w:t>Campus Mediation Cell toolkit</w:t>
            </w:r>
          </w:p>
        </w:tc>
        <w:tc>
          <w:tcPr>
            <w:tcW w:type="dxa" w:w="5118"/>
          </w:tcPr>
          <w:p>
            <w:pPr>
              <w:spacing w:after="50" w:before="50" w:line="252" w:lineRule="auto"/>
            </w:pPr>
            <w:r>
              <w:rPr>
                <w:sz w:val="17"/>
              </w:rPr>
              <w:t>Documentation only; training is charged at A-CELL</w:t>
            </w:r>
          </w:p>
        </w:tc>
      </w:tr>
      <w:tr>
        <w:tc>
          <w:tcPr>
            <w:tcW w:type="dxa" w:w="4350"/>
            <w:shd w:val="clear" w:color="auto" w:fill="EAF1F4"/>
          </w:tcPr>
          <w:p>
            <w:pPr>
              <w:spacing w:after="50" w:before="50" w:line="252" w:lineRule="auto"/>
            </w:pPr>
            <w:r>
              <w:rPr>
                <w:sz w:val="17"/>
              </w:rPr>
              <w:t>Curriculum consultation</w:t>
            </w:r>
          </w:p>
        </w:tc>
        <w:tc>
          <w:tcPr>
            <w:tcW w:type="dxa" w:w="5118"/>
            <w:shd w:val="clear" w:color="auto" w:fill="EAF1F4"/>
          </w:tcPr>
          <w:p>
            <w:pPr>
              <w:spacing w:after="50" w:before="50" w:line="252" w:lineRule="auto"/>
            </w:pPr>
            <w:r>
              <w:rPr>
                <w:sz w:val="17"/>
              </w:rPr>
              <w:t>Two sessions per institution per year</w:t>
            </w:r>
          </w:p>
        </w:tc>
      </w:tr>
      <w:tr>
        <w:tc>
          <w:tcPr>
            <w:tcW w:type="dxa" w:w="4350"/>
          </w:tcPr>
          <w:p>
            <w:pPr>
              <w:spacing w:after="50" w:before="50" w:line="252" w:lineRule="auto"/>
            </w:pPr>
            <w:r>
              <w:rPr>
                <w:sz w:val="17"/>
              </w:rPr>
              <w:t>Equator judges at an institution's own competition</w:t>
            </w:r>
          </w:p>
        </w:tc>
        <w:tc>
          <w:tcPr>
            <w:tcW w:type="dxa" w:w="5118"/>
          </w:tcPr>
          <w:p>
            <w:pPr>
              <w:spacing w:after="50" w:before="50" w:line="252" w:lineRule="auto"/>
            </w:pPr>
            <w:r>
              <w:rPr>
                <w:sz w:val="17"/>
              </w:rPr>
              <w:t>Travel at the host's cost</w:t>
            </w:r>
          </w:p>
        </w:tc>
      </w:tr>
      <w:tr>
        <w:tc>
          <w:tcPr>
            <w:tcW w:type="dxa" w:w="4350"/>
            <w:shd w:val="clear" w:color="auto" w:fill="EAF1F4"/>
          </w:tcPr>
          <w:p>
            <w:pPr>
              <w:spacing w:after="50" w:before="50" w:line="252" w:lineRule="auto"/>
            </w:pPr>
            <w:r>
              <w:rPr>
                <w:sz w:val="17"/>
              </w:rPr>
              <w:t>Competition problem set, past editions</w:t>
            </w:r>
          </w:p>
        </w:tc>
        <w:tc>
          <w:tcPr>
            <w:tcW w:type="dxa" w:w="5118"/>
            <w:shd w:val="clear" w:color="auto" w:fill="EAF1F4"/>
          </w:tcPr>
          <w:p>
            <w:pPr>
              <w:spacing w:after="50" w:before="50" w:line="252" w:lineRule="auto"/>
            </w:pPr>
            <w:r>
              <w:rPr>
                <w:sz w:val="17"/>
              </w:rPr>
              <w:t>Released publicly twelve months after the edition</w:t>
            </w:r>
          </w:p>
        </w:tc>
      </w:tr>
    </w:tbl>
    <w:p>
      <w:pPr>
        <w:spacing w:after="80" w:before="0"/>
      </w:pPr>
    </w:p>
    <w:p>
      <w:pPr>
        <w:spacing w:before="80" w:after="160"/>
        <w:pBdr>
          <w:bottom w:val="single" w:sz="6" w:space="1" w:color="C9D6DE"/>
        </w:pBdr>
      </w:pPr>
    </w:p>
    <w:p>
      <w:pPr>
        <w:pStyle w:val="Heading1"/>
        <w:pBdr>
          <w:bottom w:val="single" w:sz="8" w:space="4" w:color="C9D6DE"/>
        </w:pBdr>
      </w:pPr>
      <w:r>
        <w:t>6. The cost base</w:t>
      </w:r>
    </w:p>
    <w:p>
      <w:pPr>
        <w:pStyle w:val="Heading2"/>
      </w:pPr>
      <w:r>
        <w:t>6.1 Standard cost assumptions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740"/>
            <w:shd w:val="clear" w:color="auto" w:fill="10375C"/>
          </w:tcPr>
          <w:p>
            <w:pPr>
              <w:spacing w:after="50" w:before="50"/>
            </w:pPr>
            <w:r>
              <w:rPr>
                <w:b/>
                <w:color w:val="FFFFFF"/>
                <w:sz w:val="17"/>
              </w:rPr>
              <w:t>Cost</w:t>
            </w:r>
          </w:p>
        </w:tc>
        <w:tc>
          <w:tcPr>
            <w:tcW w:type="dxa" w:w="2644"/>
            <w:shd w:val="clear" w:color="auto" w:fill="10375C"/>
          </w:tcPr>
          <w:p>
            <w:pPr>
              <w:spacing w:after="50" w:before="50"/>
            </w:pPr>
            <w:r>
              <w:rPr>
                <w:b/>
                <w:color w:val="FFFFFF"/>
                <w:sz w:val="17"/>
              </w:rPr>
              <w:t>Basis</w:t>
            </w:r>
          </w:p>
        </w:tc>
        <w:tc>
          <w:tcPr>
            <w:tcW w:type="dxa" w:w="1084"/>
            <w:shd w:val="clear" w:color="auto" w:fill="10375C"/>
          </w:tcPr>
          <w:p>
            <w:pPr>
              <w:spacing w:after="50" w:before="50"/>
            </w:pPr>
            <w:r>
              <w:rPr>
                <w:b/>
                <w:color w:val="FFFFFF"/>
                <w:sz w:val="17"/>
              </w:rPr>
              <w:t>Rate</w:t>
            </w:r>
          </w:p>
        </w:tc>
      </w:tr>
      <w:tr>
        <w:tc>
          <w:tcPr>
            <w:tcW w:type="dxa" w:w="5740"/>
          </w:tcPr>
          <w:p>
            <w:pPr>
              <w:spacing w:after="50" w:before="50" w:line="252" w:lineRule="auto"/>
            </w:pPr>
            <w:r>
              <w:rPr>
                <w:sz w:val="17"/>
              </w:rPr>
              <w:t>Lead trainer, multi-day block</w:t>
            </w:r>
          </w:p>
        </w:tc>
        <w:tc>
          <w:tcPr>
            <w:tcW w:type="dxa" w:w="2644"/>
          </w:tcPr>
          <w:p>
            <w:pPr>
              <w:spacing w:after="50" w:before="50" w:line="252" w:lineRule="auto"/>
            </w:pPr>
            <w:r>
              <w:rPr>
                <w:sz w:val="17"/>
              </w:rPr>
              <w:t>Per day</w:t>
            </w:r>
          </w:p>
        </w:tc>
        <w:tc>
          <w:tcPr>
            <w:tcW w:type="dxa" w:w="1084"/>
          </w:tcPr>
          <w:p>
            <w:pPr>
              <w:spacing w:after="50" w:before="50" w:line="252" w:lineRule="auto"/>
            </w:pPr>
            <w:r>
              <w:rPr>
                <w:sz w:val="17"/>
              </w:rPr>
              <w:t>15,000</w:t>
            </w:r>
          </w:p>
        </w:tc>
      </w:tr>
      <w:tr>
        <w:tc>
          <w:tcPr>
            <w:tcW w:type="dxa" w:w="5740"/>
            <w:shd w:val="clear" w:color="auto" w:fill="EAF1F4"/>
          </w:tcPr>
          <w:p>
            <w:pPr>
              <w:spacing w:after="50" w:before="50" w:line="252" w:lineRule="auto"/>
            </w:pPr>
            <w:r>
              <w:rPr>
                <w:sz w:val="17"/>
              </w:rPr>
              <w:t>Lead trainer, single marquee session</w:t>
            </w:r>
          </w:p>
        </w:tc>
        <w:tc>
          <w:tcPr>
            <w:tcW w:type="dxa" w:w="2644"/>
            <w:shd w:val="clear" w:color="auto" w:fill="EAF1F4"/>
          </w:tcPr>
          <w:p>
            <w:pPr>
              <w:spacing w:after="50" w:before="50" w:line="252" w:lineRule="auto"/>
            </w:pPr>
            <w:r>
              <w:rPr>
                <w:sz w:val="17"/>
              </w:rPr>
              <w:t>Per day</w:t>
            </w:r>
          </w:p>
        </w:tc>
        <w:tc>
          <w:tcPr>
            <w:tcW w:type="dxa" w:w="1084"/>
            <w:shd w:val="clear" w:color="auto" w:fill="EAF1F4"/>
          </w:tcPr>
          <w:p>
            <w:pPr>
              <w:spacing w:after="50" w:before="50" w:line="252" w:lineRule="auto"/>
            </w:pPr>
            <w:r>
              <w:rPr>
                <w:sz w:val="17"/>
              </w:rPr>
              <w:t>22,000</w:t>
            </w:r>
          </w:p>
        </w:tc>
      </w:tr>
      <w:tr>
        <w:tc>
          <w:tcPr>
            <w:tcW w:type="dxa" w:w="5740"/>
          </w:tcPr>
          <w:p>
            <w:pPr>
              <w:spacing w:after="50" w:before="50" w:line="252" w:lineRule="auto"/>
            </w:pPr>
            <w:r>
              <w:rPr>
                <w:sz w:val="17"/>
              </w:rPr>
              <w:t>Associate trainer or co-facilitator</w:t>
            </w:r>
          </w:p>
        </w:tc>
        <w:tc>
          <w:tcPr>
            <w:tcW w:type="dxa" w:w="2644"/>
          </w:tcPr>
          <w:p>
            <w:pPr>
              <w:spacing w:after="50" w:before="50" w:line="252" w:lineRule="auto"/>
            </w:pPr>
            <w:r>
              <w:rPr>
                <w:sz w:val="17"/>
              </w:rPr>
              <w:t>Per day</w:t>
            </w:r>
          </w:p>
        </w:tc>
        <w:tc>
          <w:tcPr>
            <w:tcW w:type="dxa" w:w="1084"/>
          </w:tcPr>
          <w:p>
            <w:pPr>
              <w:spacing w:after="50" w:before="50" w:line="252" w:lineRule="auto"/>
            </w:pPr>
            <w:r>
              <w:rPr>
                <w:sz w:val="17"/>
              </w:rPr>
              <w:t>7,500</w:t>
            </w:r>
          </w:p>
        </w:tc>
      </w:tr>
      <w:tr>
        <w:tc>
          <w:tcPr>
            <w:tcW w:type="dxa" w:w="5740"/>
            <w:shd w:val="clear" w:color="auto" w:fill="EAF1F4"/>
          </w:tcPr>
          <w:p>
            <w:pPr>
              <w:spacing w:after="50" w:before="50" w:line="252" w:lineRule="auto"/>
            </w:pPr>
            <w:r>
              <w:rPr>
                <w:sz w:val="17"/>
              </w:rPr>
              <w:t>Assessment and marking</w:t>
            </w:r>
          </w:p>
        </w:tc>
        <w:tc>
          <w:tcPr>
            <w:tcW w:type="dxa" w:w="2644"/>
            <w:shd w:val="clear" w:color="auto" w:fill="EAF1F4"/>
          </w:tcPr>
          <w:p>
            <w:pPr>
              <w:spacing w:after="50" w:before="50" w:line="252" w:lineRule="auto"/>
            </w:pPr>
            <w:r>
              <w:rPr>
                <w:sz w:val="17"/>
              </w:rPr>
              <w:t>Per script</w:t>
            </w:r>
          </w:p>
        </w:tc>
        <w:tc>
          <w:tcPr>
            <w:tcW w:type="dxa" w:w="1084"/>
            <w:shd w:val="clear" w:color="auto" w:fill="EAF1F4"/>
          </w:tcPr>
          <w:p>
            <w:pPr>
              <w:spacing w:after="50" w:before="50" w:line="252" w:lineRule="auto"/>
            </w:pPr>
            <w:r>
              <w:rPr>
                <w:sz w:val="17"/>
              </w:rPr>
              <w:t>350</w:t>
            </w:r>
          </w:p>
        </w:tc>
      </w:tr>
      <w:tr>
        <w:tc>
          <w:tcPr>
            <w:tcW w:type="dxa" w:w="5740"/>
          </w:tcPr>
          <w:p>
            <w:pPr>
              <w:spacing w:after="50" w:before="50" w:line="252" w:lineRule="auto"/>
            </w:pPr>
            <w:r>
              <w:rPr>
                <w:sz w:val="17"/>
              </w:rPr>
              <w:t>Participant materials and workbook</w:t>
            </w:r>
          </w:p>
        </w:tc>
        <w:tc>
          <w:tcPr>
            <w:tcW w:type="dxa" w:w="2644"/>
          </w:tcPr>
          <w:p>
            <w:pPr>
              <w:spacing w:after="50" w:before="50" w:line="252" w:lineRule="auto"/>
            </w:pPr>
            <w:r>
              <w:rPr>
                <w:sz w:val="17"/>
              </w:rPr>
              <w:t>Per participant</w:t>
            </w:r>
          </w:p>
        </w:tc>
        <w:tc>
          <w:tcPr>
            <w:tcW w:type="dxa" w:w="1084"/>
          </w:tcPr>
          <w:p>
            <w:pPr>
              <w:spacing w:after="50" w:before="50" w:line="252" w:lineRule="auto"/>
            </w:pPr>
            <w:r>
              <w:rPr>
                <w:sz w:val="17"/>
              </w:rPr>
              <w:t>450</w:t>
            </w:r>
          </w:p>
        </w:tc>
      </w:tr>
      <w:tr>
        <w:tc>
          <w:tcPr>
            <w:tcW w:type="dxa" w:w="5740"/>
            <w:shd w:val="clear" w:color="auto" w:fill="EAF1F4"/>
          </w:tcPr>
          <w:p>
            <w:pPr>
              <w:spacing w:after="50" w:before="50" w:line="252" w:lineRule="auto"/>
            </w:pPr>
            <w:r>
              <w:rPr>
                <w:sz w:val="17"/>
              </w:rPr>
              <w:t>Certificate, printing and register entry</w:t>
            </w:r>
          </w:p>
        </w:tc>
        <w:tc>
          <w:tcPr>
            <w:tcW w:type="dxa" w:w="2644"/>
            <w:shd w:val="clear" w:color="auto" w:fill="EAF1F4"/>
          </w:tcPr>
          <w:p>
            <w:pPr>
              <w:spacing w:after="50" w:before="50" w:line="252" w:lineRule="auto"/>
            </w:pPr>
            <w:r>
              <w:rPr>
                <w:sz w:val="17"/>
              </w:rPr>
              <w:t>Per participant</w:t>
            </w:r>
          </w:p>
        </w:tc>
        <w:tc>
          <w:tcPr>
            <w:tcW w:type="dxa" w:w="1084"/>
            <w:shd w:val="clear" w:color="auto" w:fill="EAF1F4"/>
          </w:tcPr>
          <w:p>
            <w:pPr>
              <w:spacing w:after="50" w:before="50" w:line="252" w:lineRule="auto"/>
            </w:pPr>
            <w:r>
              <w:rPr>
                <w:sz w:val="17"/>
              </w:rPr>
              <w:t>120</w:t>
            </w:r>
          </w:p>
        </w:tc>
      </w:tr>
      <w:tr>
        <w:tc>
          <w:tcPr>
            <w:tcW w:type="dxa" w:w="5740"/>
          </w:tcPr>
          <w:p>
            <w:pPr>
              <w:spacing w:after="50" w:before="50" w:line="252" w:lineRule="auto"/>
            </w:pPr>
            <w:r>
              <w:rPr>
                <w:sz w:val="17"/>
              </w:rPr>
              <w:t>Trainer travel, outstation return</w:t>
            </w:r>
          </w:p>
        </w:tc>
        <w:tc>
          <w:tcPr>
            <w:tcW w:type="dxa" w:w="2644"/>
          </w:tcPr>
          <w:p>
            <w:pPr>
              <w:spacing w:after="50" w:before="50" w:line="252" w:lineRule="auto"/>
            </w:pPr>
            <w:r>
              <w:rPr>
                <w:sz w:val="17"/>
              </w:rPr>
              <w:t>Per trainer per trip</w:t>
            </w:r>
          </w:p>
        </w:tc>
        <w:tc>
          <w:tcPr>
            <w:tcW w:type="dxa" w:w="1084"/>
          </w:tcPr>
          <w:p>
            <w:pPr>
              <w:spacing w:after="50" w:before="50" w:line="252" w:lineRule="auto"/>
            </w:pPr>
            <w:r>
              <w:rPr>
                <w:sz w:val="17"/>
              </w:rPr>
              <w:t>9,000</w:t>
            </w:r>
          </w:p>
        </w:tc>
      </w:tr>
      <w:tr>
        <w:tc>
          <w:tcPr>
            <w:tcW w:type="dxa" w:w="5740"/>
            <w:shd w:val="clear" w:color="auto" w:fill="EAF1F4"/>
          </w:tcPr>
          <w:p>
            <w:pPr>
              <w:spacing w:after="50" w:before="50" w:line="252" w:lineRule="auto"/>
            </w:pPr>
            <w:r>
              <w:rPr>
                <w:sz w:val="17"/>
              </w:rPr>
              <w:t>Trainer accommodation</w:t>
            </w:r>
          </w:p>
        </w:tc>
        <w:tc>
          <w:tcPr>
            <w:tcW w:type="dxa" w:w="2644"/>
            <w:shd w:val="clear" w:color="auto" w:fill="EAF1F4"/>
          </w:tcPr>
          <w:p>
            <w:pPr>
              <w:spacing w:after="50" w:before="50" w:line="252" w:lineRule="auto"/>
            </w:pPr>
            <w:r>
              <w:rPr>
                <w:sz w:val="17"/>
              </w:rPr>
              <w:t>Per night</w:t>
            </w:r>
          </w:p>
        </w:tc>
        <w:tc>
          <w:tcPr>
            <w:tcW w:type="dxa" w:w="1084"/>
            <w:shd w:val="clear" w:color="auto" w:fill="EAF1F4"/>
          </w:tcPr>
          <w:p>
            <w:pPr>
              <w:spacing w:after="50" w:before="50" w:line="252" w:lineRule="auto"/>
            </w:pPr>
            <w:r>
              <w:rPr>
                <w:sz w:val="17"/>
              </w:rPr>
              <w:t>4,500</w:t>
            </w:r>
          </w:p>
        </w:tc>
      </w:tr>
      <w:tr>
        <w:tc>
          <w:tcPr>
            <w:tcW w:type="dxa" w:w="5740"/>
          </w:tcPr>
          <w:p>
            <w:pPr>
              <w:spacing w:after="50" w:before="50" w:line="252" w:lineRule="auto"/>
            </w:pPr>
            <w:r>
              <w:rPr>
                <w:sz w:val="17"/>
              </w:rPr>
              <w:t>Local conveyance</w:t>
            </w:r>
          </w:p>
        </w:tc>
        <w:tc>
          <w:tcPr>
            <w:tcW w:type="dxa" w:w="2644"/>
          </w:tcPr>
          <w:p>
            <w:pPr>
              <w:spacing w:after="50" w:before="50" w:line="252" w:lineRule="auto"/>
            </w:pPr>
            <w:r>
              <w:rPr>
                <w:sz w:val="17"/>
              </w:rPr>
              <w:t>Per programme</w:t>
            </w:r>
          </w:p>
        </w:tc>
        <w:tc>
          <w:tcPr>
            <w:tcW w:type="dxa" w:w="1084"/>
          </w:tcPr>
          <w:p>
            <w:pPr>
              <w:spacing w:after="50" w:before="50" w:line="252" w:lineRule="auto"/>
            </w:pPr>
            <w:r>
              <w:rPr>
                <w:sz w:val="17"/>
              </w:rPr>
              <w:t>5,000</w:t>
            </w:r>
          </w:p>
        </w:tc>
      </w:tr>
      <w:tr>
        <w:tc>
          <w:tcPr>
            <w:tcW w:type="dxa" w:w="5740"/>
            <w:shd w:val="clear" w:color="auto" w:fill="EAF1F4"/>
          </w:tcPr>
          <w:p>
            <w:pPr>
              <w:spacing w:after="50" w:before="50" w:line="252" w:lineRule="auto"/>
            </w:pPr>
            <w:r>
              <w:rPr>
                <w:sz w:val="17"/>
              </w:rPr>
              <w:t>Programme management allocation</w:t>
            </w:r>
          </w:p>
        </w:tc>
        <w:tc>
          <w:tcPr>
            <w:tcW w:type="dxa" w:w="2644"/>
            <w:shd w:val="clear" w:color="auto" w:fill="EAF1F4"/>
          </w:tcPr>
          <w:p>
            <w:pPr>
              <w:spacing w:after="50" w:before="50" w:line="252" w:lineRule="auto"/>
            </w:pPr>
            <w:r>
              <w:rPr>
                <w:sz w:val="17"/>
              </w:rPr>
              <w:t>Per programme day</w:t>
            </w:r>
          </w:p>
        </w:tc>
        <w:tc>
          <w:tcPr>
            <w:tcW w:type="dxa" w:w="1084"/>
            <w:shd w:val="clear" w:color="auto" w:fill="EAF1F4"/>
          </w:tcPr>
          <w:p>
            <w:pPr>
              <w:spacing w:after="50" w:before="50" w:line="252" w:lineRule="auto"/>
            </w:pPr>
            <w:r>
              <w:rPr>
                <w:sz w:val="17"/>
              </w:rPr>
              <w:t>6,500</w:t>
            </w:r>
          </w:p>
        </w:tc>
      </w:tr>
      <w:tr>
        <w:tc>
          <w:tcPr>
            <w:tcW w:type="dxa" w:w="5740"/>
          </w:tcPr>
          <w:p>
            <w:pPr>
              <w:spacing w:after="50" w:before="50" w:line="252" w:lineRule="auto"/>
            </w:pPr>
            <w:r>
              <w:rPr>
                <w:sz w:val="17"/>
              </w:rPr>
              <w:t>Competition problem development</w:t>
            </w:r>
          </w:p>
        </w:tc>
        <w:tc>
          <w:tcPr>
            <w:tcW w:type="dxa" w:w="2644"/>
          </w:tcPr>
          <w:p>
            <w:pPr>
              <w:spacing w:after="50" w:before="50" w:line="252" w:lineRule="auto"/>
            </w:pPr>
            <w:r>
              <w:rPr>
                <w:sz w:val="17"/>
              </w:rPr>
              <w:t>Per problem</w:t>
            </w:r>
          </w:p>
        </w:tc>
        <w:tc>
          <w:tcPr>
            <w:tcW w:type="dxa" w:w="1084"/>
          </w:tcPr>
          <w:p>
            <w:pPr>
              <w:spacing w:after="50" w:before="50" w:line="252" w:lineRule="auto"/>
            </w:pPr>
            <w:r>
              <w:rPr>
                <w:sz w:val="17"/>
              </w:rPr>
              <w:t>1,20,000</w:t>
            </w:r>
          </w:p>
        </w:tc>
      </w:tr>
      <w:tr>
        <w:tc>
          <w:tcPr>
            <w:tcW w:type="dxa" w:w="5740"/>
            <w:shd w:val="clear" w:color="auto" w:fill="EAF1F4"/>
          </w:tcPr>
          <w:p>
            <w:pPr>
              <w:spacing w:after="50" w:before="50" w:line="252" w:lineRule="auto"/>
            </w:pPr>
            <w:r>
              <w:rPr>
                <w:sz w:val="17"/>
              </w:rPr>
              <w:t>Judge honorarium</w:t>
            </w:r>
          </w:p>
        </w:tc>
        <w:tc>
          <w:tcPr>
            <w:tcW w:type="dxa" w:w="2644"/>
            <w:shd w:val="clear" w:color="auto" w:fill="EAF1F4"/>
          </w:tcPr>
          <w:p>
            <w:pPr>
              <w:spacing w:after="50" w:before="50" w:line="252" w:lineRule="auto"/>
            </w:pPr>
            <w:r>
              <w:rPr>
                <w:sz w:val="17"/>
              </w:rPr>
              <w:t>Per judge per day</w:t>
            </w:r>
          </w:p>
        </w:tc>
        <w:tc>
          <w:tcPr>
            <w:tcW w:type="dxa" w:w="1084"/>
            <w:shd w:val="clear" w:color="auto" w:fill="EAF1F4"/>
          </w:tcPr>
          <w:p>
            <w:pPr>
              <w:spacing w:after="50" w:before="50" w:line="252" w:lineRule="auto"/>
            </w:pPr>
            <w:r>
              <w:rPr>
                <w:sz w:val="17"/>
              </w:rPr>
              <w:t>5,000</w:t>
            </w:r>
          </w:p>
        </w:tc>
      </w:tr>
      <w:tr>
        <w:tc>
          <w:tcPr>
            <w:tcW w:type="dxa" w:w="5740"/>
          </w:tcPr>
          <w:p>
            <w:pPr>
              <w:spacing w:after="50" w:before="50" w:line="252" w:lineRule="auto"/>
            </w:pPr>
            <w:r>
              <w:rPr>
                <w:sz w:val="17"/>
              </w:rPr>
              <w:t>Photography and documentation</w:t>
            </w:r>
          </w:p>
        </w:tc>
        <w:tc>
          <w:tcPr>
            <w:tcW w:type="dxa" w:w="2644"/>
          </w:tcPr>
          <w:p>
            <w:pPr>
              <w:spacing w:after="50" w:before="50" w:line="252" w:lineRule="auto"/>
            </w:pPr>
            <w:r>
              <w:rPr>
                <w:sz w:val="17"/>
              </w:rPr>
              <w:t>Per event day</w:t>
            </w:r>
          </w:p>
        </w:tc>
        <w:tc>
          <w:tcPr>
            <w:tcW w:type="dxa" w:w="1084"/>
          </w:tcPr>
          <w:p>
            <w:pPr>
              <w:spacing w:after="50" w:before="50" w:line="252" w:lineRule="auto"/>
            </w:pPr>
            <w:r>
              <w:rPr>
                <w:sz w:val="17"/>
              </w:rPr>
              <w:t>12,000</w:t>
            </w:r>
          </w:p>
        </w:tc>
      </w:tr>
    </w:tbl>
    <w:p>
      <w:pPr>
        <w:spacing w:after="80" w:before="0"/>
      </w:pPr>
    </w:p>
    <w:p>
      <w:r>
        <w:rPr>
          <w:b/>
        </w:rPr>
        <w:t>[verify — all cost rates against actual contracted rates and the current expense policy before use in a quotation.]</w:t>
      </w:r>
    </w:p>
    <w:p>
      <w:pPr>
        <w:pStyle w:val="Heading2"/>
      </w:pPr>
      <w:r>
        <w:t>6.2 What is fixed and what is variable</w:t>
      </w:r>
    </w:p>
    <w:p>
      <w:r>
        <w:t xml:space="preserve">Almost the entire cost base is </w:t>
      </w:r>
      <w:r>
        <w:rPr>
          <w:b/>
        </w:rPr>
        <w:t>variable and controllable</w:t>
      </w:r>
      <w:r>
        <w:t>. Fixed cost is limited to the programme management team described in the Programme Charter. Two consequences:</w:t>
      </w:r>
    </w:p>
    <w:p>
      <w:pPr>
        <w:pStyle w:val="ListBullet"/>
      </w:pPr>
      <w:r>
        <w:rPr>
          <w:b/>
          <w:sz w:val="21"/>
        </w:rPr>
        <w:t>Contribution margin rises with cohort size</w:t>
      </w:r>
      <w:r>
        <w:rPr>
          <w:sz w:val="21"/>
        </w:rPr>
        <w:t xml:space="preserve"> up to the pedagogical ceiling of 30 for skills training. Running a cohort of 40 in a course capped at 30 destroys quality and should be refused; run two cohorts instead.</w:t>
      </w:r>
    </w:p>
    <w:p>
      <w:pPr>
        <w:pStyle w:val="ListBullet"/>
      </w:pPr>
      <w:r>
        <w:rPr>
          <w:b/>
          <w:sz w:val="21"/>
        </w:rPr>
        <w:t>Contribution margin rises with repeat delivery of an unchanged curriculum</w:t>
      </w:r>
      <w:r>
        <w:rPr>
          <w:sz w:val="21"/>
        </w:rPr>
        <w:t>, because development cost is already sunk. Every customisation resets it, which is why customisation is charged separately.</w:t>
      </w:r>
    </w:p>
    <w:p>
      <w:pPr>
        <w:spacing w:before="80" w:after="160"/>
        <w:pBdr>
          <w:bottom w:val="single" w:sz="6" w:space="1" w:color="C9D6DE"/>
        </w:pBdr>
      </w:pPr>
    </w:p>
    <w:p>
      <w:pPr>
        <w:pStyle w:val="Heading1"/>
        <w:pBdr>
          <w:bottom w:val="single" w:sz="8" w:space="4" w:color="C9D6DE"/>
        </w:pBdr>
      </w:pPr>
      <w:r>
        <w:t>7. Discounting rules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741"/>
            <w:shd w:val="clear" w:color="auto" w:fill="10375C"/>
          </w:tcPr>
          <w:p>
            <w:pPr>
              <w:spacing w:after="50" w:before="50"/>
            </w:pPr>
            <w:r>
              <w:rPr>
                <w:b/>
                <w:color w:val="FFFFFF"/>
                <w:sz w:val="17"/>
              </w:rPr>
              <w:t>Discount</w:t>
            </w:r>
          </w:p>
        </w:tc>
        <w:tc>
          <w:tcPr>
            <w:tcW w:type="dxa" w:w="2899"/>
            <w:shd w:val="clear" w:color="auto" w:fill="10375C"/>
          </w:tcPr>
          <w:p>
            <w:pPr>
              <w:spacing w:after="50" w:before="50"/>
            </w:pPr>
            <w:r>
              <w:rPr>
                <w:b/>
                <w:color w:val="FFFFFF"/>
                <w:sz w:val="17"/>
              </w:rPr>
              <w:t>Authority</w:t>
            </w:r>
          </w:p>
        </w:tc>
        <w:tc>
          <w:tcPr>
            <w:tcW w:type="dxa" w:w="3828"/>
            <w:shd w:val="clear" w:color="auto" w:fill="10375C"/>
          </w:tcPr>
          <w:p>
            <w:pPr>
              <w:spacing w:after="50" w:before="50"/>
            </w:pPr>
            <w:r>
              <w:rPr>
                <w:b/>
                <w:color w:val="FFFFFF"/>
                <w:sz w:val="17"/>
              </w:rPr>
              <w:t>Condition</w:t>
            </w:r>
          </w:p>
        </w:tc>
      </w:tr>
      <w:tr>
        <w:tc>
          <w:tcPr>
            <w:tcW w:type="dxa" w:w="2741"/>
          </w:tcPr>
          <w:p>
            <w:pPr>
              <w:spacing w:after="50" w:before="50" w:line="252" w:lineRule="auto"/>
            </w:pPr>
            <w:r>
              <w:rPr>
                <w:sz w:val="17"/>
              </w:rPr>
              <w:t>Nil, list or partner rate</w:t>
            </w:r>
          </w:p>
        </w:tc>
        <w:tc>
          <w:tcPr>
            <w:tcW w:type="dxa" w:w="2899"/>
          </w:tcPr>
          <w:p>
            <w:pPr>
              <w:spacing w:after="50" w:before="50" w:line="252" w:lineRule="auto"/>
            </w:pPr>
            <w:r>
              <w:rPr>
                <w:sz w:val="17"/>
              </w:rPr>
              <w:t>Business Development</w:t>
            </w:r>
          </w:p>
        </w:tc>
        <w:tc>
          <w:tcPr>
            <w:tcW w:type="dxa" w:w="3828"/>
          </w:tcPr>
          <w:p>
            <w:pPr>
              <w:spacing w:after="50" w:before="50" w:line="252" w:lineRule="auto"/>
            </w:pPr>
            <w:r>
              <w:rPr>
                <w:sz w:val="17"/>
              </w:rPr>
              <w:t>Standard</w:t>
            </w:r>
          </w:p>
        </w:tc>
      </w:tr>
      <w:tr>
        <w:tc>
          <w:tcPr>
            <w:tcW w:type="dxa" w:w="2741"/>
            <w:shd w:val="clear" w:color="auto" w:fill="EAF1F4"/>
          </w:tcPr>
          <w:p>
            <w:pPr>
              <w:spacing w:after="50" w:before="50" w:line="252" w:lineRule="auto"/>
            </w:pPr>
            <w:r>
              <w:rPr>
                <w:sz w:val="17"/>
              </w:rPr>
              <w:t>Up to 10%</w:t>
            </w:r>
          </w:p>
        </w:tc>
        <w:tc>
          <w:tcPr>
            <w:tcW w:type="dxa" w:w="2899"/>
            <w:shd w:val="clear" w:color="auto" w:fill="EAF1F4"/>
          </w:tcPr>
          <w:p>
            <w:pPr>
              <w:spacing w:after="50" w:before="50" w:line="252" w:lineRule="auto"/>
            </w:pPr>
            <w:r>
              <w:rPr>
                <w:sz w:val="17"/>
              </w:rPr>
              <w:t>Programme Director</w:t>
            </w:r>
          </w:p>
        </w:tc>
        <w:tc>
          <w:tcPr>
            <w:tcW w:type="dxa" w:w="3828"/>
            <w:shd w:val="clear" w:color="auto" w:fill="EAF1F4"/>
          </w:tcPr>
          <w:p>
            <w:pPr>
              <w:spacing w:after="50" w:before="50" w:line="252" w:lineRule="auto"/>
            </w:pPr>
            <w:r>
              <w:rPr>
                <w:sz w:val="17"/>
              </w:rPr>
              <w:t>Recorded in writing with reason</w:t>
            </w:r>
          </w:p>
        </w:tc>
      </w:tr>
      <w:tr>
        <w:tc>
          <w:tcPr>
            <w:tcW w:type="dxa" w:w="2741"/>
          </w:tcPr>
          <w:p>
            <w:pPr>
              <w:spacing w:after="50" w:before="50" w:line="252" w:lineRule="auto"/>
            </w:pPr>
            <w:r>
              <w:rPr>
                <w:sz w:val="17"/>
              </w:rPr>
              <w:t>10.01% to 25%</w:t>
            </w:r>
          </w:p>
        </w:tc>
        <w:tc>
          <w:tcPr>
            <w:tcW w:type="dxa" w:w="2899"/>
          </w:tcPr>
          <w:p>
            <w:pPr>
              <w:spacing w:after="50" w:before="50" w:line="252" w:lineRule="auto"/>
            </w:pPr>
            <w:r>
              <w:rPr>
                <w:sz w:val="17"/>
              </w:rPr>
              <w:t>Programme Director and Finance Controller jointly</w:t>
            </w:r>
          </w:p>
        </w:tc>
        <w:tc>
          <w:tcPr>
            <w:tcW w:type="dxa" w:w="3828"/>
          </w:tcPr>
          <w:p>
            <w:pPr>
              <w:spacing w:after="50" w:before="50" w:line="252" w:lineRule="auto"/>
            </w:pPr>
            <w:r>
              <w:rPr>
                <w:sz w:val="17"/>
              </w:rPr>
              <w:t>Written business case; volume or multi-year commitment required</w:t>
            </w:r>
          </w:p>
        </w:tc>
      </w:tr>
      <w:tr>
        <w:tc>
          <w:tcPr>
            <w:tcW w:type="dxa" w:w="2741"/>
            <w:shd w:val="clear" w:color="auto" w:fill="EAF1F4"/>
          </w:tcPr>
          <w:p>
            <w:pPr>
              <w:spacing w:after="50" w:before="50" w:line="252" w:lineRule="auto"/>
            </w:pPr>
            <w:r>
              <w:rPr>
                <w:sz w:val="17"/>
              </w:rPr>
              <w:t>Above 25%, or below floor</w:t>
            </w:r>
          </w:p>
        </w:tc>
        <w:tc>
          <w:tcPr>
            <w:tcW w:type="dxa" w:w="2899"/>
            <w:shd w:val="clear" w:color="auto" w:fill="EAF1F4"/>
          </w:tcPr>
          <w:p>
            <w:pPr>
              <w:spacing w:after="50" w:before="50" w:line="252" w:lineRule="auto"/>
            </w:pPr>
            <w:r>
              <w:rPr>
                <w:sz w:val="17"/>
              </w:rPr>
              <w:t>Programme Board</w:t>
            </w:r>
          </w:p>
        </w:tc>
        <w:tc>
          <w:tcPr>
            <w:tcW w:type="dxa" w:w="3828"/>
            <w:shd w:val="clear" w:color="auto" w:fill="EAF1F4"/>
          </w:tcPr>
          <w:p>
            <w:pPr>
              <w:spacing w:after="50" w:before="50" w:line="252" w:lineRule="auto"/>
            </w:pPr>
            <w:r>
              <w:rPr>
                <w:sz w:val="17"/>
              </w:rPr>
              <w:t>Exceptional; recorded in the exceptions register</w:t>
            </w:r>
          </w:p>
        </w:tc>
      </w:tr>
      <w:tr>
        <w:tc>
          <w:tcPr>
            <w:tcW w:type="dxa" w:w="2741"/>
          </w:tcPr>
          <w:p>
            <w:pPr>
              <w:spacing w:after="50" w:before="50" w:line="252" w:lineRule="auto"/>
            </w:pPr>
            <w:r>
              <w:rPr>
                <w:sz w:val="17"/>
              </w:rPr>
              <w:t>Any free delivery of a listed paid programme</w:t>
            </w:r>
          </w:p>
        </w:tc>
        <w:tc>
          <w:tcPr>
            <w:tcW w:type="dxa" w:w="2899"/>
          </w:tcPr>
          <w:p>
            <w:pPr>
              <w:spacing w:after="50" w:before="50" w:line="252" w:lineRule="auto"/>
            </w:pPr>
            <w:r>
              <w:rPr>
                <w:sz w:val="17"/>
              </w:rPr>
              <w:t>Programme Board</w:t>
            </w:r>
          </w:p>
        </w:tc>
        <w:tc>
          <w:tcPr>
            <w:tcW w:type="dxa" w:w="3828"/>
          </w:tcPr>
          <w:p>
            <w:pPr>
              <w:spacing w:after="50" w:before="50" w:line="252" w:lineRule="auto"/>
            </w:pPr>
            <w:r>
              <w:rPr>
                <w:sz w:val="17"/>
              </w:rPr>
              <w:t>Exceptional</w:t>
            </w:r>
          </w:p>
        </w:tc>
      </w:tr>
    </w:tbl>
    <w:p>
      <w:pPr>
        <w:spacing w:after="80" w:before="0"/>
      </w:pPr>
    </w:p>
    <w:p>
      <w:r>
        <w:rPr>
          <w:b/>
        </w:rPr>
        <w:t>Restructuring alternatives to be offered before any discount: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37"/>
            <w:shd w:val="clear" w:color="auto" w:fill="10375C"/>
          </w:tcPr>
          <w:p>
            <w:pPr>
              <w:spacing w:after="50" w:before="50"/>
            </w:pPr>
            <w:r>
              <w:rPr>
                <w:b/>
                <w:color w:val="FFFFFF"/>
                <w:sz w:val="17"/>
              </w:rPr>
              <w:t>Institution's objection</w:t>
            </w:r>
          </w:p>
        </w:tc>
        <w:tc>
          <w:tcPr>
            <w:tcW w:type="dxa" w:w="6331"/>
            <w:shd w:val="clear" w:color="auto" w:fill="10375C"/>
          </w:tcPr>
          <w:p>
            <w:pPr>
              <w:spacing w:after="50" w:before="50"/>
            </w:pPr>
            <w:r>
              <w:rPr>
                <w:b/>
                <w:color w:val="FFFFFF"/>
                <w:sz w:val="17"/>
              </w:rPr>
              <w:t>Restructure, do not discount</w:t>
            </w:r>
          </w:p>
        </w:tc>
      </w:tr>
      <w:tr>
        <w:tc>
          <w:tcPr>
            <w:tcW w:type="dxa" w:w="3137"/>
          </w:tcPr>
          <w:p>
            <w:pPr>
              <w:spacing w:after="50" w:before="50" w:line="252" w:lineRule="auto"/>
            </w:pPr>
            <w:r>
              <w:rPr>
                <w:sz w:val="17"/>
              </w:rPr>
              <w:t>Total cost too high</w:t>
            </w:r>
          </w:p>
        </w:tc>
        <w:tc>
          <w:tcPr>
            <w:tcW w:type="dxa" w:w="6331"/>
          </w:tcPr>
          <w:p>
            <w:pPr>
              <w:spacing w:after="50" w:before="50" w:line="252" w:lineRule="auto"/>
            </w:pPr>
            <w:r>
              <w:rPr>
                <w:sz w:val="17"/>
              </w:rPr>
              <w:t>Reduce cohort size, or split delivery across two terms</w:t>
            </w:r>
          </w:p>
        </w:tc>
      </w:tr>
      <w:tr>
        <w:tc>
          <w:tcPr>
            <w:tcW w:type="dxa" w:w="3137"/>
            <w:shd w:val="clear" w:color="auto" w:fill="EAF1F4"/>
          </w:tcPr>
          <w:p>
            <w:pPr>
              <w:spacing w:after="50" w:before="50" w:line="252" w:lineRule="auto"/>
            </w:pPr>
            <w:r>
              <w:rPr>
                <w:sz w:val="17"/>
              </w:rPr>
              <w:t>No budget this year</w:t>
            </w:r>
          </w:p>
        </w:tc>
        <w:tc>
          <w:tcPr>
            <w:tcW w:type="dxa" w:w="6331"/>
            <w:shd w:val="clear" w:color="auto" w:fill="EAF1F4"/>
          </w:tcPr>
          <w:p>
            <w:pPr>
              <w:spacing w:after="50" w:before="50" w:line="252" w:lineRule="auto"/>
            </w:pPr>
            <w:r>
              <w:rPr>
                <w:sz w:val="17"/>
              </w:rPr>
              <w:t>Revenue-share model — institution carries no cash risk</w:t>
            </w:r>
          </w:p>
        </w:tc>
      </w:tr>
      <w:tr>
        <w:tc>
          <w:tcPr>
            <w:tcW w:type="dxa" w:w="3137"/>
          </w:tcPr>
          <w:p>
            <w:pPr>
              <w:spacing w:after="50" w:before="50" w:line="252" w:lineRule="auto"/>
            </w:pPr>
            <w:r>
              <w:rPr>
                <w:sz w:val="17"/>
              </w:rPr>
              <w:t>Wants more for the money</w:t>
            </w:r>
          </w:p>
        </w:tc>
        <w:tc>
          <w:tcPr>
            <w:tcW w:type="dxa" w:w="6331"/>
          </w:tcPr>
          <w:p>
            <w:pPr>
              <w:spacing w:after="50" w:before="50" w:line="252" w:lineRule="auto"/>
            </w:pPr>
            <w:r>
              <w:rPr>
                <w:sz w:val="17"/>
              </w:rPr>
              <w:t>Add a free guest lecture and webinar access, which cost nothing</w:t>
            </w:r>
          </w:p>
        </w:tc>
      </w:tr>
      <w:tr>
        <w:tc>
          <w:tcPr>
            <w:tcW w:type="dxa" w:w="3137"/>
            <w:shd w:val="clear" w:color="auto" w:fill="EAF1F4"/>
          </w:tcPr>
          <w:p>
            <w:pPr>
              <w:spacing w:after="50" w:before="50" w:line="252" w:lineRule="auto"/>
            </w:pPr>
            <w:r>
              <w:rPr>
                <w:sz w:val="17"/>
              </w:rPr>
              <w:t>Uncertain of demand</w:t>
            </w:r>
          </w:p>
        </w:tc>
        <w:tc>
          <w:tcPr>
            <w:tcW w:type="dxa" w:w="6331"/>
            <w:shd w:val="clear" w:color="auto" w:fill="EAF1F4"/>
          </w:tcPr>
          <w:p>
            <w:pPr>
              <w:spacing w:after="50" w:before="50" w:line="252" w:lineRule="auto"/>
            </w:pPr>
            <w:r>
              <w:rPr>
                <w:sz w:val="17"/>
              </w:rPr>
              <w:t>Run a paid pilot at the floor for one cohort, with a volume commitment for the next two</w:t>
            </w:r>
          </w:p>
        </w:tc>
      </w:tr>
      <w:tr>
        <w:tc>
          <w:tcPr>
            <w:tcW w:type="dxa" w:w="3137"/>
          </w:tcPr>
          <w:p>
            <w:pPr>
              <w:spacing w:after="50" w:before="50" w:line="252" w:lineRule="auto"/>
            </w:pPr>
            <w:r>
              <w:rPr>
                <w:sz w:val="17"/>
              </w:rPr>
              <w:t>Wants a multi-year price</w:t>
            </w:r>
          </w:p>
        </w:tc>
        <w:tc>
          <w:tcPr>
            <w:tcW w:type="dxa" w:w="6331"/>
          </w:tcPr>
          <w:p>
            <w:pPr>
              <w:spacing w:after="50" w:before="50" w:line="252" w:lineRule="auto"/>
            </w:pPr>
            <w:r>
              <w:rPr>
                <w:sz w:val="17"/>
              </w:rPr>
              <w:t>Fix the price for three years with a capped annual escalation</w:t>
            </w:r>
          </w:p>
        </w:tc>
      </w:tr>
    </w:tbl>
    <w:p>
      <w:pPr>
        <w:spacing w:after="80" w:before="0"/>
      </w:pPr>
    </w:p>
    <w:p>
      <w:pPr>
        <w:spacing w:before="80" w:after="160"/>
        <w:pBdr>
          <w:bottom w:val="single" w:sz="6" w:space="1" w:color="C9D6DE"/>
        </w:pBdr>
      </w:pPr>
    </w:p>
    <w:p>
      <w:pPr>
        <w:pStyle w:val="Heading1"/>
        <w:pBdr>
          <w:bottom w:val="single" w:sz="8" w:space="4" w:color="C9D6DE"/>
        </w:pBdr>
      </w:pPr>
      <w:r>
        <w:t>8. Payment and commercial terms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20"/>
            <w:shd w:val="clear" w:color="auto" w:fill="10375C"/>
          </w:tcPr>
          <w:p>
            <w:pPr>
              <w:spacing w:after="50" w:before="50"/>
            </w:pPr>
            <w:r>
              <w:rPr>
                <w:b/>
                <w:color w:val="FFFFFF"/>
                <w:sz w:val="17"/>
              </w:rPr>
              <w:t>Term</w:t>
            </w:r>
          </w:p>
        </w:tc>
        <w:tc>
          <w:tcPr>
            <w:tcW w:type="dxa" w:w="6648"/>
            <w:shd w:val="clear" w:color="auto" w:fill="10375C"/>
          </w:tcPr>
          <w:p>
            <w:pPr>
              <w:spacing w:after="50" w:before="50"/>
            </w:pPr>
            <w:r>
              <w:rPr>
                <w:b/>
                <w:color w:val="FFFFFF"/>
                <w:sz w:val="17"/>
              </w:rPr>
              <w:t>Standard</w:t>
            </w:r>
          </w:p>
        </w:tc>
      </w:tr>
      <w:tr>
        <w:tc>
          <w:tcPr>
            <w:tcW w:type="dxa" w:w="2820"/>
          </w:tcPr>
          <w:p>
            <w:pPr>
              <w:spacing w:after="50" w:before="50" w:line="252" w:lineRule="auto"/>
            </w:pPr>
            <w:r>
              <w:rPr>
                <w:sz w:val="17"/>
              </w:rPr>
              <w:t>Payment</w:t>
            </w:r>
          </w:p>
        </w:tc>
        <w:tc>
          <w:tcPr>
            <w:tcW w:type="dxa" w:w="6648"/>
          </w:tcPr>
          <w:p>
            <w:pPr>
              <w:spacing w:after="50" w:before="50" w:line="252" w:lineRule="auto"/>
            </w:pPr>
            <w:r>
              <w:rPr>
                <w:sz w:val="17"/>
              </w:rPr>
              <w:t>30 days from invoice</w:t>
            </w:r>
          </w:p>
        </w:tc>
      </w:tr>
      <w:tr>
        <w:tc>
          <w:tcPr>
            <w:tcW w:type="dxa" w:w="2820"/>
            <w:shd w:val="clear" w:color="auto" w:fill="EAF1F4"/>
          </w:tcPr>
          <w:p>
            <w:pPr>
              <w:spacing w:after="50" w:before="50" w:line="252" w:lineRule="auto"/>
            </w:pPr>
            <w:r>
              <w:rPr>
                <w:sz w:val="17"/>
              </w:rPr>
              <w:t>Advance</w:t>
            </w:r>
          </w:p>
        </w:tc>
        <w:tc>
          <w:tcPr>
            <w:tcW w:type="dxa" w:w="6648"/>
            <w:shd w:val="clear" w:color="auto" w:fill="EAF1F4"/>
          </w:tcPr>
          <w:p>
            <w:pPr>
              <w:spacing w:after="50" w:before="50" w:line="252" w:lineRule="auto"/>
            </w:pPr>
            <w:r>
              <w:rPr>
                <w:sz w:val="17"/>
              </w:rPr>
              <w:t>40% on confirmation of dates; balance on completion</w:t>
            </w:r>
          </w:p>
        </w:tc>
      </w:tr>
      <w:tr>
        <w:tc>
          <w:tcPr>
            <w:tcW w:type="dxa" w:w="2820"/>
          </w:tcPr>
          <w:p>
            <w:pPr>
              <w:spacing w:after="50" w:before="50" w:line="252" w:lineRule="auto"/>
            </w:pPr>
            <w:r>
              <w:rPr>
                <w:sz w:val="17"/>
              </w:rPr>
              <w:t>Student fee collection</w:t>
            </w:r>
          </w:p>
        </w:tc>
        <w:tc>
          <w:tcPr>
            <w:tcW w:type="dxa" w:w="6648"/>
          </w:tcPr>
          <w:p>
            <w:pPr>
              <w:spacing w:after="50" w:before="50" w:line="252" w:lineRule="auto"/>
            </w:pPr>
            <w:r>
              <w:rPr>
                <w:sz w:val="17"/>
              </w:rPr>
              <w:t>By Equator, unless otherwise agreed</w:t>
            </w:r>
          </w:p>
        </w:tc>
      </w:tr>
      <w:tr>
        <w:tc>
          <w:tcPr>
            <w:tcW w:type="dxa" w:w="2820"/>
            <w:shd w:val="clear" w:color="auto" w:fill="EAF1F4"/>
          </w:tcPr>
          <w:p>
            <w:pPr>
              <w:spacing w:after="50" w:before="50" w:line="252" w:lineRule="auto"/>
            </w:pPr>
            <w:r>
              <w:rPr>
                <w:sz w:val="17"/>
              </w:rPr>
              <w:t>Revenue share settlement</w:t>
            </w:r>
          </w:p>
        </w:tc>
        <w:tc>
          <w:tcPr>
            <w:tcW w:type="dxa" w:w="6648"/>
            <w:shd w:val="clear" w:color="auto" w:fill="EAF1F4"/>
          </w:tcPr>
          <w:p>
            <w:pPr>
              <w:spacing w:after="50" w:before="50" w:line="252" w:lineRule="auto"/>
            </w:pPr>
            <w:r>
              <w:rPr>
                <w:sz w:val="17"/>
              </w:rPr>
              <w:t>Within 30 days of programme completion</w:t>
            </w:r>
          </w:p>
        </w:tc>
      </w:tr>
      <w:tr>
        <w:tc>
          <w:tcPr>
            <w:tcW w:type="dxa" w:w="2820"/>
          </w:tcPr>
          <w:p>
            <w:pPr>
              <w:spacing w:after="50" w:before="50" w:line="252" w:lineRule="auto"/>
            </w:pPr>
            <w:r>
              <w:rPr>
                <w:sz w:val="17"/>
              </w:rPr>
              <w:t>Cancellation by institution</w:t>
            </w:r>
          </w:p>
        </w:tc>
        <w:tc>
          <w:tcPr>
            <w:tcW w:type="dxa" w:w="6648"/>
          </w:tcPr>
          <w:p>
            <w:pPr>
              <w:spacing w:after="50" w:before="50" w:line="252" w:lineRule="auto"/>
            </w:pPr>
            <w:r>
              <w:rPr>
                <w:sz w:val="17"/>
              </w:rPr>
              <w:t>Over 30 days, nil; 15–30 days, 25%; 7–14 days, 50%; under 7 days, 100%; plus non-recoverable costs in every case</w:t>
            </w:r>
          </w:p>
        </w:tc>
      </w:tr>
      <w:tr>
        <w:tc>
          <w:tcPr>
            <w:tcW w:type="dxa" w:w="2820"/>
            <w:shd w:val="clear" w:color="auto" w:fill="EAF1F4"/>
          </w:tcPr>
          <w:p>
            <w:pPr>
              <w:spacing w:after="50" w:before="50" w:line="252" w:lineRule="auto"/>
            </w:pPr>
            <w:r>
              <w:rPr>
                <w:sz w:val="17"/>
              </w:rPr>
              <w:t>Postponement</w:t>
            </w:r>
          </w:p>
        </w:tc>
        <w:tc>
          <w:tcPr>
            <w:tcW w:type="dxa" w:w="6648"/>
            <w:shd w:val="clear" w:color="auto" w:fill="EAF1F4"/>
          </w:tcPr>
          <w:p>
            <w:pPr>
              <w:spacing w:after="50" w:before="50" w:line="252" w:lineRule="auto"/>
            </w:pPr>
            <w:r>
              <w:rPr>
                <w:sz w:val="17"/>
              </w:rPr>
              <w:t>One per programme free if more than 21 days' notice</w:t>
            </w:r>
          </w:p>
        </w:tc>
      </w:tr>
      <w:tr>
        <w:tc>
          <w:tcPr>
            <w:tcW w:type="dxa" w:w="2820"/>
          </w:tcPr>
          <w:p>
            <w:pPr>
              <w:spacing w:after="50" w:before="50" w:line="252" w:lineRule="auto"/>
            </w:pPr>
            <w:r>
              <w:rPr>
                <w:sz w:val="17"/>
              </w:rPr>
              <w:t>Annual escalation</w:t>
            </w:r>
          </w:p>
        </w:tc>
        <w:tc>
          <w:tcPr>
            <w:tcW w:type="dxa" w:w="6648"/>
          </w:tcPr>
          <w:p>
            <w:pPr>
              <w:spacing w:after="50" w:before="50" w:line="252" w:lineRule="auto"/>
            </w:pPr>
            <w:r>
              <w:rPr>
                <w:sz w:val="17"/>
              </w:rPr>
              <w:t>Up to [●]%, on 60 days' notice, not applying to activities already calendared</w:t>
            </w:r>
          </w:p>
        </w:tc>
      </w:tr>
      <w:tr>
        <w:tc>
          <w:tcPr>
            <w:tcW w:type="dxa" w:w="2820"/>
            <w:shd w:val="clear" w:color="auto" w:fill="EAF1F4"/>
          </w:tcPr>
          <w:p>
            <w:pPr>
              <w:spacing w:after="50" w:before="50" w:line="252" w:lineRule="auto"/>
            </w:pPr>
            <w:r>
              <w:rPr>
                <w:sz w:val="17"/>
              </w:rPr>
              <w:t>Interest on late payment</w:t>
            </w:r>
          </w:p>
        </w:tc>
        <w:tc>
          <w:tcPr>
            <w:tcW w:type="dxa" w:w="6648"/>
            <w:shd w:val="clear" w:color="auto" w:fill="EAF1F4"/>
          </w:tcPr>
          <w:p>
            <w:pPr>
              <w:spacing w:after="50" w:before="50" w:line="252" w:lineRule="auto"/>
            </w:pPr>
            <w:r>
              <w:rPr>
                <w:sz w:val="17"/>
              </w:rPr>
              <w:t xml:space="preserve">[●]% per annum after 60 days </w:t>
            </w:r>
            <w:r>
              <w:rPr>
                <w:b/>
                <w:sz w:val="17"/>
              </w:rPr>
              <w:t>[verify]</w:t>
            </w:r>
          </w:p>
        </w:tc>
      </w:tr>
    </w:tbl>
    <w:p>
      <w:pPr>
        <w:spacing w:after="80" w:before="0"/>
      </w:pPr>
    </w:p>
    <w:p>
      <w:pPr>
        <w:spacing w:before="80" w:after="160"/>
        <w:pBdr>
          <w:bottom w:val="single" w:sz="6" w:space="1" w:color="C9D6DE"/>
        </w:pBdr>
      </w:pPr>
    </w:p>
    <w:p>
      <w:pPr>
        <w:pStyle w:val="Heading1"/>
        <w:pBdr>
          <w:bottom w:val="single" w:sz="8" w:space="4" w:color="C9D6DE"/>
        </w:pBdr>
      </w:pPr>
      <w:r>
        <w:t>9. Standard revenue-share splits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544"/>
            <w:shd w:val="clear" w:color="auto" w:fill="10375C"/>
          </w:tcPr>
          <w:p>
            <w:pPr>
              <w:spacing w:after="50" w:before="50"/>
            </w:pPr>
            <w:r>
              <w:rPr>
                <w:b/>
                <w:color w:val="FFFFFF"/>
                <w:sz w:val="17"/>
              </w:rPr>
              <w:t>Programme</w:t>
            </w:r>
          </w:p>
        </w:tc>
        <w:tc>
          <w:tcPr>
            <w:tcW w:type="dxa" w:w="850"/>
            <w:shd w:val="clear" w:color="auto" w:fill="10375C"/>
          </w:tcPr>
          <w:p>
            <w:pPr>
              <w:spacing w:after="50" w:before="50"/>
            </w:pPr>
            <w:r>
              <w:rPr>
                <w:b/>
                <w:color w:val="FFFFFF"/>
                <w:sz w:val="17"/>
              </w:rPr>
              <w:t>Equator</w:t>
            </w:r>
          </w:p>
        </w:tc>
        <w:tc>
          <w:tcPr>
            <w:tcW w:type="dxa" w:w="850"/>
            <w:shd w:val="clear" w:color="auto" w:fill="10375C"/>
          </w:tcPr>
          <w:p>
            <w:pPr>
              <w:spacing w:after="50" w:before="50"/>
            </w:pPr>
            <w:r>
              <w:rPr>
                <w:b/>
                <w:color w:val="FFFFFF"/>
                <w:sz w:val="17"/>
              </w:rPr>
              <w:t>Institution</w:t>
            </w:r>
          </w:p>
        </w:tc>
        <w:tc>
          <w:tcPr>
            <w:tcW w:type="dxa" w:w="5623"/>
            <w:shd w:val="clear" w:color="auto" w:fill="10375C"/>
          </w:tcPr>
          <w:p>
            <w:pPr>
              <w:spacing w:after="50" w:before="50"/>
            </w:pPr>
            <w:r>
              <w:rPr>
                <w:b/>
                <w:color w:val="FFFFFF"/>
                <w:sz w:val="17"/>
              </w:rPr>
              <w:t>Rationale</w:t>
            </w:r>
          </w:p>
        </w:tc>
      </w:tr>
      <w:tr>
        <w:tc>
          <w:tcPr>
            <w:tcW w:type="dxa" w:w="2544"/>
          </w:tcPr>
          <w:p>
            <w:pPr>
              <w:spacing w:after="50" w:before="50" w:line="252" w:lineRule="auto"/>
            </w:pPr>
            <w:r>
              <w:rPr>
                <w:sz w:val="17"/>
              </w:rPr>
              <w:t>T-40-S, T-20-S</w:t>
            </w:r>
          </w:p>
        </w:tc>
        <w:tc>
          <w:tcPr>
            <w:tcW w:type="dxa" w:w="850"/>
          </w:tcPr>
          <w:p>
            <w:pPr>
              <w:spacing w:after="50" w:before="50" w:line="252" w:lineRule="auto"/>
            </w:pPr>
            <w:r>
              <w:rPr>
                <w:sz w:val="17"/>
              </w:rPr>
              <w:t>70%</w:t>
            </w:r>
          </w:p>
        </w:tc>
        <w:tc>
          <w:tcPr>
            <w:tcW w:type="dxa" w:w="850"/>
          </w:tcPr>
          <w:p>
            <w:pPr>
              <w:spacing w:after="50" w:before="50" w:line="252" w:lineRule="auto"/>
            </w:pPr>
            <w:r>
              <w:rPr>
                <w:sz w:val="17"/>
              </w:rPr>
              <w:t>30%</w:t>
            </w:r>
          </w:p>
        </w:tc>
        <w:tc>
          <w:tcPr>
            <w:tcW w:type="dxa" w:w="5623"/>
          </w:tcPr>
          <w:p>
            <w:pPr>
              <w:spacing w:after="50" w:before="50" w:line="252" w:lineRule="auto"/>
            </w:pPr>
            <w:r>
              <w:rPr>
                <w:sz w:val="17"/>
              </w:rPr>
              <w:t>Equator supplies curriculum, trainers, assessment and certification; institution supplies venue and mobilisation</w:t>
            </w:r>
          </w:p>
        </w:tc>
      </w:tr>
      <w:tr>
        <w:tc>
          <w:tcPr>
            <w:tcW w:type="dxa" w:w="2544"/>
            <w:shd w:val="clear" w:color="auto" w:fill="EAF1F4"/>
          </w:tcPr>
          <w:p>
            <w:pPr>
              <w:spacing w:after="50" w:before="50" w:line="252" w:lineRule="auto"/>
            </w:pPr>
            <w:r>
              <w:rPr>
                <w:sz w:val="17"/>
              </w:rPr>
              <w:t>C-CERT credit-bearing</w:t>
            </w:r>
          </w:p>
        </w:tc>
        <w:tc>
          <w:tcPr>
            <w:tcW w:type="dxa" w:w="850"/>
            <w:shd w:val="clear" w:color="auto" w:fill="EAF1F4"/>
          </w:tcPr>
          <w:p>
            <w:pPr>
              <w:spacing w:after="50" w:before="50" w:line="252" w:lineRule="auto"/>
            </w:pPr>
            <w:r>
              <w:rPr>
                <w:sz w:val="17"/>
              </w:rPr>
              <w:t>65%</w:t>
            </w:r>
          </w:p>
        </w:tc>
        <w:tc>
          <w:tcPr>
            <w:tcW w:type="dxa" w:w="850"/>
            <w:shd w:val="clear" w:color="auto" w:fill="EAF1F4"/>
          </w:tcPr>
          <w:p>
            <w:pPr>
              <w:spacing w:after="50" w:before="50" w:line="252" w:lineRule="auto"/>
            </w:pPr>
            <w:r>
              <w:rPr>
                <w:sz w:val="17"/>
              </w:rPr>
              <w:t>35%</w:t>
            </w:r>
          </w:p>
        </w:tc>
        <w:tc>
          <w:tcPr>
            <w:tcW w:type="dxa" w:w="5623"/>
            <w:shd w:val="clear" w:color="auto" w:fill="EAF1F4"/>
          </w:tcPr>
          <w:p>
            <w:pPr>
              <w:spacing w:after="50" w:before="50" w:line="252" w:lineRule="auto"/>
            </w:pPr>
            <w:r>
              <w:rPr>
                <w:sz w:val="17"/>
              </w:rPr>
              <w:t>Institution carries academic administration and credit processing</w:t>
            </w:r>
          </w:p>
        </w:tc>
      </w:tr>
      <w:tr>
        <w:tc>
          <w:tcPr>
            <w:tcW w:type="dxa" w:w="2544"/>
          </w:tcPr>
          <w:p>
            <w:pPr>
              <w:spacing w:after="50" w:before="50" w:line="252" w:lineRule="auto"/>
            </w:pPr>
            <w:r>
              <w:rPr>
                <w:sz w:val="17"/>
              </w:rPr>
              <w:t>Workshops</w:t>
            </w:r>
          </w:p>
        </w:tc>
        <w:tc>
          <w:tcPr>
            <w:tcW w:type="dxa" w:w="850"/>
          </w:tcPr>
          <w:p>
            <w:pPr>
              <w:spacing w:after="50" w:before="50" w:line="252" w:lineRule="auto"/>
            </w:pPr>
            <w:r>
              <w:rPr>
                <w:sz w:val="17"/>
              </w:rPr>
              <w:t>75%</w:t>
            </w:r>
          </w:p>
        </w:tc>
        <w:tc>
          <w:tcPr>
            <w:tcW w:type="dxa" w:w="850"/>
          </w:tcPr>
          <w:p>
            <w:pPr>
              <w:spacing w:after="50" w:before="50" w:line="252" w:lineRule="auto"/>
            </w:pPr>
            <w:r>
              <w:rPr>
                <w:sz w:val="17"/>
              </w:rPr>
              <w:t>25%</w:t>
            </w:r>
          </w:p>
        </w:tc>
        <w:tc>
          <w:tcPr>
            <w:tcW w:type="dxa" w:w="5623"/>
          </w:tcPr>
          <w:p>
            <w:pPr>
              <w:spacing w:after="50" w:before="50" w:line="252" w:lineRule="auto"/>
            </w:pPr>
            <w:r>
              <w:rPr>
                <w:sz w:val="17"/>
              </w:rPr>
              <w:t>Lower institutional input</w:t>
            </w:r>
          </w:p>
        </w:tc>
      </w:tr>
      <w:tr>
        <w:tc>
          <w:tcPr>
            <w:tcW w:type="dxa" w:w="2544"/>
            <w:shd w:val="clear" w:color="auto" w:fill="EAF1F4"/>
          </w:tcPr>
          <w:p>
            <w:pPr>
              <w:spacing w:after="50" w:before="50" w:line="252" w:lineRule="auto"/>
            </w:pPr>
            <w:r>
              <w:rPr>
                <w:sz w:val="17"/>
              </w:rPr>
              <w:t>Residential school</w:t>
            </w:r>
          </w:p>
        </w:tc>
        <w:tc>
          <w:tcPr>
            <w:tcW w:type="dxa" w:w="850"/>
            <w:shd w:val="clear" w:color="auto" w:fill="EAF1F4"/>
          </w:tcPr>
          <w:p>
            <w:pPr>
              <w:spacing w:after="50" w:before="50" w:line="252" w:lineRule="auto"/>
            </w:pPr>
            <w:r>
              <w:rPr>
                <w:sz w:val="17"/>
              </w:rPr>
              <w:t>60%</w:t>
            </w:r>
          </w:p>
        </w:tc>
        <w:tc>
          <w:tcPr>
            <w:tcW w:type="dxa" w:w="850"/>
            <w:shd w:val="clear" w:color="auto" w:fill="EAF1F4"/>
          </w:tcPr>
          <w:p>
            <w:pPr>
              <w:spacing w:after="50" w:before="50" w:line="252" w:lineRule="auto"/>
            </w:pPr>
            <w:r>
              <w:rPr>
                <w:sz w:val="17"/>
              </w:rPr>
              <w:t>40%</w:t>
            </w:r>
          </w:p>
        </w:tc>
        <w:tc>
          <w:tcPr>
            <w:tcW w:type="dxa" w:w="5623"/>
            <w:shd w:val="clear" w:color="auto" w:fill="EAF1F4"/>
          </w:tcPr>
          <w:p>
            <w:pPr>
              <w:spacing w:after="50" w:before="50" w:line="252" w:lineRule="auto"/>
            </w:pPr>
            <w:r>
              <w:rPr>
                <w:sz w:val="17"/>
              </w:rPr>
              <w:t>Institution supplies hostel and catering</w:t>
            </w:r>
          </w:p>
        </w:tc>
      </w:tr>
      <w:tr>
        <w:tc>
          <w:tcPr>
            <w:tcW w:type="dxa" w:w="2544"/>
          </w:tcPr>
          <w:p>
            <w:pPr>
              <w:spacing w:after="50" w:before="50" w:line="252" w:lineRule="auto"/>
            </w:pPr>
            <w:r>
              <w:rPr>
                <w:sz w:val="17"/>
              </w:rPr>
              <w:t>Competition surplus</w:t>
            </w:r>
          </w:p>
        </w:tc>
        <w:tc>
          <w:tcPr>
            <w:tcW w:type="dxa" w:w="850"/>
          </w:tcPr>
          <w:p>
            <w:pPr>
              <w:spacing w:after="50" w:before="50" w:line="252" w:lineRule="auto"/>
            </w:pPr>
            <w:r>
              <w:rPr>
                <w:sz w:val="17"/>
              </w:rPr>
              <w:t>60%</w:t>
            </w:r>
          </w:p>
        </w:tc>
        <w:tc>
          <w:tcPr>
            <w:tcW w:type="dxa" w:w="850"/>
          </w:tcPr>
          <w:p>
            <w:pPr>
              <w:spacing w:after="50" w:before="50" w:line="252" w:lineRule="auto"/>
            </w:pPr>
            <w:r>
              <w:rPr>
                <w:sz w:val="17"/>
              </w:rPr>
              <w:t>40%</w:t>
            </w:r>
          </w:p>
        </w:tc>
        <w:tc>
          <w:tcPr>
            <w:tcW w:type="dxa" w:w="5623"/>
          </w:tcPr>
          <w:p>
            <w:pPr>
              <w:spacing w:after="50" w:before="50" w:line="252" w:lineRule="auto"/>
            </w:pPr>
            <w:r>
              <w:rPr>
                <w:sz w:val="17"/>
              </w:rPr>
              <w:t>Where the institution hosts</w:t>
            </w:r>
          </w:p>
        </w:tc>
      </w:tr>
      <w:tr>
        <w:tc>
          <w:tcPr>
            <w:tcW w:type="dxa" w:w="2544"/>
            <w:shd w:val="clear" w:color="auto" w:fill="EAF1F4"/>
          </w:tcPr>
          <w:p>
            <w:pPr>
              <w:spacing w:after="50" w:before="50" w:line="252" w:lineRule="auto"/>
            </w:pPr>
            <w:r>
              <w:rPr>
                <w:sz w:val="17"/>
              </w:rPr>
              <w:t>Advisory, licensing, coaching</w:t>
            </w:r>
          </w:p>
        </w:tc>
        <w:tc>
          <w:tcPr>
            <w:tcW w:type="dxa" w:w="850"/>
            <w:shd w:val="clear" w:color="auto" w:fill="EAF1F4"/>
          </w:tcPr>
          <w:p>
            <w:pPr>
              <w:spacing w:after="50" w:before="50" w:line="252" w:lineRule="auto"/>
            </w:pPr>
            <w:r>
              <w:rPr>
                <w:sz w:val="17"/>
              </w:rPr>
              <w:t>100%</w:t>
            </w:r>
          </w:p>
        </w:tc>
        <w:tc>
          <w:tcPr>
            <w:tcW w:type="dxa" w:w="850"/>
            <w:shd w:val="clear" w:color="auto" w:fill="EAF1F4"/>
          </w:tcPr>
          <w:p>
            <w:pPr>
              <w:spacing w:after="50" w:before="50" w:line="252" w:lineRule="auto"/>
            </w:pPr>
            <w:r>
              <w:rPr>
                <w:sz w:val="17"/>
              </w:rPr>
              <w:t>—</w:t>
            </w:r>
          </w:p>
        </w:tc>
        <w:tc>
          <w:tcPr>
            <w:tcW w:type="dxa" w:w="5623"/>
            <w:shd w:val="clear" w:color="auto" w:fill="EAF1F4"/>
          </w:tcPr>
          <w:p>
            <w:pPr>
              <w:spacing w:after="50" w:before="50" w:line="252" w:lineRule="auto"/>
            </w:pPr>
            <w:r>
              <w:rPr>
                <w:sz w:val="17"/>
              </w:rPr>
              <w:t>No institutional input</w:t>
            </w:r>
          </w:p>
        </w:tc>
      </w:tr>
    </w:tbl>
    <w:p>
      <w:pPr>
        <w:spacing w:after="80" w:before="0"/>
      </w:pPr>
    </w:p>
    <w:p>
      <w:r>
        <w:t>Variations of more than ten percentage points require Programme Board approval.</w:t>
      </w:r>
    </w:p>
    <w:p>
      <w:pPr>
        <w:spacing w:before="80" w:after="160"/>
        <w:pBdr>
          <w:bottom w:val="single" w:sz="6" w:space="1" w:color="C9D6DE"/>
        </w:pBdr>
      </w:pPr>
    </w:p>
    <w:p>
      <w:pPr>
        <w:pStyle w:val="Heading1"/>
        <w:pBdr>
          <w:bottom w:val="single" w:sz="8" w:space="4" w:color="C9D6DE"/>
        </w:pBdr>
      </w:pPr>
      <w:r>
        <w:t>10. Quotation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Before any quotation is issued</w:t>
            </w:r>
          </w:p>
        </w:tc>
        <w:tc>
          <w:tcPr>
            <w:tcW w:type="dxa" w:w="850"/>
            <w:shd w:val="clear" w:color="auto" w:fill="10375C"/>
          </w:tcPr>
          <w:p>
            <w:pPr>
              <w:spacing w:after="50" w:before="50"/>
            </w:pPr>
            <w:r>
              <w:rPr>
                <w:b/>
                <w:color w:val="FFFFFF"/>
                <w:sz w:val="17"/>
              </w:rPr>
              <w:t>☐</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Rate card in force confirmed, and effective date checked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Cohort size at or above the minimum</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Trainer availability confirmed with Operations for the proposed dates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b/>
                <w:sz w:val="17"/>
              </w:rPr>
              <w:t>Local bench available, or travel and accommodation built into the price</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Any discount approved in writing at the correct level</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Revenue-share split stated, with collecting party and settlement date</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 xml:space="preserve">Tax stated as </w:t>
            </w:r>
            <w:r>
              <w:rPr>
                <w:i/>
                <w:sz w:val="17"/>
              </w:rPr>
              <w:t>exclusive of applicable taxes</w:t>
            </w:r>
            <w:r>
              <w:rPr>
                <w:sz w:val="17"/>
              </w:rPr>
              <w:t>; no GST position asserted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Cancellation and postponement terms included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7890"/>
          </w:tcPr>
          <w:p>
            <w:pPr>
              <w:spacing w:after="50" w:before="50" w:line="252" w:lineRule="auto"/>
            </w:pPr>
            <w:r>
              <w:rPr>
                <w:sz w:val="17"/>
              </w:rPr>
              <w:t>Validity of the quotation stated, normally 60 days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890"/>
            <w:shd w:val="clear" w:color="auto" w:fill="EAF1F4"/>
          </w:tcPr>
          <w:p>
            <w:pPr>
              <w:spacing w:after="50" w:before="50" w:line="252" w:lineRule="auto"/>
            </w:pPr>
            <w:r>
              <w:rPr>
                <w:sz w:val="17"/>
              </w:rPr>
              <w:t>Quotation filed and logged in the CRM</w:t>
            </w:r>
          </w:p>
        </w:tc>
        <w:tc>
          <w:tcPr>
            <w:tcW w:type="dxa" w:w="850"/>
            <w:shd w:val="clear" w:color="auto" w:fill="EAF1F4"/>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Commercial Model, Pricing Policy &amp; Rate Card</w:t>
    </w:r>
    <w:r>
      <w:rPr>
        <w:rFonts w:ascii="Calibri" w:hAnsi="Calibri"/>
        <w:color w:val="595959"/>
        <w:sz w:val="16"/>
      </w:rPr>
      <w:tab/>
      <w:t>Confidential — Internal (Strictly). Floor prices must never be disclosed externally.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39B93F-93EF-4176-A672-42A8B7AA2028}"/>
</file>

<file path=customXml/itemProps3.xml><?xml version="1.0" encoding="utf-8"?>
<ds:datastoreItem xmlns:ds="http://schemas.openxmlformats.org/officeDocument/2006/customXml" ds:itemID="{4CA5A8FC-8C99-4923-93E4-39267F0D74B5}"/>
</file>

<file path=customXml/itemProps4.xml><?xml version="1.0" encoding="utf-8"?>
<ds:datastoreItem xmlns:ds="http://schemas.openxmlformats.org/officeDocument/2006/customXml" ds:itemID="{8A336AD1-FCAE-4AA3-A90C-96A190CDF6C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