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Unit Economics &amp; Partnership ROI Framework</w:t>
      </w:r>
    </w:p>
    <w:p>
      <w:pPr>
        <w:spacing w:after="280" w:line="276" w:lineRule="auto"/>
      </w:pPr>
      <w:r>
        <w:rPr>
          <w:rFonts w:ascii="Calibri" w:hAnsi="Calibri"/>
          <w:i/>
          <w:color w:val="3E6B8A"/>
          <w:sz w:val="25"/>
        </w:rPr>
        <w:t>Worked economics for every programme type, partnership-level profit and loss by tier, acquisition cost, payback and the tests a partnership must pass to be renewed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Purpose and basis</w:t>
      </w:r>
    </w:p>
    <w:p>
      <w:r>
        <w:t>This document derives the economics behind the strategy in 01.1 and the pricing in 04.1. It is the instrument by which a partnership is judged commercially at annual review.</w:t>
      </w:r>
    </w:p>
    <w:p>
      <w:r>
        <w:rPr>
          <w:b/>
        </w:rPr>
        <w:t>Basis of preparation.</w:t>
      </w:r>
      <w:r>
        <w:t xml:space="preserve"> All figures are in Indian Rupees, exclusive of taxes. Cost rates are those in 04.1 section 6.1. </w:t>
      </w:r>
      <w:r>
        <w:rPr>
          <w:i/>
        </w:rPr>
        <w:t>Contribution</w:t>
      </w:r>
      <w:r>
        <w:t xml:space="preserve"> means revenue attributable to Equator less directly attributable costs, before allocation of programme management overhead and before partnership acquisition cost. These are planning models, not forecasts, and must be re-based after the first full delivery cycle. </w:t>
      </w:r>
      <w:r>
        <w:rPr>
          <w:b/>
        </w:rPr>
        <w:t>[verify — all rates against actuals.]</w:t>
      </w:r>
    </w:p>
    <w:p>
      <w:pPr>
        <w:spacing w:before="80" w:after="160"/>
        <w:pBdr>
          <w:bottom w:val="single" w:sz="6" w:space="1" w:color="C9D6DE"/>
        </w:pBdr>
      </w:pPr>
    </w:p>
    <w:p>
      <w:pPr>
        <w:pStyle w:val="Heading1"/>
        <w:pBdr>
          <w:bottom w:val="single" w:sz="8" w:space="4" w:color="C9D6DE"/>
        </w:pBdr>
      </w:pPr>
      <w:r>
        <w:t>2. Programme-level unit economics</w:t>
      </w:r>
    </w:p>
    <w:p>
      <w:pPr>
        <w:pStyle w:val="Heading2"/>
      </w:pPr>
      <w:r>
        <w:t>2.1 T-40-S · Basic Mediation Training, student cohort — local trainer bench</w:t>
      </w:r>
    </w:p>
    <w:p>
      <w:r>
        <w:t>Cohort 40, partner rate ₹9,500, revenue share 70:30, five days, two trainers drawn from the local bench.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731"/>
            <w:shd w:val="clear" w:color="auto" w:fill="10375C"/>
          </w:tcPr>
          <w:p>
            <w:pPr>
              <w:spacing w:after="50" w:before="50"/>
            </w:pPr>
            <w:r>
              <w:rPr>
                <w:b/>
                <w:color w:val="FFFFFF"/>
                <w:sz w:val="17"/>
              </w:rPr>
              <w:t>Line</w:t>
            </w:r>
          </w:p>
        </w:tc>
        <w:tc>
          <w:tcPr>
            <w:tcW w:type="dxa" w:w="2270"/>
            <w:shd w:val="clear" w:color="auto" w:fill="10375C"/>
          </w:tcPr>
          <w:p>
            <w:pPr>
              <w:spacing w:after="50" w:before="50"/>
            </w:pPr>
            <w:r>
              <w:rPr>
                <w:b/>
                <w:color w:val="FFFFFF"/>
                <w:sz w:val="17"/>
              </w:rPr>
              <w:t>Computation</w:t>
            </w:r>
          </w:p>
        </w:tc>
        <w:tc>
          <w:tcPr>
            <w:tcW w:type="dxa" w:w="2467"/>
            <w:shd w:val="clear" w:color="auto" w:fill="10375C"/>
          </w:tcPr>
          <w:p>
            <w:pPr>
              <w:spacing w:after="50" w:before="50"/>
            </w:pPr>
            <w:r>
              <w:rPr>
                <w:b/>
                <w:color w:val="FFFFFF"/>
                <w:sz w:val="17"/>
              </w:rPr>
              <w:t>Amount</w:t>
            </w:r>
          </w:p>
        </w:tc>
      </w:tr>
      <w:tr>
        <w:tc>
          <w:tcPr>
            <w:tcW w:type="dxa" w:w="4731"/>
          </w:tcPr>
          <w:p>
            <w:pPr>
              <w:spacing w:after="50" w:before="50" w:line="252" w:lineRule="auto"/>
            </w:pPr>
            <w:r>
              <w:rPr>
                <w:sz w:val="17"/>
              </w:rPr>
              <w:t>Gross participant fees</w:t>
            </w:r>
          </w:p>
        </w:tc>
        <w:tc>
          <w:tcPr>
            <w:tcW w:type="dxa" w:w="2270"/>
          </w:tcPr>
          <w:p>
            <w:pPr>
              <w:spacing w:after="50" w:before="50" w:line="252" w:lineRule="auto"/>
            </w:pPr>
            <w:r>
              <w:rPr>
                <w:sz w:val="17"/>
              </w:rPr>
              <w:t>40 × 9,500</w:t>
            </w:r>
          </w:p>
        </w:tc>
        <w:tc>
          <w:tcPr>
            <w:tcW w:type="dxa" w:w="2467"/>
          </w:tcPr>
          <w:p>
            <w:pPr>
              <w:spacing w:after="50" w:before="50" w:line="252" w:lineRule="auto"/>
            </w:pPr>
            <w:r>
              <w:rPr>
                <w:sz w:val="17"/>
              </w:rPr>
              <w:t>3,80,000</w:t>
            </w:r>
          </w:p>
        </w:tc>
      </w:tr>
      <w:tr>
        <w:tc>
          <w:tcPr>
            <w:tcW w:type="dxa" w:w="4731"/>
            <w:shd w:val="clear" w:color="auto" w:fill="EAF1F4"/>
          </w:tcPr>
          <w:p>
            <w:pPr>
              <w:spacing w:after="50" w:before="50" w:line="252" w:lineRule="auto"/>
            </w:pPr>
            <w:r>
              <w:rPr>
                <w:b/>
                <w:sz w:val="17"/>
              </w:rPr>
              <w:t>Equator share</w:t>
            </w:r>
          </w:p>
        </w:tc>
        <w:tc>
          <w:tcPr>
            <w:tcW w:type="dxa" w:w="2270"/>
            <w:shd w:val="clear" w:color="auto" w:fill="EAF1F4"/>
          </w:tcPr>
          <w:p>
            <w:pPr>
              <w:spacing w:after="50" w:before="50" w:line="252" w:lineRule="auto"/>
            </w:pPr>
            <w:r>
              <w:rPr>
                <w:sz w:val="17"/>
              </w:rPr>
              <w:t>70%</w:t>
            </w:r>
          </w:p>
        </w:tc>
        <w:tc>
          <w:tcPr>
            <w:tcW w:type="dxa" w:w="2467"/>
            <w:shd w:val="clear" w:color="auto" w:fill="EAF1F4"/>
          </w:tcPr>
          <w:p>
            <w:pPr>
              <w:spacing w:after="50" w:before="50" w:line="252" w:lineRule="auto"/>
            </w:pPr>
            <w:r>
              <w:rPr>
                <w:b/>
                <w:sz w:val="17"/>
              </w:rPr>
              <w:t>2,66,000</w:t>
            </w:r>
          </w:p>
        </w:tc>
      </w:tr>
      <w:tr>
        <w:tc>
          <w:tcPr>
            <w:tcW w:type="dxa" w:w="4731"/>
          </w:tcPr>
          <w:p>
            <w:pPr>
              <w:spacing w:after="50" w:before="50" w:line="252" w:lineRule="auto"/>
            </w:pPr>
            <w:r>
              <w:rPr>
                <w:sz w:val="17"/>
              </w:rPr>
              <w:t>Institution share</w:t>
            </w:r>
          </w:p>
        </w:tc>
        <w:tc>
          <w:tcPr>
            <w:tcW w:type="dxa" w:w="2270"/>
          </w:tcPr>
          <w:p>
            <w:pPr>
              <w:spacing w:after="50" w:before="50" w:line="252" w:lineRule="auto"/>
            </w:pPr>
            <w:r>
              <w:rPr>
                <w:sz w:val="17"/>
              </w:rPr>
              <w:t>30%</w:t>
            </w:r>
          </w:p>
        </w:tc>
        <w:tc>
          <w:tcPr>
            <w:tcW w:type="dxa" w:w="2467"/>
          </w:tcPr>
          <w:p>
            <w:pPr>
              <w:spacing w:after="50" w:before="50" w:line="252" w:lineRule="auto"/>
            </w:pPr>
            <w:r>
              <w:rPr>
                <w:sz w:val="17"/>
              </w:rPr>
              <w:t>1,14,000</w:t>
            </w:r>
          </w:p>
        </w:tc>
      </w:tr>
      <w:tr>
        <w:tc>
          <w:tcPr>
            <w:tcW w:type="dxa" w:w="4731"/>
            <w:shd w:val="clear" w:color="auto" w:fill="EAF1F4"/>
          </w:tcPr>
          <w:p>
            <w:pPr>
              <w:spacing w:after="50" w:before="50" w:line="252" w:lineRule="auto"/>
            </w:pPr>
            <w:r>
              <w:rPr>
                <w:sz w:val="17"/>
              </w:rPr>
              <w:t>Lead trainer</w:t>
            </w:r>
          </w:p>
        </w:tc>
        <w:tc>
          <w:tcPr>
            <w:tcW w:type="dxa" w:w="2270"/>
            <w:shd w:val="clear" w:color="auto" w:fill="EAF1F4"/>
          </w:tcPr>
          <w:p>
            <w:pPr>
              <w:spacing w:after="50" w:before="50" w:line="252" w:lineRule="auto"/>
            </w:pPr>
            <w:r>
              <w:rPr>
                <w:sz w:val="17"/>
              </w:rPr>
              <w:t>5 × 15,000</w:t>
            </w:r>
          </w:p>
        </w:tc>
        <w:tc>
          <w:tcPr>
            <w:tcW w:type="dxa" w:w="2467"/>
            <w:shd w:val="clear" w:color="auto" w:fill="EAF1F4"/>
          </w:tcPr>
          <w:p>
            <w:pPr>
              <w:spacing w:after="50" w:before="50" w:line="252" w:lineRule="auto"/>
            </w:pPr>
            <w:r>
              <w:rPr>
                <w:sz w:val="17"/>
              </w:rPr>
              <w:t>(75,000)</w:t>
            </w:r>
          </w:p>
        </w:tc>
      </w:tr>
      <w:tr>
        <w:tc>
          <w:tcPr>
            <w:tcW w:type="dxa" w:w="4731"/>
          </w:tcPr>
          <w:p>
            <w:pPr>
              <w:spacing w:after="50" w:before="50" w:line="252" w:lineRule="auto"/>
            </w:pPr>
            <w:r>
              <w:rPr>
                <w:sz w:val="17"/>
              </w:rPr>
              <w:t>Associate trainer</w:t>
            </w:r>
          </w:p>
        </w:tc>
        <w:tc>
          <w:tcPr>
            <w:tcW w:type="dxa" w:w="2270"/>
          </w:tcPr>
          <w:p>
            <w:pPr>
              <w:spacing w:after="50" w:before="50" w:line="252" w:lineRule="auto"/>
            </w:pPr>
            <w:r>
              <w:rPr>
                <w:sz w:val="17"/>
              </w:rPr>
              <w:t>5 × 7,500</w:t>
            </w:r>
          </w:p>
        </w:tc>
        <w:tc>
          <w:tcPr>
            <w:tcW w:type="dxa" w:w="2467"/>
          </w:tcPr>
          <w:p>
            <w:pPr>
              <w:spacing w:after="50" w:before="50" w:line="252" w:lineRule="auto"/>
            </w:pPr>
            <w:r>
              <w:rPr>
                <w:sz w:val="17"/>
              </w:rPr>
              <w:t>(37,500)</w:t>
            </w:r>
          </w:p>
        </w:tc>
      </w:tr>
      <w:tr>
        <w:tc>
          <w:tcPr>
            <w:tcW w:type="dxa" w:w="4731"/>
            <w:shd w:val="clear" w:color="auto" w:fill="EAF1F4"/>
          </w:tcPr>
          <w:p>
            <w:pPr>
              <w:spacing w:after="50" w:before="50" w:line="252" w:lineRule="auto"/>
            </w:pPr>
            <w:r>
              <w:rPr>
                <w:sz w:val="17"/>
              </w:rPr>
              <w:t>Materials</w:t>
            </w:r>
          </w:p>
        </w:tc>
        <w:tc>
          <w:tcPr>
            <w:tcW w:type="dxa" w:w="2270"/>
            <w:shd w:val="clear" w:color="auto" w:fill="EAF1F4"/>
          </w:tcPr>
          <w:p>
            <w:pPr>
              <w:spacing w:after="50" w:before="50" w:line="252" w:lineRule="auto"/>
            </w:pPr>
            <w:r>
              <w:rPr>
                <w:sz w:val="17"/>
              </w:rPr>
              <w:t>40 × 450</w:t>
            </w:r>
          </w:p>
        </w:tc>
        <w:tc>
          <w:tcPr>
            <w:tcW w:type="dxa" w:w="2467"/>
            <w:shd w:val="clear" w:color="auto" w:fill="EAF1F4"/>
          </w:tcPr>
          <w:p>
            <w:pPr>
              <w:spacing w:after="50" w:before="50" w:line="252" w:lineRule="auto"/>
            </w:pPr>
            <w:r>
              <w:rPr>
                <w:sz w:val="17"/>
              </w:rPr>
              <w:t>(18,000)</w:t>
            </w:r>
          </w:p>
        </w:tc>
      </w:tr>
      <w:tr>
        <w:tc>
          <w:tcPr>
            <w:tcW w:type="dxa" w:w="4731"/>
          </w:tcPr>
          <w:p>
            <w:pPr>
              <w:spacing w:after="50" w:before="50" w:line="252" w:lineRule="auto"/>
            </w:pPr>
            <w:r>
              <w:rPr>
                <w:sz w:val="17"/>
              </w:rPr>
              <w:t>Certificates and register</w:t>
            </w:r>
          </w:p>
        </w:tc>
        <w:tc>
          <w:tcPr>
            <w:tcW w:type="dxa" w:w="2270"/>
          </w:tcPr>
          <w:p>
            <w:pPr>
              <w:spacing w:after="50" w:before="50" w:line="252" w:lineRule="auto"/>
            </w:pPr>
            <w:r>
              <w:rPr>
                <w:sz w:val="17"/>
              </w:rPr>
              <w:t>40 × 120</w:t>
            </w:r>
          </w:p>
        </w:tc>
        <w:tc>
          <w:tcPr>
            <w:tcW w:type="dxa" w:w="2467"/>
          </w:tcPr>
          <w:p>
            <w:pPr>
              <w:spacing w:after="50" w:before="50" w:line="252" w:lineRule="auto"/>
            </w:pPr>
            <w:r>
              <w:rPr>
                <w:sz w:val="17"/>
              </w:rPr>
              <w:t>(4,800)</w:t>
            </w:r>
          </w:p>
        </w:tc>
      </w:tr>
      <w:tr>
        <w:tc>
          <w:tcPr>
            <w:tcW w:type="dxa" w:w="4731"/>
            <w:shd w:val="clear" w:color="auto" w:fill="EAF1F4"/>
          </w:tcPr>
          <w:p>
            <w:pPr>
              <w:spacing w:after="50" w:before="50" w:line="252" w:lineRule="auto"/>
            </w:pPr>
            <w:r>
              <w:rPr>
                <w:sz w:val="17"/>
              </w:rPr>
              <w:t>Assessment and marking</w:t>
            </w:r>
          </w:p>
        </w:tc>
        <w:tc>
          <w:tcPr>
            <w:tcW w:type="dxa" w:w="2270"/>
            <w:shd w:val="clear" w:color="auto" w:fill="EAF1F4"/>
          </w:tcPr>
          <w:p>
            <w:pPr>
              <w:spacing w:after="50" w:before="50" w:line="252" w:lineRule="auto"/>
            </w:pPr>
            <w:r>
              <w:rPr>
                <w:sz w:val="17"/>
              </w:rPr>
              <w:t>40 × 350</w:t>
            </w:r>
          </w:p>
        </w:tc>
        <w:tc>
          <w:tcPr>
            <w:tcW w:type="dxa" w:w="2467"/>
            <w:shd w:val="clear" w:color="auto" w:fill="EAF1F4"/>
          </w:tcPr>
          <w:p>
            <w:pPr>
              <w:spacing w:after="50" w:before="50" w:line="252" w:lineRule="auto"/>
            </w:pPr>
            <w:r>
              <w:rPr>
                <w:sz w:val="17"/>
              </w:rPr>
              <w:t>(14,000)</w:t>
            </w:r>
          </w:p>
        </w:tc>
      </w:tr>
      <w:tr>
        <w:tc>
          <w:tcPr>
            <w:tcW w:type="dxa" w:w="4731"/>
          </w:tcPr>
          <w:p>
            <w:pPr>
              <w:spacing w:after="50" w:before="50" w:line="252" w:lineRule="auto"/>
            </w:pPr>
            <w:r>
              <w:rPr>
                <w:sz w:val="17"/>
              </w:rPr>
              <w:t>Local conveyance</w:t>
            </w:r>
          </w:p>
        </w:tc>
        <w:tc>
          <w:tcPr>
            <w:tcW w:type="dxa" w:w="2270"/>
          </w:tcPr>
          <w:p>
            <w:pPr>
              <w:spacing w:after="50" w:before="50" w:line="252" w:lineRule="auto"/>
            </w:pPr>
            <w:r>
              <w:rPr>
                <w:sz w:val="17"/>
              </w:rPr>
              <w:t>—</w:t>
            </w:r>
          </w:p>
        </w:tc>
        <w:tc>
          <w:tcPr>
            <w:tcW w:type="dxa" w:w="2467"/>
          </w:tcPr>
          <w:p>
            <w:pPr>
              <w:spacing w:after="50" w:before="50" w:line="252" w:lineRule="auto"/>
            </w:pPr>
            <w:r>
              <w:rPr>
                <w:sz w:val="17"/>
              </w:rPr>
              <w:t>(5,000)</w:t>
            </w:r>
          </w:p>
        </w:tc>
      </w:tr>
      <w:tr>
        <w:tc>
          <w:tcPr>
            <w:tcW w:type="dxa" w:w="4731"/>
            <w:shd w:val="clear" w:color="auto" w:fill="EAF1F4"/>
          </w:tcPr>
          <w:p>
            <w:pPr>
              <w:spacing w:after="50" w:before="50" w:line="252" w:lineRule="auto"/>
            </w:pPr>
            <w:r>
              <w:rPr>
                <w:sz w:val="17"/>
              </w:rPr>
              <w:t>Programme management</w:t>
            </w:r>
          </w:p>
        </w:tc>
        <w:tc>
          <w:tcPr>
            <w:tcW w:type="dxa" w:w="2270"/>
            <w:shd w:val="clear" w:color="auto" w:fill="EAF1F4"/>
          </w:tcPr>
          <w:p>
            <w:pPr>
              <w:spacing w:after="50" w:before="50" w:line="252" w:lineRule="auto"/>
            </w:pPr>
            <w:r>
              <w:rPr>
                <w:sz w:val="17"/>
              </w:rPr>
              <w:t>5 × 6,500</w:t>
            </w:r>
          </w:p>
        </w:tc>
        <w:tc>
          <w:tcPr>
            <w:tcW w:type="dxa" w:w="2467"/>
            <w:shd w:val="clear" w:color="auto" w:fill="EAF1F4"/>
          </w:tcPr>
          <w:p>
            <w:pPr>
              <w:spacing w:after="50" w:before="50" w:line="252" w:lineRule="auto"/>
            </w:pPr>
            <w:r>
              <w:rPr>
                <w:sz w:val="17"/>
              </w:rPr>
              <w:t>(32,500)</w:t>
            </w:r>
          </w:p>
        </w:tc>
      </w:tr>
      <w:tr>
        <w:tc>
          <w:tcPr>
            <w:tcW w:type="dxa" w:w="4731"/>
          </w:tcPr>
          <w:p>
            <w:pPr>
              <w:spacing w:after="50" w:before="50" w:line="252" w:lineRule="auto"/>
            </w:pPr>
            <w:r>
              <w:rPr>
                <w:b/>
                <w:sz w:val="17"/>
              </w:rPr>
              <w:t>Total direct cost</w:t>
            </w:r>
          </w:p>
        </w:tc>
        <w:tc>
          <w:tcPr>
            <w:tcW w:type="dxa" w:w="2270"/>
          </w:tcPr>
          <w:p>
            <w:pPr>
              <w:spacing w:after="50" w:before="50" w:line="252" w:lineRule="auto"/>
            </w:pPr>
          </w:p>
        </w:tc>
        <w:tc>
          <w:tcPr>
            <w:tcW w:type="dxa" w:w="2467"/>
          </w:tcPr>
          <w:p>
            <w:pPr>
              <w:spacing w:after="50" w:before="50" w:line="252" w:lineRule="auto"/>
            </w:pPr>
            <w:r>
              <w:rPr>
                <w:b/>
                <w:sz w:val="17"/>
              </w:rPr>
              <w:t>(1,86,800)</w:t>
            </w:r>
          </w:p>
        </w:tc>
      </w:tr>
      <w:tr>
        <w:tc>
          <w:tcPr>
            <w:tcW w:type="dxa" w:w="4731"/>
            <w:shd w:val="clear" w:color="auto" w:fill="EAF1F4"/>
          </w:tcPr>
          <w:p>
            <w:pPr>
              <w:spacing w:after="50" w:before="50" w:line="252" w:lineRule="auto"/>
            </w:pPr>
            <w:r>
              <w:rPr>
                <w:b/>
                <w:sz w:val="17"/>
              </w:rPr>
              <w:t>Contribution</w:t>
            </w:r>
          </w:p>
        </w:tc>
        <w:tc>
          <w:tcPr>
            <w:tcW w:type="dxa" w:w="2270"/>
            <w:shd w:val="clear" w:color="auto" w:fill="EAF1F4"/>
          </w:tcPr>
          <w:p>
            <w:pPr>
              <w:spacing w:after="50" w:before="50" w:line="252" w:lineRule="auto"/>
            </w:pPr>
          </w:p>
        </w:tc>
        <w:tc>
          <w:tcPr>
            <w:tcW w:type="dxa" w:w="2467"/>
            <w:shd w:val="clear" w:color="auto" w:fill="EAF1F4"/>
          </w:tcPr>
          <w:p>
            <w:pPr>
              <w:spacing w:after="50" w:before="50" w:line="252" w:lineRule="auto"/>
            </w:pPr>
            <w:r>
              <w:rPr>
                <w:b/>
                <w:sz w:val="17"/>
              </w:rPr>
              <w:t>79,200</w:t>
            </w:r>
          </w:p>
        </w:tc>
      </w:tr>
      <w:tr>
        <w:tc>
          <w:tcPr>
            <w:tcW w:type="dxa" w:w="4731"/>
          </w:tcPr>
          <w:p>
            <w:pPr>
              <w:spacing w:after="50" w:before="50" w:line="252" w:lineRule="auto"/>
            </w:pPr>
            <w:r>
              <w:rPr>
                <w:b/>
                <w:sz w:val="17"/>
              </w:rPr>
              <w:t>Contribution margin</w:t>
            </w:r>
          </w:p>
        </w:tc>
        <w:tc>
          <w:tcPr>
            <w:tcW w:type="dxa" w:w="2270"/>
          </w:tcPr>
          <w:p>
            <w:pPr>
              <w:spacing w:after="50" w:before="50" w:line="252" w:lineRule="auto"/>
            </w:pPr>
            <w:r>
              <w:rPr>
                <w:sz w:val="17"/>
              </w:rPr>
              <w:t>on Equator share</w:t>
            </w:r>
          </w:p>
        </w:tc>
        <w:tc>
          <w:tcPr>
            <w:tcW w:type="dxa" w:w="2467"/>
          </w:tcPr>
          <w:p>
            <w:pPr>
              <w:spacing w:after="50" w:before="50" w:line="252" w:lineRule="auto"/>
            </w:pPr>
            <w:r>
              <w:rPr>
                <w:b/>
                <w:sz w:val="17"/>
              </w:rPr>
              <w:t>29.8%</w:t>
            </w:r>
          </w:p>
        </w:tc>
      </w:tr>
    </w:tbl>
    <w:p>
      <w:pPr>
        <w:spacing w:after="80" w:before="0"/>
      </w:pPr>
    </w:p>
    <w:p>
      <w:pPr>
        <w:pStyle w:val="Heading2"/>
      </w:pPr>
      <w:r>
        <w:t>2.2 T-40-S · The same programme with outstation trainers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593"/>
            <w:shd w:val="clear" w:color="auto" w:fill="10375C"/>
          </w:tcPr>
          <w:p>
            <w:pPr>
              <w:spacing w:after="50" w:before="50"/>
            </w:pPr>
            <w:r>
              <w:rPr>
                <w:b/>
                <w:color w:val="FFFFFF"/>
                <w:sz w:val="17"/>
              </w:rPr>
              <w:t>Line</w:t>
            </w:r>
          </w:p>
        </w:tc>
        <w:tc>
          <w:tcPr>
            <w:tcW w:type="dxa" w:w="2875"/>
            <w:shd w:val="clear" w:color="auto" w:fill="10375C"/>
          </w:tcPr>
          <w:p>
            <w:pPr>
              <w:spacing w:after="50" w:before="50"/>
            </w:pPr>
            <w:r>
              <w:rPr>
                <w:b/>
                <w:color w:val="FFFFFF"/>
                <w:sz w:val="17"/>
              </w:rPr>
              <w:t>Amount</w:t>
            </w:r>
          </w:p>
        </w:tc>
      </w:tr>
      <w:tr>
        <w:tc>
          <w:tcPr>
            <w:tcW w:type="dxa" w:w="6593"/>
          </w:tcPr>
          <w:p>
            <w:pPr>
              <w:spacing w:after="50" w:before="50" w:line="252" w:lineRule="auto"/>
            </w:pPr>
            <w:r>
              <w:rPr>
                <w:sz w:val="17"/>
              </w:rPr>
              <w:t>Equator share</w:t>
            </w:r>
          </w:p>
        </w:tc>
        <w:tc>
          <w:tcPr>
            <w:tcW w:type="dxa" w:w="2875"/>
          </w:tcPr>
          <w:p>
            <w:pPr>
              <w:spacing w:after="50" w:before="50" w:line="252" w:lineRule="auto"/>
            </w:pPr>
            <w:r>
              <w:rPr>
                <w:sz w:val="17"/>
              </w:rPr>
              <w:t>2,66,000</w:t>
            </w:r>
          </w:p>
        </w:tc>
      </w:tr>
      <w:tr>
        <w:tc>
          <w:tcPr>
            <w:tcW w:type="dxa" w:w="6593"/>
            <w:shd w:val="clear" w:color="auto" w:fill="EAF1F4"/>
          </w:tcPr>
          <w:p>
            <w:pPr>
              <w:spacing w:after="50" w:before="50" w:line="252" w:lineRule="auto"/>
            </w:pPr>
            <w:r>
              <w:rPr>
                <w:sz w:val="17"/>
              </w:rPr>
              <w:t>Direct cost as above</w:t>
            </w:r>
          </w:p>
        </w:tc>
        <w:tc>
          <w:tcPr>
            <w:tcW w:type="dxa" w:w="2875"/>
            <w:shd w:val="clear" w:color="auto" w:fill="EAF1F4"/>
          </w:tcPr>
          <w:p>
            <w:pPr>
              <w:spacing w:after="50" w:before="50" w:line="252" w:lineRule="auto"/>
            </w:pPr>
            <w:r>
              <w:rPr>
                <w:sz w:val="17"/>
              </w:rPr>
              <w:t>(1,86,800)</w:t>
            </w:r>
          </w:p>
        </w:tc>
      </w:tr>
      <w:tr>
        <w:tc>
          <w:tcPr>
            <w:tcW w:type="dxa" w:w="6593"/>
          </w:tcPr>
          <w:p>
            <w:pPr>
              <w:spacing w:after="50" w:before="50" w:line="252" w:lineRule="auto"/>
            </w:pPr>
            <w:r>
              <w:rPr>
                <w:sz w:val="17"/>
              </w:rPr>
              <w:t>Trainer travel, 2 × 9,000</w:t>
            </w:r>
          </w:p>
        </w:tc>
        <w:tc>
          <w:tcPr>
            <w:tcW w:type="dxa" w:w="2875"/>
          </w:tcPr>
          <w:p>
            <w:pPr>
              <w:spacing w:after="50" w:before="50" w:line="252" w:lineRule="auto"/>
            </w:pPr>
            <w:r>
              <w:rPr>
                <w:sz w:val="17"/>
              </w:rPr>
              <w:t>(18,000)</w:t>
            </w:r>
          </w:p>
        </w:tc>
      </w:tr>
      <w:tr>
        <w:tc>
          <w:tcPr>
            <w:tcW w:type="dxa" w:w="6593"/>
            <w:shd w:val="clear" w:color="auto" w:fill="EAF1F4"/>
          </w:tcPr>
          <w:p>
            <w:pPr>
              <w:spacing w:after="50" w:before="50" w:line="252" w:lineRule="auto"/>
            </w:pPr>
            <w:r>
              <w:rPr>
                <w:sz w:val="17"/>
              </w:rPr>
              <w:t>Accommodation, 5 nights × 2 × 4,500</w:t>
            </w:r>
          </w:p>
        </w:tc>
        <w:tc>
          <w:tcPr>
            <w:tcW w:type="dxa" w:w="2875"/>
            <w:shd w:val="clear" w:color="auto" w:fill="EAF1F4"/>
          </w:tcPr>
          <w:p>
            <w:pPr>
              <w:spacing w:after="50" w:before="50" w:line="252" w:lineRule="auto"/>
            </w:pPr>
            <w:r>
              <w:rPr>
                <w:sz w:val="17"/>
              </w:rPr>
              <w:t>(45,000)</w:t>
            </w:r>
          </w:p>
        </w:tc>
      </w:tr>
      <w:tr>
        <w:tc>
          <w:tcPr>
            <w:tcW w:type="dxa" w:w="6593"/>
          </w:tcPr>
          <w:p>
            <w:pPr>
              <w:spacing w:after="50" w:before="50" w:line="252" w:lineRule="auto"/>
            </w:pPr>
            <w:r>
              <w:rPr>
                <w:b/>
                <w:sz w:val="17"/>
              </w:rPr>
              <w:t>Total direct cost</w:t>
            </w:r>
          </w:p>
        </w:tc>
        <w:tc>
          <w:tcPr>
            <w:tcW w:type="dxa" w:w="2875"/>
          </w:tcPr>
          <w:p>
            <w:pPr>
              <w:spacing w:after="50" w:before="50" w:line="252" w:lineRule="auto"/>
            </w:pPr>
            <w:r>
              <w:rPr>
                <w:b/>
                <w:sz w:val="17"/>
              </w:rPr>
              <w:t>(2,49,800)</w:t>
            </w:r>
          </w:p>
        </w:tc>
      </w:tr>
      <w:tr>
        <w:tc>
          <w:tcPr>
            <w:tcW w:type="dxa" w:w="6593"/>
            <w:shd w:val="clear" w:color="auto" w:fill="EAF1F4"/>
          </w:tcPr>
          <w:p>
            <w:pPr>
              <w:spacing w:after="50" w:before="50" w:line="252" w:lineRule="auto"/>
            </w:pPr>
            <w:r>
              <w:rPr>
                <w:b/>
                <w:sz w:val="17"/>
              </w:rPr>
              <w:t>Contribution</w:t>
            </w:r>
          </w:p>
        </w:tc>
        <w:tc>
          <w:tcPr>
            <w:tcW w:type="dxa" w:w="2875"/>
            <w:shd w:val="clear" w:color="auto" w:fill="EAF1F4"/>
          </w:tcPr>
          <w:p>
            <w:pPr>
              <w:spacing w:after="50" w:before="50" w:line="252" w:lineRule="auto"/>
            </w:pPr>
            <w:r>
              <w:rPr>
                <w:b/>
                <w:sz w:val="17"/>
              </w:rPr>
              <w:t>16,200</w:t>
            </w:r>
          </w:p>
        </w:tc>
      </w:tr>
      <w:tr>
        <w:tc>
          <w:tcPr>
            <w:tcW w:type="dxa" w:w="6593"/>
          </w:tcPr>
          <w:p>
            <w:pPr>
              <w:spacing w:after="50" w:before="50" w:line="252" w:lineRule="auto"/>
            </w:pPr>
            <w:r>
              <w:rPr>
                <w:b/>
                <w:sz w:val="17"/>
              </w:rPr>
              <w:t>Contribution margin</w:t>
            </w:r>
          </w:p>
        </w:tc>
        <w:tc>
          <w:tcPr>
            <w:tcW w:type="dxa" w:w="2875"/>
          </w:tcPr>
          <w:p>
            <w:pPr>
              <w:spacing w:after="50" w:before="50" w:line="252" w:lineRule="auto"/>
            </w:pPr>
            <w:r>
              <w:rPr>
                <w:b/>
                <w:sz w:val="17"/>
              </w:rPr>
              <w:t>6.1%</w:t>
            </w:r>
          </w:p>
        </w:tc>
      </w:tr>
    </w:tbl>
    <w:p>
      <w:pPr>
        <w:spacing w:after="80" w:before="0"/>
      </w:pPr>
    </w:p>
    <w:p>
      <w:pPr>
        <w:spacing w:before="140" w:after="140"/>
        <w:ind w:left="198" w:right="113"/>
        <w:shd w:val="clear" w:color="auto" w:fill="EAF1F4"/>
        <w:pBdr>
          <w:left w:val="single" w:sz="18" w:space="6" w:color="0E7C7B"/>
        </w:pBdr>
      </w:pPr>
      <w:r>
        <w:rPr>
          <w:b/>
          <w:sz w:val="19"/>
        </w:rPr>
        <w:t>This is the single most important number in the programme.</w:t>
      </w:r>
      <w:r>
        <w:rPr>
          <w:sz w:val="19"/>
        </w:rPr>
        <w:t xml:space="preserve"> The identical course, identically priced, earns 29.8% locally and 6.1% outstation. Travel and accommodation of ₹63,000 consumes 79% of the contribution. Build the bench first; cluster partnerships geographically; and where no bench exists, sell the institution-paid model rather than the student model.</w:t>
      </w:r>
    </w:p>
    <w:p>
      <w:pPr>
        <w:pStyle w:val="Heading2"/>
      </w:pPr>
      <w:r>
        <w:t>2.3 Sensitivity — T-40-S, local bench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003"/>
            <w:shd w:val="clear" w:color="auto" w:fill="10375C"/>
          </w:tcPr>
          <w:p>
            <w:pPr>
              <w:spacing w:after="50" w:before="50"/>
            </w:pPr>
            <w:r>
              <w:rPr>
                <w:b/>
                <w:color w:val="FFFFFF"/>
                <w:sz w:val="17"/>
              </w:rPr>
              <w:t>Cohort</w:t>
            </w:r>
          </w:p>
        </w:tc>
        <w:tc>
          <w:tcPr>
            <w:tcW w:type="dxa" w:w="2350"/>
            <w:shd w:val="clear" w:color="auto" w:fill="10375C"/>
          </w:tcPr>
          <w:p>
            <w:pPr>
              <w:spacing w:after="50" w:before="50"/>
            </w:pPr>
            <w:r>
              <w:rPr>
                <w:b/>
                <w:color w:val="FFFFFF"/>
                <w:sz w:val="17"/>
              </w:rPr>
              <w:t>Equator share</w:t>
            </w:r>
          </w:p>
        </w:tc>
        <w:tc>
          <w:tcPr>
            <w:tcW w:type="dxa" w:w="2235"/>
            <w:shd w:val="clear" w:color="auto" w:fill="10375C"/>
          </w:tcPr>
          <w:p>
            <w:pPr>
              <w:spacing w:after="50" w:before="50"/>
            </w:pPr>
            <w:r>
              <w:rPr>
                <w:b/>
                <w:color w:val="FFFFFF"/>
                <w:sz w:val="17"/>
              </w:rPr>
              <w:t>Direct cost</w:t>
            </w:r>
          </w:p>
        </w:tc>
        <w:tc>
          <w:tcPr>
            <w:tcW w:type="dxa" w:w="2179"/>
            <w:shd w:val="clear" w:color="auto" w:fill="10375C"/>
          </w:tcPr>
          <w:p>
            <w:pPr>
              <w:spacing w:after="50" w:before="50"/>
            </w:pPr>
            <w:r>
              <w:rPr>
                <w:b/>
                <w:color w:val="FFFFFF"/>
                <w:sz w:val="17"/>
              </w:rPr>
              <w:t>Contribution</w:t>
            </w:r>
          </w:p>
        </w:tc>
        <w:tc>
          <w:tcPr>
            <w:tcW w:type="dxa" w:w="1700"/>
            <w:shd w:val="clear" w:color="auto" w:fill="10375C"/>
          </w:tcPr>
          <w:p>
            <w:pPr>
              <w:spacing w:after="50" w:before="50"/>
            </w:pPr>
            <w:r>
              <w:rPr>
                <w:b/>
                <w:color w:val="FFFFFF"/>
                <w:sz w:val="17"/>
              </w:rPr>
              <w:t>Margin</w:t>
            </w:r>
          </w:p>
        </w:tc>
      </w:tr>
      <w:tr>
        <w:tc>
          <w:tcPr>
            <w:tcW w:type="dxa" w:w="1003"/>
          </w:tcPr>
          <w:p>
            <w:pPr>
              <w:spacing w:after="50" w:before="50" w:line="252" w:lineRule="auto"/>
            </w:pPr>
            <w:r>
              <w:rPr>
                <w:sz w:val="17"/>
              </w:rPr>
              <w:t>25</w:t>
            </w:r>
          </w:p>
        </w:tc>
        <w:tc>
          <w:tcPr>
            <w:tcW w:type="dxa" w:w="2350"/>
          </w:tcPr>
          <w:p>
            <w:pPr>
              <w:spacing w:after="50" w:before="50" w:line="252" w:lineRule="auto"/>
            </w:pPr>
            <w:r>
              <w:rPr>
                <w:sz w:val="17"/>
              </w:rPr>
              <w:t>1,66,250</w:t>
            </w:r>
          </w:p>
        </w:tc>
        <w:tc>
          <w:tcPr>
            <w:tcW w:type="dxa" w:w="2235"/>
          </w:tcPr>
          <w:p>
            <w:pPr>
              <w:spacing w:after="50" w:before="50" w:line="252" w:lineRule="auto"/>
            </w:pPr>
            <w:r>
              <w:rPr>
                <w:sz w:val="17"/>
              </w:rPr>
              <w:t>1,73,000</w:t>
            </w:r>
          </w:p>
        </w:tc>
        <w:tc>
          <w:tcPr>
            <w:tcW w:type="dxa" w:w="2179"/>
          </w:tcPr>
          <w:p>
            <w:pPr>
              <w:spacing w:after="50" w:before="50" w:line="252" w:lineRule="auto"/>
            </w:pPr>
            <w:r>
              <w:rPr>
                <w:b/>
                <w:sz w:val="17"/>
              </w:rPr>
              <w:t>(6,750)</w:t>
            </w:r>
          </w:p>
        </w:tc>
        <w:tc>
          <w:tcPr>
            <w:tcW w:type="dxa" w:w="1700"/>
          </w:tcPr>
          <w:p>
            <w:pPr>
              <w:spacing w:after="50" w:before="50" w:line="252" w:lineRule="auto"/>
            </w:pPr>
            <w:r>
              <w:rPr>
                <w:b/>
                <w:sz w:val="17"/>
              </w:rPr>
              <w:t>(4.1%)</w:t>
            </w:r>
          </w:p>
        </w:tc>
      </w:tr>
      <w:tr>
        <w:tc>
          <w:tcPr>
            <w:tcW w:type="dxa" w:w="1003"/>
            <w:shd w:val="clear" w:color="auto" w:fill="EAF1F4"/>
          </w:tcPr>
          <w:p>
            <w:pPr>
              <w:spacing w:after="50" w:before="50" w:line="252" w:lineRule="auto"/>
            </w:pPr>
            <w:r>
              <w:rPr>
                <w:sz w:val="17"/>
              </w:rPr>
              <w:t>30</w:t>
            </w:r>
          </w:p>
        </w:tc>
        <w:tc>
          <w:tcPr>
            <w:tcW w:type="dxa" w:w="2350"/>
            <w:shd w:val="clear" w:color="auto" w:fill="EAF1F4"/>
          </w:tcPr>
          <w:p>
            <w:pPr>
              <w:spacing w:after="50" w:before="50" w:line="252" w:lineRule="auto"/>
            </w:pPr>
            <w:r>
              <w:rPr>
                <w:sz w:val="17"/>
              </w:rPr>
              <w:t>1,99,500</w:t>
            </w:r>
          </w:p>
        </w:tc>
        <w:tc>
          <w:tcPr>
            <w:tcW w:type="dxa" w:w="2235"/>
            <w:shd w:val="clear" w:color="auto" w:fill="EAF1F4"/>
          </w:tcPr>
          <w:p>
            <w:pPr>
              <w:spacing w:after="50" w:before="50" w:line="252" w:lineRule="auto"/>
            </w:pPr>
            <w:r>
              <w:rPr>
                <w:sz w:val="17"/>
              </w:rPr>
              <w:t>1,77,600</w:t>
            </w:r>
          </w:p>
        </w:tc>
        <w:tc>
          <w:tcPr>
            <w:tcW w:type="dxa" w:w="2179"/>
            <w:shd w:val="clear" w:color="auto" w:fill="EAF1F4"/>
          </w:tcPr>
          <w:p>
            <w:pPr>
              <w:spacing w:after="50" w:before="50" w:line="252" w:lineRule="auto"/>
            </w:pPr>
            <w:r>
              <w:rPr>
                <w:sz w:val="17"/>
              </w:rPr>
              <w:t>21,900</w:t>
            </w:r>
          </w:p>
        </w:tc>
        <w:tc>
          <w:tcPr>
            <w:tcW w:type="dxa" w:w="1700"/>
            <w:shd w:val="clear" w:color="auto" w:fill="EAF1F4"/>
          </w:tcPr>
          <w:p>
            <w:pPr>
              <w:spacing w:after="50" w:before="50" w:line="252" w:lineRule="auto"/>
            </w:pPr>
            <w:r>
              <w:rPr>
                <w:sz w:val="17"/>
              </w:rPr>
              <w:t>11.0%</w:t>
            </w:r>
          </w:p>
        </w:tc>
      </w:tr>
      <w:tr>
        <w:tc>
          <w:tcPr>
            <w:tcW w:type="dxa" w:w="1003"/>
          </w:tcPr>
          <w:p>
            <w:pPr>
              <w:spacing w:after="50" w:before="50" w:line="252" w:lineRule="auto"/>
            </w:pPr>
            <w:r>
              <w:rPr>
                <w:sz w:val="17"/>
              </w:rPr>
              <w:t>35</w:t>
            </w:r>
          </w:p>
        </w:tc>
        <w:tc>
          <w:tcPr>
            <w:tcW w:type="dxa" w:w="2350"/>
          </w:tcPr>
          <w:p>
            <w:pPr>
              <w:spacing w:after="50" w:before="50" w:line="252" w:lineRule="auto"/>
            </w:pPr>
            <w:r>
              <w:rPr>
                <w:sz w:val="17"/>
              </w:rPr>
              <w:t>2,32,750</w:t>
            </w:r>
          </w:p>
        </w:tc>
        <w:tc>
          <w:tcPr>
            <w:tcW w:type="dxa" w:w="2235"/>
          </w:tcPr>
          <w:p>
            <w:pPr>
              <w:spacing w:after="50" w:before="50" w:line="252" w:lineRule="auto"/>
            </w:pPr>
            <w:r>
              <w:rPr>
                <w:sz w:val="17"/>
              </w:rPr>
              <w:t>1,82,200</w:t>
            </w:r>
          </w:p>
        </w:tc>
        <w:tc>
          <w:tcPr>
            <w:tcW w:type="dxa" w:w="2179"/>
          </w:tcPr>
          <w:p>
            <w:pPr>
              <w:spacing w:after="50" w:before="50" w:line="252" w:lineRule="auto"/>
            </w:pPr>
            <w:r>
              <w:rPr>
                <w:sz w:val="17"/>
              </w:rPr>
              <w:t>50,550</w:t>
            </w:r>
          </w:p>
        </w:tc>
        <w:tc>
          <w:tcPr>
            <w:tcW w:type="dxa" w:w="1700"/>
          </w:tcPr>
          <w:p>
            <w:pPr>
              <w:spacing w:after="50" w:before="50" w:line="252" w:lineRule="auto"/>
            </w:pPr>
            <w:r>
              <w:rPr>
                <w:sz w:val="17"/>
              </w:rPr>
              <w:t>21.7%</w:t>
            </w:r>
          </w:p>
        </w:tc>
      </w:tr>
      <w:tr>
        <w:tc>
          <w:tcPr>
            <w:tcW w:type="dxa" w:w="1003"/>
            <w:shd w:val="clear" w:color="auto" w:fill="EAF1F4"/>
          </w:tcPr>
          <w:p>
            <w:pPr>
              <w:spacing w:after="50" w:before="50" w:line="252" w:lineRule="auto"/>
            </w:pPr>
            <w:r>
              <w:rPr>
                <w:b/>
                <w:sz w:val="17"/>
              </w:rPr>
              <w:t>40</w:t>
            </w:r>
          </w:p>
        </w:tc>
        <w:tc>
          <w:tcPr>
            <w:tcW w:type="dxa" w:w="2350"/>
            <w:shd w:val="clear" w:color="auto" w:fill="EAF1F4"/>
          </w:tcPr>
          <w:p>
            <w:pPr>
              <w:spacing w:after="50" w:before="50" w:line="252" w:lineRule="auto"/>
            </w:pPr>
            <w:r>
              <w:rPr>
                <w:b/>
                <w:sz w:val="17"/>
              </w:rPr>
              <w:t>2,66,000</w:t>
            </w:r>
          </w:p>
        </w:tc>
        <w:tc>
          <w:tcPr>
            <w:tcW w:type="dxa" w:w="2235"/>
            <w:shd w:val="clear" w:color="auto" w:fill="EAF1F4"/>
          </w:tcPr>
          <w:p>
            <w:pPr>
              <w:spacing w:after="50" w:before="50" w:line="252" w:lineRule="auto"/>
            </w:pPr>
            <w:r>
              <w:rPr>
                <w:b/>
                <w:sz w:val="17"/>
              </w:rPr>
              <w:t>1,86,800</w:t>
            </w:r>
          </w:p>
        </w:tc>
        <w:tc>
          <w:tcPr>
            <w:tcW w:type="dxa" w:w="2179"/>
            <w:shd w:val="clear" w:color="auto" w:fill="EAF1F4"/>
          </w:tcPr>
          <w:p>
            <w:pPr>
              <w:spacing w:after="50" w:before="50" w:line="252" w:lineRule="auto"/>
            </w:pPr>
            <w:r>
              <w:rPr>
                <w:b/>
                <w:sz w:val="17"/>
              </w:rPr>
              <w:t>79,200</w:t>
            </w:r>
          </w:p>
        </w:tc>
        <w:tc>
          <w:tcPr>
            <w:tcW w:type="dxa" w:w="1700"/>
            <w:shd w:val="clear" w:color="auto" w:fill="EAF1F4"/>
          </w:tcPr>
          <w:p>
            <w:pPr>
              <w:spacing w:after="50" w:before="50" w:line="252" w:lineRule="auto"/>
            </w:pPr>
            <w:r>
              <w:rPr>
                <w:b/>
                <w:sz w:val="17"/>
              </w:rPr>
              <w:t>29.8%</w:t>
            </w:r>
          </w:p>
        </w:tc>
      </w:tr>
      <w:tr>
        <w:tc>
          <w:tcPr>
            <w:tcW w:type="dxa" w:w="1003"/>
          </w:tcPr>
          <w:p>
            <w:pPr>
              <w:spacing w:after="50" w:before="50" w:line="252" w:lineRule="auto"/>
            </w:pPr>
            <w:r>
              <w:rPr>
                <w:sz w:val="17"/>
              </w:rPr>
              <w:t>45</w:t>
            </w:r>
          </w:p>
        </w:tc>
        <w:tc>
          <w:tcPr>
            <w:tcW w:type="dxa" w:w="2350"/>
          </w:tcPr>
          <w:p>
            <w:pPr>
              <w:spacing w:after="50" w:before="50" w:line="252" w:lineRule="auto"/>
            </w:pPr>
            <w:r>
              <w:rPr>
                <w:sz w:val="17"/>
              </w:rPr>
              <w:t>2,99,250</w:t>
            </w:r>
          </w:p>
        </w:tc>
        <w:tc>
          <w:tcPr>
            <w:tcW w:type="dxa" w:w="2235"/>
          </w:tcPr>
          <w:p>
            <w:pPr>
              <w:spacing w:after="50" w:before="50" w:line="252" w:lineRule="auto"/>
            </w:pPr>
            <w:r>
              <w:rPr>
                <w:sz w:val="17"/>
              </w:rPr>
              <w:t>1,91,400</w:t>
            </w:r>
          </w:p>
        </w:tc>
        <w:tc>
          <w:tcPr>
            <w:tcW w:type="dxa" w:w="2179"/>
          </w:tcPr>
          <w:p>
            <w:pPr>
              <w:spacing w:after="50" w:before="50" w:line="252" w:lineRule="auto"/>
            </w:pPr>
            <w:r>
              <w:rPr>
                <w:sz w:val="17"/>
              </w:rPr>
              <w:t>1,07,850</w:t>
            </w:r>
          </w:p>
        </w:tc>
        <w:tc>
          <w:tcPr>
            <w:tcW w:type="dxa" w:w="1700"/>
          </w:tcPr>
          <w:p>
            <w:pPr>
              <w:spacing w:after="50" w:before="50" w:line="252" w:lineRule="auto"/>
            </w:pPr>
            <w:r>
              <w:rPr>
                <w:sz w:val="17"/>
              </w:rPr>
              <w:t>36.0%</w:t>
            </w:r>
          </w:p>
        </w:tc>
      </w:tr>
    </w:tbl>
    <w:p>
      <w:pPr>
        <w:spacing w:after="80" w:before="0"/>
      </w:pPr>
    </w:p>
    <w:p>
      <w:r>
        <w:rPr>
          <w:b/>
        </w:rPr>
        <w:t>Reading, and it matters.</w:t>
      </w:r>
      <w:r>
        <w:t xml:space="preserve"> </w:t>
      </w:r>
      <w:r>
        <w:rPr>
          <w:b/>
        </w:rPr>
        <w:t>At a cohort of 25 the programme loses money.</w:t>
      </w:r>
      <w:r>
        <w:t xml:space="preserve"> Fixed trainer cost of ₹1.13 lakh does not move with cohort size, so contribution is almost entirely a function of headcount. The minimum cohort of 25 in the rate card is a </w:t>
      </w:r>
      <w:r>
        <w:rPr>
          <w:i/>
        </w:rPr>
        <w:t>pedagogical</w:t>
      </w:r>
      <w:r>
        <w:t xml:space="preserve"> floor; the </w:t>
      </w:r>
      <w:r>
        <w:rPr>
          <w:i/>
        </w:rPr>
        <w:t>economic</w:t>
      </w:r>
      <w:r>
        <w:t xml:space="preserve"> floor is </w:t>
      </w:r>
      <w:r>
        <w:rPr>
          <w:b/>
        </w:rPr>
        <w:t>33</w:t>
      </w:r>
      <w:r>
        <w:t>. Where a cohort below 33 is unavoidable, either combine cohorts across institutions, price on the institution-paid model, or decline the delivery. Running a cohort of 25 at the partner rate is a decision to make a loss, and it should be taken consciously rather than by default at the day −7 checkpoint.</w:t>
      </w:r>
    </w:p>
    <w:p>
      <w:pPr>
        <w:pStyle w:val="Heading2"/>
      </w:pPr>
      <w:r>
        <w:t>2.4 T-FDP · Faculty Development Programme</w:t>
      </w:r>
    </w:p>
    <w:p>
      <w:r>
        <w:t>Five days, up to 30 faculty, institution-paid at list, outstation trainers assumed.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432"/>
            <w:shd w:val="clear" w:color="auto" w:fill="10375C"/>
          </w:tcPr>
          <w:p>
            <w:pPr>
              <w:spacing w:after="50" w:before="50"/>
            </w:pPr>
            <w:r>
              <w:rPr>
                <w:b/>
                <w:color w:val="FFFFFF"/>
                <w:sz w:val="17"/>
              </w:rPr>
              <w:t>Line</w:t>
            </w:r>
          </w:p>
        </w:tc>
        <w:tc>
          <w:tcPr>
            <w:tcW w:type="dxa" w:w="2288"/>
            <w:shd w:val="clear" w:color="auto" w:fill="10375C"/>
          </w:tcPr>
          <w:p>
            <w:pPr>
              <w:spacing w:after="50" w:before="50"/>
            </w:pPr>
            <w:r>
              <w:rPr>
                <w:b/>
                <w:color w:val="FFFFFF"/>
                <w:sz w:val="17"/>
              </w:rPr>
              <w:t>Computation</w:t>
            </w:r>
          </w:p>
        </w:tc>
        <w:tc>
          <w:tcPr>
            <w:tcW w:type="dxa" w:w="2747"/>
            <w:shd w:val="clear" w:color="auto" w:fill="10375C"/>
          </w:tcPr>
          <w:p>
            <w:pPr>
              <w:spacing w:after="50" w:before="50"/>
            </w:pPr>
            <w:r>
              <w:rPr>
                <w:b/>
                <w:color w:val="FFFFFF"/>
                <w:sz w:val="17"/>
              </w:rPr>
              <w:t>Amount</w:t>
            </w:r>
          </w:p>
        </w:tc>
      </w:tr>
      <w:tr>
        <w:tc>
          <w:tcPr>
            <w:tcW w:type="dxa" w:w="4432"/>
          </w:tcPr>
          <w:p>
            <w:pPr>
              <w:spacing w:after="50" w:before="50" w:line="252" w:lineRule="auto"/>
            </w:pPr>
            <w:r>
              <w:rPr>
                <w:sz w:val="17"/>
              </w:rPr>
              <w:t>Programme fee</w:t>
            </w:r>
          </w:p>
        </w:tc>
        <w:tc>
          <w:tcPr>
            <w:tcW w:type="dxa" w:w="2288"/>
          </w:tcPr>
          <w:p>
            <w:pPr>
              <w:spacing w:after="50" w:before="50" w:line="252" w:lineRule="auto"/>
            </w:pPr>
            <w:r>
              <w:rPr>
                <w:sz w:val="17"/>
              </w:rPr>
              <w:t>List</w:t>
            </w:r>
          </w:p>
        </w:tc>
        <w:tc>
          <w:tcPr>
            <w:tcW w:type="dxa" w:w="2747"/>
          </w:tcPr>
          <w:p>
            <w:pPr>
              <w:spacing w:after="50" w:before="50" w:line="252" w:lineRule="auto"/>
            </w:pPr>
            <w:r>
              <w:rPr>
                <w:sz w:val="17"/>
              </w:rPr>
              <w:t>3,50,000</w:t>
            </w:r>
          </w:p>
        </w:tc>
      </w:tr>
      <w:tr>
        <w:tc>
          <w:tcPr>
            <w:tcW w:type="dxa" w:w="4432"/>
            <w:shd w:val="clear" w:color="auto" w:fill="EAF1F4"/>
          </w:tcPr>
          <w:p>
            <w:pPr>
              <w:spacing w:after="50" w:before="50" w:line="252" w:lineRule="auto"/>
            </w:pPr>
            <w:r>
              <w:rPr>
                <w:sz w:val="17"/>
              </w:rPr>
              <w:t>Lead trainer</w:t>
            </w:r>
          </w:p>
        </w:tc>
        <w:tc>
          <w:tcPr>
            <w:tcW w:type="dxa" w:w="2288"/>
            <w:shd w:val="clear" w:color="auto" w:fill="EAF1F4"/>
          </w:tcPr>
          <w:p>
            <w:pPr>
              <w:spacing w:after="50" w:before="50" w:line="252" w:lineRule="auto"/>
            </w:pPr>
            <w:r>
              <w:rPr>
                <w:sz w:val="17"/>
              </w:rPr>
              <w:t>5 × 15,000</w:t>
            </w:r>
          </w:p>
        </w:tc>
        <w:tc>
          <w:tcPr>
            <w:tcW w:type="dxa" w:w="2747"/>
            <w:shd w:val="clear" w:color="auto" w:fill="EAF1F4"/>
          </w:tcPr>
          <w:p>
            <w:pPr>
              <w:spacing w:after="50" w:before="50" w:line="252" w:lineRule="auto"/>
            </w:pPr>
            <w:r>
              <w:rPr>
                <w:sz w:val="17"/>
              </w:rPr>
              <w:t>(75,000)</w:t>
            </w:r>
          </w:p>
        </w:tc>
      </w:tr>
      <w:tr>
        <w:tc>
          <w:tcPr>
            <w:tcW w:type="dxa" w:w="4432"/>
          </w:tcPr>
          <w:p>
            <w:pPr>
              <w:spacing w:after="50" w:before="50" w:line="252" w:lineRule="auto"/>
            </w:pPr>
            <w:r>
              <w:rPr>
                <w:sz w:val="17"/>
              </w:rPr>
              <w:t>Associate trainer</w:t>
            </w:r>
          </w:p>
        </w:tc>
        <w:tc>
          <w:tcPr>
            <w:tcW w:type="dxa" w:w="2288"/>
          </w:tcPr>
          <w:p>
            <w:pPr>
              <w:spacing w:after="50" w:before="50" w:line="252" w:lineRule="auto"/>
            </w:pPr>
            <w:r>
              <w:rPr>
                <w:sz w:val="17"/>
              </w:rPr>
              <w:t>5 × 7,500</w:t>
            </w:r>
          </w:p>
        </w:tc>
        <w:tc>
          <w:tcPr>
            <w:tcW w:type="dxa" w:w="2747"/>
          </w:tcPr>
          <w:p>
            <w:pPr>
              <w:spacing w:after="50" w:before="50" w:line="252" w:lineRule="auto"/>
            </w:pPr>
            <w:r>
              <w:rPr>
                <w:sz w:val="17"/>
              </w:rPr>
              <w:t>(37,500)</w:t>
            </w:r>
          </w:p>
        </w:tc>
      </w:tr>
      <w:tr>
        <w:tc>
          <w:tcPr>
            <w:tcW w:type="dxa" w:w="4432"/>
            <w:shd w:val="clear" w:color="auto" w:fill="EAF1F4"/>
          </w:tcPr>
          <w:p>
            <w:pPr>
              <w:spacing w:after="50" w:before="50" w:line="252" w:lineRule="auto"/>
            </w:pPr>
            <w:r>
              <w:rPr>
                <w:sz w:val="17"/>
              </w:rPr>
              <w:t>Materials</w:t>
            </w:r>
          </w:p>
        </w:tc>
        <w:tc>
          <w:tcPr>
            <w:tcW w:type="dxa" w:w="2288"/>
            <w:shd w:val="clear" w:color="auto" w:fill="EAF1F4"/>
          </w:tcPr>
          <w:p>
            <w:pPr>
              <w:spacing w:after="50" w:before="50" w:line="252" w:lineRule="auto"/>
            </w:pPr>
            <w:r>
              <w:rPr>
                <w:sz w:val="17"/>
              </w:rPr>
              <w:t>30 × 550</w:t>
            </w:r>
          </w:p>
        </w:tc>
        <w:tc>
          <w:tcPr>
            <w:tcW w:type="dxa" w:w="2747"/>
            <w:shd w:val="clear" w:color="auto" w:fill="EAF1F4"/>
          </w:tcPr>
          <w:p>
            <w:pPr>
              <w:spacing w:after="50" w:before="50" w:line="252" w:lineRule="auto"/>
            </w:pPr>
            <w:r>
              <w:rPr>
                <w:sz w:val="17"/>
              </w:rPr>
              <w:t>(16,500)</w:t>
            </w:r>
          </w:p>
        </w:tc>
      </w:tr>
      <w:tr>
        <w:tc>
          <w:tcPr>
            <w:tcW w:type="dxa" w:w="4432"/>
          </w:tcPr>
          <w:p>
            <w:pPr>
              <w:spacing w:after="50" w:before="50" w:line="252" w:lineRule="auto"/>
            </w:pPr>
            <w:r>
              <w:rPr>
                <w:sz w:val="17"/>
              </w:rPr>
              <w:t>Certificates</w:t>
            </w:r>
          </w:p>
        </w:tc>
        <w:tc>
          <w:tcPr>
            <w:tcW w:type="dxa" w:w="2288"/>
          </w:tcPr>
          <w:p>
            <w:pPr>
              <w:spacing w:after="50" w:before="50" w:line="252" w:lineRule="auto"/>
            </w:pPr>
            <w:r>
              <w:rPr>
                <w:sz w:val="17"/>
              </w:rPr>
              <w:t>30 × 120</w:t>
            </w:r>
          </w:p>
        </w:tc>
        <w:tc>
          <w:tcPr>
            <w:tcW w:type="dxa" w:w="2747"/>
          </w:tcPr>
          <w:p>
            <w:pPr>
              <w:spacing w:after="50" w:before="50" w:line="252" w:lineRule="auto"/>
            </w:pPr>
            <w:r>
              <w:rPr>
                <w:sz w:val="17"/>
              </w:rPr>
              <w:t>(3,600)</w:t>
            </w:r>
          </w:p>
        </w:tc>
      </w:tr>
      <w:tr>
        <w:tc>
          <w:tcPr>
            <w:tcW w:type="dxa" w:w="4432"/>
            <w:shd w:val="clear" w:color="auto" w:fill="EAF1F4"/>
          </w:tcPr>
          <w:p>
            <w:pPr>
              <w:spacing w:after="50" w:before="50" w:line="252" w:lineRule="auto"/>
            </w:pPr>
            <w:r>
              <w:rPr>
                <w:sz w:val="17"/>
              </w:rPr>
              <w:t>Travel</w:t>
            </w:r>
          </w:p>
        </w:tc>
        <w:tc>
          <w:tcPr>
            <w:tcW w:type="dxa" w:w="2288"/>
            <w:shd w:val="clear" w:color="auto" w:fill="EAF1F4"/>
          </w:tcPr>
          <w:p>
            <w:pPr>
              <w:spacing w:after="50" w:before="50" w:line="252" w:lineRule="auto"/>
            </w:pPr>
            <w:r>
              <w:rPr>
                <w:sz w:val="17"/>
              </w:rPr>
              <w:t>2 × 9,000</w:t>
            </w:r>
          </w:p>
        </w:tc>
        <w:tc>
          <w:tcPr>
            <w:tcW w:type="dxa" w:w="2747"/>
            <w:shd w:val="clear" w:color="auto" w:fill="EAF1F4"/>
          </w:tcPr>
          <w:p>
            <w:pPr>
              <w:spacing w:after="50" w:before="50" w:line="252" w:lineRule="auto"/>
            </w:pPr>
            <w:r>
              <w:rPr>
                <w:sz w:val="17"/>
              </w:rPr>
              <w:t>(18,000)</w:t>
            </w:r>
          </w:p>
        </w:tc>
      </w:tr>
      <w:tr>
        <w:tc>
          <w:tcPr>
            <w:tcW w:type="dxa" w:w="4432"/>
          </w:tcPr>
          <w:p>
            <w:pPr>
              <w:spacing w:after="50" w:before="50" w:line="252" w:lineRule="auto"/>
            </w:pPr>
            <w:r>
              <w:rPr>
                <w:sz w:val="17"/>
              </w:rPr>
              <w:t>Accommodation</w:t>
            </w:r>
          </w:p>
        </w:tc>
        <w:tc>
          <w:tcPr>
            <w:tcW w:type="dxa" w:w="2288"/>
          </w:tcPr>
          <w:p>
            <w:pPr>
              <w:spacing w:after="50" w:before="50" w:line="252" w:lineRule="auto"/>
            </w:pPr>
            <w:r>
              <w:rPr>
                <w:sz w:val="17"/>
              </w:rPr>
              <w:t>5 × 2 × 4,500</w:t>
            </w:r>
          </w:p>
        </w:tc>
        <w:tc>
          <w:tcPr>
            <w:tcW w:type="dxa" w:w="2747"/>
          </w:tcPr>
          <w:p>
            <w:pPr>
              <w:spacing w:after="50" w:before="50" w:line="252" w:lineRule="auto"/>
            </w:pPr>
            <w:r>
              <w:rPr>
                <w:sz w:val="17"/>
              </w:rPr>
              <w:t>(45,000)</w:t>
            </w:r>
          </w:p>
        </w:tc>
      </w:tr>
      <w:tr>
        <w:tc>
          <w:tcPr>
            <w:tcW w:type="dxa" w:w="4432"/>
            <w:shd w:val="clear" w:color="auto" w:fill="EAF1F4"/>
          </w:tcPr>
          <w:p>
            <w:pPr>
              <w:spacing w:after="50" w:before="50" w:line="252" w:lineRule="auto"/>
            </w:pPr>
            <w:r>
              <w:rPr>
                <w:sz w:val="17"/>
              </w:rPr>
              <w:t>Programme management</w:t>
            </w:r>
          </w:p>
        </w:tc>
        <w:tc>
          <w:tcPr>
            <w:tcW w:type="dxa" w:w="2288"/>
            <w:shd w:val="clear" w:color="auto" w:fill="EAF1F4"/>
          </w:tcPr>
          <w:p>
            <w:pPr>
              <w:spacing w:after="50" w:before="50" w:line="252" w:lineRule="auto"/>
            </w:pPr>
            <w:r>
              <w:rPr>
                <w:sz w:val="17"/>
              </w:rPr>
              <w:t>5 × 6,500</w:t>
            </w:r>
          </w:p>
        </w:tc>
        <w:tc>
          <w:tcPr>
            <w:tcW w:type="dxa" w:w="2747"/>
            <w:shd w:val="clear" w:color="auto" w:fill="EAF1F4"/>
          </w:tcPr>
          <w:p>
            <w:pPr>
              <w:spacing w:after="50" w:before="50" w:line="252" w:lineRule="auto"/>
            </w:pPr>
            <w:r>
              <w:rPr>
                <w:sz w:val="17"/>
              </w:rPr>
              <w:t>(32,500)</w:t>
            </w:r>
          </w:p>
        </w:tc>
      </w:tr>
      <w:tr>
        <w:tc>
          <w:tcPr>
            <w:tcW w:type="dxa" w:w="4432"/>
          </w:tcPr>
          <w:p>
            <w:pPr>
              <w:spacing w:after="50" w:before="50" w:line="252" w:lineRule="auto"/>
            </w:pPr>
            <w:r>
              <w:rPr>
                <w:b/>
                <w:sz w:val="17"/>
              </w:rPr>
              <w:t>Total direct cost</w:t>
            </w:r>
          </w:p>
        </w:tc>
        <w:tc>
          <w:tcPr>
            <w:tcW w:type="dxa" w:w="2288"/>
          </w:tcPr>
          <w:p>
            <w:pPr>
              <w:spacing w:after="50" w:before="50" w:line="252" w:lineRule="auto"/>
            </w:pPr>
          </w:p>
        </w:tc>
        <w:tc>
          <w:tcPr>
            <w:tcW w:type="dxa" w:w="2747"/>
          </w:tcPr>
          <w:p>
            <w:pPr>
              <w:spacing w:after="50" w:before="50" w:line="252" w:lineRule="auto"/>
            </w:pPr>
            <w:r>
              <w:rPr>
                <w:b/>
                <w:sz w:val="17"/>
              </w:rPr>
              <w:t>(2,28,100)</w:t>
            </w:r>
          </w:p>
        </w:tc>
      </w:tr>
      <w:tr>
        <w:tc>
          <w:tcPr>
            <w:tcW w:type="dxa" w:w="4432"/>
            <w:shd w:val="clear" w:color="auto" w:fill="EAF1F4"/>
          </w:tcPr>
          <w:p>
            <w:pPr>
              <w:spacing w:after="50" w:before="50" w:line="252" w:lineRule="auto"/>
            </w:pPr>
            <w:r>
              <w:rPr>
                <w:b/>
                <w:sz w:val="17"/>
              </w:rPr>
              <w:t>Contribution</w:t>
            </w:r>
          </w:p>
        </w:tc>
        <w:tc>
          <w:tcPr>
            <w:tcW w:type="dxa" w:w="2288"/>
            <w:shd w:val="clear" w:color="auto" w:fill="EAF1F4"/>
          </w:tcPr>
          <w:p>
            <w:pPr>
              <w:spacing w:after="50" w:before="50" w:line="252" w:lineRule="auto"/>
            </w:pPr>
          </w:p>
        </w:tc>
        <w:tc>
          <w:tcPr>
            <w:tcW w:type="dxa" w:w="2747"/>
            <w:shd w:val="clear" w:color="auto" w:fill="EAF1F4"/>
          </w:tcPr>
          <w:p>
            <w:pPr>
              <w:spacing w:after="50" w:before="50" w:line="252" w:lineRule="auto"/>
            </w:pPr>
            <w:r>
              <w:rPr>
                <w:b/>
                <w:sz w:val="17"/>
              </w:rPr>
              <w:t>1,21,900</w:t>
            </w:r>
          </w:p>
        </w:tc>
      </w:tr>
      <w:tr>
        <w:tc>
          <w:tcPr>
            <w:tcW w:type="dxa" w:w="4432"/>
          </w:tcPr>
          <w:p>
            <w:pPr>
              <w:spacing w:after="50" w:before="50" w:line="252" w:lineRule="auto"/>
            </w:pPr>
            <w:r>
              <w:rPr>
                <w:b/>
                <w:sz w:val="17"/>
              </w:rPr>
              <w:t>Contribution margin</w:t>
            </w:r>
          </w:p>
        </w:tc>
        <w:tc>
          <w:tcPr>
            <w:tcW w:type="dxa" w:w="2288"/>
          </w:tcPr>
          <w:p>
            <w:pPr>
              <w:spacing w:after="50" w:before="50" w:line="252" w:lineRule="auto"/>
            </w:pPr>
          </w:p>
        </w:tc>
        <w:tc>
          <w:tcPr>
            <w:tcW w:type="dxa" w:w="2747"/>
          </w:tcPr>
          <w:p>
            <w:pPr>
              <w:spacing w:after="50" w:before="50" w:line="252" w:lineRule="auto"/>
            </w:pPr>
            <w:r>
              <w:rPr>
                <w:b/>
                <w:sz w:val="17"/>
              </w:rPr>
              <w:t>34.8%</w:t>
            </w:r>
          </w:p>
        </w:tc>
      </w:tr>
    </w:tbl>
    <w:p>
      <w:pPr>
        <w:spacing w:after="80" w:before="0"/>
      </w:pPr>
    </w:p>
    <w:p>
      <w:r>
        <w:rPr>
          <w:b/>
        </w:rPr>
        <w:t>Note.</w:t>
      </w:r>
      <w:r>
        <w:t xml:space="preserve"> The institution-paid model absorbs travel comfortably. This is why it is the right first sale into a city where no bench yet exists.</w:t>
      </w:r>
    </w:p>
    <w:p>
      <w:pPr>
        <w:pStyle w:val="Heading2"/>
      </w:pPr>
      <w:r>
        <w:t>2.5 COACH-INTL · Coaching for an international competition</w:t>
      </w:r>
    </w:p>
    <w:p>
      <w:r>
        <w:t>Per team, per season, ten sessions of three hours.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050"/>
            <w:shd w:val="clear" w:color="auto" w:fill="10375C"/>
          </w:tcPr>
          <w:p>
            <w:pPr>
              <w:spacing w:after="50" w:before="50"/>
            </w:pPr>
            <w:r>
              <w:rPr>
                <w:b/>
                <w:color w:val="FFFFFF"/>
                <w:sz w:val="17"/>
              </w:rPr>
              <w:t>Line</w:t>
            </w:r>
          </w:p>
        </w:tc>
        <w:tc>
          <w:tcPr>
            <w:tcW w:type="dxa" w:w="2055"/>
            <w:shd w:val="clear" w:color="auto" w:fill="10375C"/>
          </w:tcPr>
          <w:p>
            <w:pPr>
              <w:spacing w:after="50" w:before="50"/>
            </w:pPr>
            <w:r>
              <w:rPr>
                <w:b/>
                <w:color w:val="FFFFFF"/>
                <w:sz w:val="17"/>
              </w:rPr>
              <w:t>Computation</w:t>
            </w:r>
          </w:p>
        </w:tc>
        <w:tc>
          <w:tcPr>
            <w:tcW w:type="dxa" w:w="2363"/>
            <w:shd w:val="clear" w:color="auto" w:fill="10375C"/>
          </w:tcPr>
          <w:p>
            <w:pPr>
              <w:spacing w:after="50" w:before="50"/>
            </w:pPr>
            <w:r>
              <w:rPr>
                <w:b/>
                <w:color w:val="FFFFFF"/>
                <w:sz w:val="17"/>
              </w:rPr>
              <w:t>Amount</w:t>
            </w:r>
          </w:p>
        </w:tc>
      </w:tr>
      <w:tr>
        <w:tc>
          <w:tcPr>
            <w:tcW w:type="dxa" w:w="5050"/>
          </w:tcPr>
          <w:p>
            <w:pPr>
              <w:spacing w:after="50" w:before="50" w:line="252" w:lineRule="auto"/>
            </w:pPr>
            <w:r>
              <w:rPr>
                <w:sz w:val="17"/>
              </w:rPr>
              <w:t>Fee</w:t>
            </w:r>
          </w:p>
        </w:tc>
        <w:tc>
          <w:tcPr>
            <w:tcW w:type="dxa" w:w="2055"/>
          </w:tcPr>
          <w:p>
            <w:pPr>
              <w:spacing w:after="50" w:before="50" w:line="252" w:lineRule="auto"/>
            </w:pPr>
            <w:r>
              <w:rPr>
                <w:sz w:val="17"/>
              </w:rPr>
              <w:t>List</w:t>
            </w:r>
          </w:p>
        </w:tc>
        <w:tc>
          <w:tcPr>
            <w:tcW w:type="dxa" w:w="2363"/>
          </w:tcPr>
          <w:p>
            <w:pPr>
              <w:spacing w:after="50" w:before="50" w:line="252" w:lineRule="auto"/>
            </w:pPr>
            <w:r>
              <w:rPr>
                <w:sz w:val="17"/>
              </w:rPr>
              <w:t>2,25,000</w:t>
            </w:r>
          </w:p>
        </w:tc>
      </w:tr>
      <w:tr>
        <w:tc>
          <w:tcPr>
            <w:tcW w:type="dxa" w:w="5050"/>
            <w:shd w:val="clear" w:color="auto" w:fill="EAF1F4"/>
          </w:tcPr>
          <w:p>
            <w:pPr>
              <w:spacing w:after="50" w:before="50" w:line="252" w:lineRule="auto"/>
            </w:pPr>
            <w:r>
              <w:rPr>
                <w:sz w:val="17"/>
              </w:rPr>
              <w:t>Coaching sessions</w:t>
            </w:r>
          </w:p>
        </w:tc>
        <w:tc>
          <w:tcPr>
            <w:tcW w:type="dxa" w:w="2055"/>
            <w:shd w:val="clear" w:color="auto" w:fill="EAF1F4"/>
          </w:tcPr>
          <w:p>
            <w:pPr>
              <w:spacing w:after="50" w:before="50" w:line="252" w:lineRule="auto"/>
            </w:pPr>
            <w:r>
              <w:rPr>
                <w:sz w:val="17"/>
              </w:rPr>
              <w:t>10 × 3 hrs × 2,000</w:t>
            </w:r>
          </w:p>
        </w:tc>
        <w:tc>
          <w:tcPr>
            <w:tcW w:type="dxa" w:w="2363"/>
            <w:shd w:val="clear" w:color="auto" w:fill="EAF1F4"/>
          </w:tcPr>
          <w:p>
            <w:pPr>
              <w:spacing w:after="50" w:before="50" w:line="252" w:lineRule="auto"/>
            </w:pPr>
            <w:r>
              <w:rPr>
                <w:sz w:val="17"/>
              </w:rPr>
              <w:t>(60,000)</w:t>
            </w:r>
          </w:p>
        </w:tc>
      </w:tr>
      <w:tr>
        <w:tc>
          <w:tcPr>
            <w:tcW w:type="dxa" w:w="5050"/>
          </w:tcPr>
          <w:p>
            <w:pPr>
              <w:spacing w:after="50" w:before="50" w:line="252" w:lineRule="auto"/>
            </w:pPr>
            <w:r>
              <w:rPr>
                <w:sz w:val="17"/>
              </w:rPr>
              <w:t>Mock session judges</w:t>
            </w:r>
          </w:p>
        </w:tc>
        <w:tc>
          <w:tcPr>
            <w:tcW w:type="dxa" w:w="2055"/>
          </w:tcPr>
          <w:p>
            <w:pPr>
              <w:spacing w:after="50" w:before="50" w:line="252" w:lineRule="auto"/>
            </w:pPr>
            <w:r>
              <w:rPr>
                <w:sz w:val="17"/>
              </w:rPr>
              <w:t>3 × 5,000</w:t>
            </w:r>
          </w:p>
        </w:tc>
        <w:tc>
          <w:tcPr>
            <w:tcW w:type="dxa" w:w="2363"/>
          </w:tcPr>
          <w:p>
            <w:pPr>
              <w:spacing w:after="50" w:before="50" w:line="252" w:lineRule="auto"/>
            </w:pPr>
            <w:r>
              <w:rPr>
                <w:sz w:val="17"/>
              </w:rPr>
              <w:t>(15,000)</w:t>
            </w:r>
          </w:p>
        </w:tc>
      </w:tr>
      <w:tr>
        <w:tc>
          <w:tcPr>
            <w:tcW w:type="dxa" w:w="5050"/>
            <w:shd w:val="clear" w:color="auto" w:fill="EAF1F4"/>
          </w:tcPr>
          <w:p>
            <w:pPr>
              <w:spacing w:after="50" w:before="50" w:line="252" w:lineRule="auto"/>
            </w:pPr>
            <w:r>
              <w:rPr>
                <w:sz w:val="17"/>
              </w:rPr>
              <w:t>Materials and problem analysis</w:t>
            </w:r>
          </w:p>
        </w:tc>
        <w:tc>
          <w:tcPr>
            <w:tcW w:type="dxa" w:w="2055"/>
            <w:shd w:val="clear" w:color="auto" w:fill="EAF1F4"/>
          </w:tcPr>
          <w:p>
            <w:pPr>
              <w:spacing w:after="50" w:before="50" w:line="252" w:lineRule="auto"/>
            </w:pPr>
            <w:r>
              <w:rPr>
                <w:sz w:val="17"/>
              </w:rPr>
              <w:t>—</w:t>
            </w:r>
          </w:p>
        </w:tc>
        <w:tc>
          <w:tcPr>
            <w:tcW w:type="dxa" w:w="2363"/>
            <w:shd w:val="clear" w:color="auto" w:fill="EAF1F4"/>
          </w:tcPr>
          <w:p>
            <w:pPr>
              <w:spacing w:after="50" w:before="50" w:line="252" w:lineRule="auto"/>
            </w:pPr>
            <w:r>
              <w:rPr>
                <w:sz w:val="17"/>
              </w:rPr>
              <w:t>(5,000)</w:t>
            </w:r>
          </w:p>
        </w:tc>
      </w:tr>
      <w:tr>
        <w:tc>
          <w:tcPr>
            <w:tcW w:type="dxa" w:w="5050"/>
          </w:tcPr>
          <w:p>
            <w:pPr>
              <w:spacing w:after="50" w:before="50" w:line="252" w:lineRule="auto"/>
            </w:pPr>
            <w:r>
              <w:rPr>
                <w:sz w:val="17"/>
              </w:rPr>
              <w:t>Programme management</w:t>
            </w:r>
          </w:p>
        </w:tc>
        <w:tc>
          <w:tcPr>
            <w:tcW w:type="dxa" w:w="2055"/>
          </w:tcPr>
          <w:p>
            <w:pPr>
              <w:spacing w:after="50" w:before="50" w:line="252" w:lineRule="auto"/>
            </w:pPr>
            <w:r>
              <w:rPr>
                <w:sz w:val="17"/>
              </w:rPr>
              <w:t>—</w:t>
            </w:r>
          </w:p>
        </w:tc>
        <w:tc>
          <w:tcPr>
            <w:tcW w:type="dxa" w:w="2363"/>
          </w:tcPr>
          <w:p>
            <w:pPr>
              <w:spacing w:after="50" w:before="50" w:line="252" w:lineRule="auto"/>
            </w:pPr>
            <w:r>
              <w:rPr>
                <w:sz w:val="17"/>
              </w:rPr>
              <w:t>(15,000)</w:t>
            </w:r>
          </w:p>
        </w:tc>
      </w:tr>
      <w:tr>
        <w:tc>
          <w:tcPr>
            <w:tcW w:type="dxa" w:w="5050"/>
            <w:shd w:val="clear" w:color="auto" w:fill="EAF1F4"/>
          </w:tcPr>
          <w:p>
            <w:pPr>
              <w:spacing w:after="50" w:before="50" w:line="252" w:lineRule="auto"/>
            </w:pPr>
            <w:r>
              <w:rPr>
                <w:b/>
                <w:sz w:val="17"/>
              </w:rPr>
              <w:t>Total direct cost</w:t>
            </w:r>
          </w:p>
        </w:tc>
        <w:tc>
          <w:tcPr>
            <w:tcW w:type="dxa" w:w="2055"/>
            <w:shd w:val="clear" w:color="auto" w:fill="EAF1F4"/>
          </w:tcPr>
          <w:p>
            <w:pPr>
              <w:spacing w:after="50" w:before="50" w:line="252" w:lineRule="auto"/>
            </w:pPr>
          </w:p>
        </w:tc>
        <w:tc>
          <w:tcPr>
            <w:tcW w:type="dxa" w:w="2363"/>
            <w:shd w:val="clear" w:color="auto" w:fill="EAF1F4"/>
          </w:tcPr>
          <w:p>
            <w:pPr>
              <w:spacing w:after="50" w:before="50" w:line="252" w:lineRule="auto"/>
            </w:pPr>
            <w:r>
              <w:rPr>
                <w:b/>
                <w:sz w:val="17"/>
              </w:rPr>
              <w:t>(95,000)</w:t>
            </w:r>
          </w:p>
        </w:tc>
      </w:tr>
      <w:tr>
        <w:tc>
          <w:tcPr>
            <w:tcW w:type="dxa" w:w="5050"/>
          </w:tcPr>
          <w:p>
            <w:pPr>
              <w:spacing w:after="50" w:before="50" w:line="252" w:lineRule="auto"/>
            </w:pPr>
            <w:r>
              <w:rPr>
                <w:b/>
                <w:sz w:val="17"/>
              </w:rPr>
              <w:t>Contribution</w:t>
            </w:r>
          </w:p>
        </w:tc>
        <w:tc>
          <w:tcPr>
            <w:tcW w:type="dxa" w:w="2055"/>
          </w:tcPr>
          <w:p>
            <w:pPr>
              <w:spacing w:after="50" w:before="50" w:line="252" w:lineRule="auto"/>
            </w:pPr>
          </w:p>
        </w:tc>
        <w:tc>
          <w:tcPr>
            <w:tcW w:type="dxa" w:w="2363"/>
          </w:tcPr>
          <w:p>
            <w:pPr>
              <w:spacing w:after="50" w:before="50" w:line="252" w:lineRule="auto"/>
            </w:pPr>
            <w:r>
              <w:rPr>
                <w:b/>
                <w:sz w:val="17"/>
              </w:rPr>
              <w:t>1,30,000</w:t>
            </w:r>
          </w:p>
        </w:tc>
      </w:tr>
      <w:tr>
        <w:tc>
          <w:tcPr>
            <w:tcW w:type="dxa" w:w="5050"/>
            <w:shd w:val="clear" w:color="auto" w:fill="EAF1F4"/>
          </w:tcPr>
          <w:p>
            <w:pPr>
              <w:spacing w:after="50" w:before="50" w:line="252" w:lineRule="auto"/>
            </w:pPr>
            <w:r>
              <w:rPr>
                <w:b/>
                <w:sz w:val="17"/>
              </w:rPr>
              <w:t>Contribution margin</w:t>
            </w:r>
          </w:p>
        </w:tc>
        <w:tc>
          <w:tcPr>
            <w:tcW w:type="dxa" w:w="2055"/>
            <w:shd w:val="clear" w:color="auto" w:fill="EAF1F4"/>
          </w:tcPr>
          <w:p>
            <w:pPr>
              <w:spacing w:after="50" w:before="50" w:line="252" w:lineRule="auto"/>
            </w:pPr>
          </w:p>
        </w:tc>
        <w:tc>
          <w:tcPr>
            <w:tcW w:type="dxa" w:w="2363"/>
            <w:shd w:val="clear" w:color="auto" w:fill="EAF1F4"/>
          </w:tcPr>
          <w:p>
            <w:pPr>
              <w:spacing w:after="50" w:before="50" w:line="252" w:lineRule="auto"/>
            </w:pPr>
            <w:r>
              <w:rPr>
                <w:b/>
                <w:sz w:val="17"/>
              </w:rPr>
              <w:t>57.8%</w:t>
            </w:r>
          </w:p>
        </w:tc>
      </w:tr>
    </w:tbl>
    <w:p>
      <w:pPr>
        <w:spacing w:after="80" w:before="0"/>
      </w:pPr>
    </w:p>
    <w:p>
      <w:r>
        <w:rPr>
          <w:b/>
        </w:rPr>
        <w:t>The highest-margin delivered service in the portfolio, and the least contested.</w:t>
      </w:r>
      <w:r>
        <w:t xml:space="preserve"> Institutions want to enter the major international competitions and have almost nobody qualified to coach them. Coaching is deliverable largely online, which eliminates travel, and one coach can hold several engagements in a season. This line should be sold into every Tier 1 and Tier 2 partnership.</w:t>
      </w:r>
    </w:p>
    <w:p>
      <w:pPr>
        <w:pStyle w:val="Heading2"/>
      </w:pPr>
      <w:r>
        <w:t>2.6 ADV-A · Institutional advisory retainer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941"/>
            <w:shd w:val="clear" w:color="auto" w:fill="10375C"/>
          </w:tcPr>
          <w:p>
            <w:pPr>
              <w:spacing w:after="50" w:before="50"/>
            </w:pPr>
            <w:r>
              <w:rPr>
                <w:b/>
                <w:color w:val="FFFFFF"/>
                <w:sz w:val="17"/>
              </w:rPr>
              <w:t>Line</w:t>
            </w:r>
          </w:p>
        </w:tc>
        <w:tc>
          <w:tcPr>
            <w:tcW w:type="dxa" w:w="1964"/>
            <w:shd w:val="clear" w:color="auto" w:fill="10375C"/>
          </w:tcPr>
          <w:p>
            <w:pPr>
              <w:spacing w:after="50" w:before="50"/>
            </w:pPr>
            <w:r>
              <w:rPr>
                <w:b/>
                <w:color w:val="FFFFFF"/>
                <w:sz w:val="17"/>
              </w:rPr>
              <w:t>Computation</w:t>
            </w:r>
          </w:p>
        </w:tc>
        <w:tc>
          <w:tcPr>
            <w:tcW w:type="dxa" w:w="2563"/>
            <w:shd w:val="clear" w:color="auto" w:fill="10375C"/>
          </w:tcPr>
          <w:p>
            <w:pPr>
              <w:spacing w:after="50" w:before="50"/>
            </w:pPr>
            <w:r>
              <w:rPr>
                <w:b/>
                <w:color w:val="FFFFFF"/>
                <w:sz w:val="17"/>
              </w:rPr>
              <w:t>Amount</w:t>
            </w:r>
          </w:p>
        </w:tc>
      </w:tr>
      <w:tr>
        <w:tc>
          <w:tcPr>
            <w:tcW w:type="dxa" w:w="4941"/>
          </w:tcPr>
          <w:p>
            <w:pPr>
              <w:spacing w:after="50" w:before="50" w:line="252" w:lineRule="auto"/>
            </w:pPr>
            <w:r>
              <w:rPr>
                <w:sz w:val="17"/>
              </w:rPr>
              <w:t>Retainer</w:t>
            </w:r>
          </w:p>
        </w:tc>
        <w:tc>
          <w:tcPr>
            <w:tcW w:type="dxa" w:w="1964"/>
          </w:tcPr>
          <w:p>
            <w:pPr>
              <w:spacing w:after="50" w:before="50" w:line="252" w:lineRule="auto"/>
            </w:pPr>
            <w:r>
              <w:rPr>
                <w:sz w:val="17"/>
              </w:rPr>
              <w:t>Per annum</w:t>
            </w:r>
          </w:p>
        </w:tc>
        <w:tc>
          <w:tcPr>
            <w:tcW w:type="dxa" w:w="2563"/>
          </w:tcPr>
          <w:p>
            <w:pPr>
              <w:spacing w:after="50" w:before="50" w:line="252" w:lineRule="auto"/>
            </w:pPr>
            <w:r>
              <w:rPr>
                <w:sz w:val="17"/>
              </w:rPr>
              <w:t>3,60,000</w:t>
            </w:r>
          </w:p>
        </w:tc>
      </w:tr>
      <w:tr>
        <w:tc>
          <w:tcPr>
            <w:tcW w:type="dxa" w:w="4941"/>
            <w:shd w:val="clear" w:color="auto" w:fill="EAF1F4"/>
          </w:tcPr>
          <w:p>
            <w:pPr>
              <w:spacing w:after="50" w:before="50" w:line="252" w:lineRule="auto"/>
            </w:pPr>
            <w:r>
              <w:rPr>
                <w:sz w:val="17"/>
              </w:rPr>
              <w:t>Senior consultant time</w:t>
            </w:r>
          </w:p>
        </w:tc>
        <w:tc>
          <w:tcPr>
            <w:tcW w:type="dxa" w:w="1964"/>
            <w:shd w:val="clear" w:color="auto" w:fill="EAF1F4"/>
          </w:tcPr>
          <w:p>
            <w:pPr>
              <w:spacing w:after="50" w:before="50" w:line="252" w:lineRule="auto"/>
            </w:pPr>
            <w:r>
              <w:rPr>
                <w:sz w:val="17"/>
              </w:rPr>
              <w:t>12 days × 15,000</w:t>
            </w:r>
          </w:p>
        </w:tc>
        <w:tc>
          <w:tcPr>
            <w:tcW w:type="dxa" w:w="2563"/>
            <w:shd w:val="clear" w:color="auto" w:fill="EAF1F4"/>
          </w:tcPr>
          <w:p>
            <w:pPr>
              <w:spacing w:after="50" w:before="50" w:line="252" w:lineRule="auto"/>
            </w:pPr>
            <w:r>
              <w:rPr>
                <w:sz w:val="17"/>
              </w:rPr>
              <w:t>(1,80,000)</w:t>
            </w:r>
          </w:p>
        </w:tc>
      </w:tr>
      <w:tr>
        <w:tc>
          <w:tcPr>
            <w:tcW w:type="dxa" w:w="4941"/>
          </w:tcPr>
          <w:p>
            <w:pPr>
              <w:spacing w:after="50" w:before="50" w:line="252" w:lineRule="auto"/>
            </w:pPr>
            <w:r>
              <w:rPr>
                <w:sz w:val="17"/>
              </w:rPr>
              <w:t>Travel, four visits</w:t>
            </w:r>
          </w:p>
        </w:tc>
        <w:tc>
          <w:tcPr>
            <w:tcW w:type="dxa" w:w="1964"/>
          </w:tcPr>
          <w:p>
            <w:pPr>
              <w:spacing w:after="50" w:before="50" w:line="252" w:lineRule="auto"/>
            </w:pPr>
            <w:r>
              <w:rPr>
                <w:sz w:val="17"/>
              </w:rPr>
              <w:t>4 × 9,000</w:t>
            </w:r>
          </w:p>
        </w:tc>
        <w:tc>
          <w:tcPr>
            <w:tcW w:type="dxa" w:w="2563"/>
          </w:tcPr>
          <w:p>
            <w:pPr>
              <w:spacing w:after="50" w:before="50" w:line="252" w:lineRule="auto"/>
            </w:pPr>
            <w:r>
              <w:rPr>
                <w:sz w:val="17"/>
              </w:rPr>
              <w:t>(36,000)</w:t>
            </w:r>
          </w:p>
        </w:tc>
      </w:tr>
      <w:tr>
        <w:tc>
          <w:tcPr>
            <w:tcW w:type="dxa" w:w="4941"/>
            <w:shd w:val="clear" w:color="auto" w:fill="EAF1F4"/>
          </w:tcPr>
          <w:p>
            <w:pPr>
              <w:spacing w:after="50" w:before="50" w:line="252" w:lineRule="auto"/>
            </w:pPr>
            <w:r>
              <w:rPr>
                <w:sz w:val="17"/>
              </w:rPr>
              <w:t>Documentation and materials</w:t>
            </w:r>
          </w:p>
        </w:tc>
        <w:tc>
          <w:tcPr>
            <w:tcW w:type="dxa" w:w="1964"/>
            <w:shd w:val="clear" w:color="auto" w:fill="EAF1F4"/>
          </w:tcPr>
          <w:p>
            <w:pPr>
              <w:spacing w:after="50" w:before="50" w:line="252" w:lineRule="auto"/>
            </w:pPr>
            <w:r>
              <w:rPr>
                <w:sz w:val="17"/>
              </w:rPr>
              <w:t>—</w:t>
            </w:r>
          </w:p>
        </w:tc>
        <w:tc>
          <w:tcPr>
            <w:tcW w:type="dxa" w:w="2563"/>
            <w:shd w:val="clear" w:color="auto" w:fill="EAF1F4"/>
          </w:tcPr>
          <w:p>
            <w:pPr>
              <w:spacing w:after="50" w:before="50" w:line="252" w:lineRule="auto"/>
            </w:pPr>
            <w:r>
              <w:rPr>
                <w:sz w:val="17"/>
              </w:rPr>
              <w:t>(14,000)</w:t>
            </w:r>
          </w:p>
        </w:tc>
      </w:tr>
      <w:tr>
        <w:tc>
          <w:tcPr>
            <w:tcW w:type="dxa" w:w="4941"/>
          </w:tcPr>
          <w:p>
            <w:pPr>
              <w:spacing w:after="50" w:before="50" w:line="252" w:lineRule="auto"/>
            </w:pPr>
            <w:r>
              <w:rPr>
                <w:sz w:val="17"/>
              </w:rPr>
              <w:t>Programme management</w:t>
            </w:r>
          </w:p>
        </w:tc>
        <w:tc>
          <w:tcPr>
            <w:tcW w:type="dxa" w:w="1964"/>
          </w:tcPr>
          <w:p>
            <w:pPr>
              <w:spacing w:after="50" w:before="50" w:line="252" w:lineRule="auto"/>
            </w:pPr>
            <w:r>
              <w:rPr>
                <w:sz w:val="17"/>
              </w:rPr>
              <w:t>—</w:t>
            </w:r>
          </w:p>
        </w:tc>
        <w:tc>
          <w:tcPr>
            <w:tcW w:type="dxa" w:w="2563"/>
          </w:tcPr>
          <w:p>
            <w:pPr>
              <w:spacing w:after="50" w:before="50" w:line="252" w:lineRule="auto"/>
            </w:pPr>
            <w:r>
              <w:rPr>
                <w:sz w:val="17"/>
              </w:rPr>
              <w:t>(16,000)</w:t>
            </w:r>
          </w:p>
        </w:tc>
      </w:tr>
      <w:tr>
        <w:tc>
          <w:tcPr>
            <w:tcW w:type="dxa" w:w="4941"/>
            <w:shd w:val="clear" w:color="auto" w:fill="EAF1F4"/>
          </w:tcPr>
          <w:p>
            <w:pPr>
              <w:spacing w:after="50" w:before="50" w:line="252" w:lineRule="auto"/>
            </w:pPr>
            <w:r>
              <w:rPr>
                <w:b/>
                <w:sz w:val="17"/>
              </w:rPr>
              <w:t>Total direct cost</w:t>
            </w:r>
          </w:p>
        </w:tc>
        <w:tc>
          <w:tcPr>
            <w:tcW w:type="dxa" w:w="1964"/>
            <w:shd w:val="clear" w:color="auto" w:fill="EAF1F4"/>
          </w:tcPr>
          <w:p>
            <w:pPr>
              <w:spacing w:after="50" w:before="50" w:line="252" w:lineRule="auto"/>
            </w:pPr>
          </w:p>
        </w:tc>
        <w:tc>
          <w:tcPr>
            <w:tcW w:type="dxa" w:w="2563"/>
            <w:shd w:val="clear" w:color="auto" w:fill="EAF1F4"/>
          </w:tcPr>
          <w:p>
            <w:pPr>
              <w:spacing w:after="50" w:before="50" w:line="252" w:lineRule="auto"/>
            </w:pPr>
            <w:r>
              <w:rPr>
                <w:b/>
                <w:sz w:val="17"/>
              </w:rPr>
              <w:t>(2,46,000)</w:t>
            </w:r>
          </w:p>
        </w:tc>
      </w:tr>
      <w:tr>
        <w:tc>
          <w:tcPr>
            <w:tcW w:type="dxa" w:w="4941"/>
          </w:tcPr>
          <w:p>
            <w:pPr>
              <w:spacing w:after="50" w:before="50" w:line="252" w:lineRule="auto"/>
            </w:pPr>
            <w:r>
              <w:rPr>
                <w:b/>
                <w:sz w:val="17"/>
              </w:rPr>
              <w:t>Contribution</w:t>
            </w:r>
          </w:p>
        </w:tc>
        <w:tc>
          <w:tcPr>
            <w:tcW w:type="dxa" w:w="1964"/>
          </w:tcPr>
          <w:p>
            <w:pPr>
              <w:spacing w:after="50" w:before="50" w:line="252" w:lineRule="auto"/>
            </w:pPr>
          </w:p>
        </w:tc>
        <w:tc>
          <w:tcPr>
            <w:tcW w:type="dxa" w:w="2563"/>
          </w:tcPr>
          <w:p>
            <w:pPr>
              <w:spacing w:after="50" w:before="50" w:line="252" w:lineRule="auto"/>
            </w:pPr>
            <w:r>
              <w:rPr>
                <w:b/>
                <w:sz w:val="17"/>
              </w:rPr>
              <w:t>1,14,000</w:t>
            </w:r>
          </w:p>
        </w:tc>
      </w:tr>
      <w:tr>
        <w:tc>
          <w:tcPr>
            <w:tcW w:type="dxa" w:w="4941"/>
            <w:shd w:val="clear" w:color="auto" w:fill="EAF1F4"/>
          </w:tcPr>
          <w:p>
            <w:pPr>
              <w:spacing w:after="50" w:before="50" w:line="252" w:lineRule="auto"/>
            </w:pPr>
            <w:r>
              <w:rPr>
                <w:b/>
                <w:sz w:val="17"/>
              </w:rPr>
              <w:t>Contribution margin</w:t>
            </w:r>
          </w:p>
        </w:tc>
        <w:tc>
          <w:tcPr>
            <w:tcW w:type="dxa" w:w="1964"/>
            <w:shd w:val="clear" w:color="auto" w:fill="EAF1F4"/>
          </w:tcPr>
          <w:p>
            <w:pPr>
              <w:spacing w:after="50" w:before="50" w:line="252" w:lineRule="auto"/>
            </w:pPr>
          </w:p>
        </w:tc>
        <w:tc>
          <w:tcPr>
            <w:tcW w:type="dxa" w:w="2563"/>
            <w:shd w:val="clear" w:color="auto" w:fill="EAF1F4"/>
          </w:tcPr>
          <w:p>
            <w:pPr>
              <w:spacing w:after="50" w:before="50" w:line="252" w:lineRule="auto"/>
            </w:pPr>
            <w:r>
              <w:rPr>
                <w:b/>
                <w:sz w:val="17"/>
              </w:rPr>
              <w:t>31.7%</w:t>
            </w:r>
          </w:p>
        </w:tc>
      </w:tr>
    </w:tbl>
    <w:p>
      <w:pPr>
        <w:spacing w:after="80" w:before="0"/>
      </w:pPr>
    </w:p>
    <w:p>
      <w:r>
        <w:rPr>
          <w:b/>
        </w:rPr>
        <w:t>Why this line matters disproportionately.</w:t>
      </w:r>
      <w:r>
        <w:t xml:space="preserve"> It is an annuity, it is not seasonal, it does not depend on student enrolment, it renews with low effort, and the obligation it discharges is statutory and therefore durable. It converts a university from a partner into a client. Every institution in India is subject to the grievance-redressal mandate; almost none is well resourced for it.</w:t>
      </w:r>
    </w:p>
    <w:p>
      <w:pPr>
        <w:pStyle w:val="Heading2"/>
      </w:pPr>
      <w:r>
        <w:t>2.7 LIC-CURR · Curriculum licence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242"/>
            <w:shd w:val="clear" w:color="auto" w:fill="10375C"/>
          </w:tcPr>
          <w:p>
            <w:pPr>
              <w:spacing w:after="50" w:before="50"/>
            </w:pPr>
            <w:r>
              <w:rPr>
                <w:b/>
                <w:color w:val="FFFFFF"/>
                <w:sz w:val="17"/>
              </w:rPr>
              <w:t>Line</w:t>
            </w:r>
          </w:p>
        </w:tc>
        <w:tc>
          <w:tcPr>
            <w:tcW w:type="dxa" w:w="2226"/>
            <w:shd w:val="clear" w:color="auto" w:fill="10375C"/>
          </w:tcPr>
          <w:p>
            <w:pPr>
              <w:spacing w:after="50" w:before="50"/>
            </w:pPr>
            <w:r>
              <w:rPr>
                <w:b/>
                <w:color w:val="FFFFFF"/>
                <w:sz w:val="17"/>
              </w:rPr>
              <w:t>Amount</w:t>
            </w:r>
          </w:p>
        </w:tc>
      </w:tr>
      <w:tr>
        <w:tc>
          <w:tcPr>
            <w:tcW w:type="dxa" w:w="7242"/>
          </w:tcPr>
          <w:p>
            <w:pPr>
              <w:spacing w:after="50" w:before="50" w:line="252" w:lineRule="auto"/>
            </w:pPr>
            <w:r>
              <w:rPr>
                <w:sz w:val="17"/>
              </w:rPr>
              <w:t>Licence fee, per annum</w:t>
            </w:r>
          </w:p>
        </w:tc>
        <w:tc>
          <w:tcPr>
            <w:tcW w:type="dxa" w:w="2226"/>
          </w:tcPr>
          <w:p>
            <w:pPr>
              <w:spacing w:after="50" w:before="50" w:line="252" w:lineRule="auto"/>
            </w:pPr>
            <w:r>
              <w:rPr>
                <w:sz w:val="17"/>
              </w:rPr>
              <w:t>1,25,000</w:t>
            </w:r>
          </w:p>
        </w:tc>
      </w:tr>
      <w:tr>
        <w:tc>
          <w:tcPr>
            <w:tcW w:type="dxa" w:w="7242"/>
            <w:shd w:val="clear" w:color="auto" w:fill="EAF1F4"/>
          </w:tcPr>
          <w:p>
            <w:pPr>
              <w:spacing w:after="50" w:before="50" w:line="252" w:lineRule="auto"/>
            </w:pPr>
            <w:r>
              <w:rPr>
                <w:sz w:val="17"/>
              </w:rPr>
              <w:t>Annual curriculum update and version control</w:t>
            </w:r>
          </w:p>
        </w:tc>
        <w:tc>
          <w:tcPr>
            <w:tcW w:type="dxa" w:w="2226"/>
            <w:shd w:val="clear" w:color="auto" w:fill="EAF1F4"/>
          </w:tcPr>
          <w:p>
            <w:pPr>
              <w:spacing w:after="50" w:before="50" w:line="252" w:lineRule="auto"/>
            </w:pPr>
            <w:r>
              <w:rPr>
                <w:sz w:val="17"/>
              </w:rPr>
              <w:t>(9,000)</w:t>
            </w:r>
          </w:p>
        </w:tc>
      </w:tr>
      <w:tr>
        <w:tc>
          <w:tcPr>
            <w:tcW w:type="dxa" w:w="7242"/>
          </w:tcPr>
          <w:p>
            <w:pPr>
              <w:spacing w:after="50" w:before="50" w:line="252" w:lineRule="auto"/>
            </w:pPr>
            <w:r>
              <w:rPr>
                <w:sz w:val="17"/>
              </w:rPr>
              <w:t>Administration and compliance monitoring</w:t>
            </w:r>
          </w:p>
        </w:tc>
        <w:tc>
          <w:tcPr>
            <w:tcW w:type="dxa" w:w="2226"/>
          </w:tcPr>
          <w:p>
            <w:pPr>
              <w:spacing w:after="50" w:before="50" w:line="252" w:lineRule="auto"/>
            </w:pPr>
            <w:r>
              <w:rPr>
                <w:sz w:val="17"/>
              </w:rPr>
              <w:t>(6,000)</w:t>
            </w:r>
          </w:p>
        </w:tc>
      </w:tr>
      <w:tr>
        <w:tc>
          <w:tcPr>
            <w:tcW w:type="dxa" w:w="7242"/>
            <w:shd w:val="clear" w:color="auto" w:fill="EAF1F4"/>
          </w:tcPr>
          <w:p>
            <w:pPr>
              <w:spacing w:after="50" w:before="50" w:line="252" w:lineRule="auto"/>
            </w:pPr>
            <w:r>
              <w:rPr>
                <w:b/>
                <w:sz w:val="17"/>
              </w:rPr>
              <w:t>Contribution</w:t>
            </w:r>
          </w:p>
        </w:tc>
        <w:tc>
          <w:tcPr>
            <w:tcW w:type="dxa" w:w="2226"/>
            <w:shd w:val="clear" w:color="auto" w:fill="EAF1F4"/>
          </w:tcPr>
          <w:p>
            <w:pPr>
              <w:spacing w:after="50" w:before="50" w:line="252" w:lineRule="auto"/>
            </w:pPr>
            <w:r>
              <w:rPr>
                <w:b/>
                <w:sz w:val="17"/>
              </w:rPr>
              <w:t>1,10,000</w:t>
            </w:r>
          </w:p>
        </w:tc>
      </w:tr>
      <w:tr>
        <w:tc>
          <w:tcPr>
            <w:tcW w:type="dxa" w:w="7242"/>
          </w:tcPr>
          <w:p>
            <w:pPr>
              <w:spacing w:after="50" w:before="50" w:line="252" w:lineRule="auto"/>
            </w:pPr>
            <w:r>
              <w:rPr>
                <w:b/>
                <w:sz w:val="17"/>
              </w:rPr>
              <w:t>Contribution margin</w:t>
            </w:r>
          </w:p>
        </w:tc>
        <w:tc>
          <w:tcPr>
            <w:tcW w:type="dxa" w:w="2226"/>
          </w:tcPr>
          <w:p>
            <w:pPr>
              <w:spacing w:after="50" w:before="50" w:line="252" w:lineRule="auto"/>
            </w:pPr>
            <w:r>
              <w:rPr>
                <w:b/>
                <w:sz w:val="17"/>
              </w:rPr>
              <w:t>88.0%</w:t>
            </w:r>
          </w:p>
        </w:tc>
      </w:tr>
    </w:tbl>
    <w:p>
      <w:pPr>
        <w:spacing w:after="80" w:before="0"/>
      </w:pPr>
    </w:p>
    <w:p>
      <w:r>
        <w:rPr>
          <w:b/>
        </w:rPr>
        <w:t>Near-pure margin, because delivery cost is zero.</w:t>
      </w:r>
      <w:r>
        <w:t xml:space="preserve"> The constraint is strategic rather than economic: licensing the curriculum to an institution that can then deliver it without Equator cannibalises lines 1 and 2. Licence only where the institution would not have bought delivery anyway, restrict to a single named programme, make it annual and non-transferable, and never licence to a Tier 1 anchor.</w:t>
      </w:r>
    </w:p>
    <w:p>
      <w:pPr>
        <w:pStyle w:val="Heading2"/>
      </w:pPr>
      <w:r>
        <w:t>2.8 Summary of programme margins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913"/>
            <w:shd w:val="clear" w:color="auto" w:fill="10375C"/>
          </w:tcPr>
          <w:p>
            <w:pPr>
              <w:spacing w:after="50" w:before="50"/>
            </w:pPr>
            <w:r>
              <w:rPr>
                <w:b/>
                <w:color w:val="FFFFFF"/>
                <w:sz w:val="17"/>
              </w:rPr>
              <w:t>Programme</w:t>
            </w:r>
          </w:p>
        </w:tc>
        <w:tc>
          <w:tcPr>
            <w:tcW w:type="dxa" w:w="1935"/>
            <w:shd w:val="clear" w:color="auto" w:fill="10375C"/>
          </w:tcPr>
          <w:p>
            <w:pPr>
              <w:spacing w:after="50" w:before="50"/>
            </w:pPr>
            <w:r>
              <w:rPr>
                <w:b/>
                <w:color w:val="FFFFFF"/>
                <w:sz w:val="17"/>
              </w:rPr>
              <w:t>Equator revenue</w:t>
            </w:r>
          </w:p>
        </w:tc>
        <w:tc>
          <w:tcPr>
            <w:tcW w:type="dxa" w:w="1656"/>
            <w:shd w:val="clear" w:color="auto" w:fill="10375C"/>
          </w:tcPr>
          <w:p>
            <w:pPr>
              <w:spacing w:after="50" w:before="50"/>
            </w:pPr>
            <w:r>
              <w:rPr>
                <w:b/>
                <w:color w:val="FFFFFF"/>
                <w:sz w:val="17"/>
              </w:rPr>
              <w:t>Contribution</w:t>
            </w:r>
          </w:p>
        </w:tc>
        <w:tc>
          <w:tcPr>
            <w:tcW w:type="dxa" w:w="964"/>
            <w:shd w:val="clear" w:color="auto" w:fill="10375C"/>
          </w:tcPr>
          <w:p>
            <w:pPr>
              <w:spacing w:after="50" w:before="50"/>
            </w:pPr>
            <w:r>
              <w:rPr>
                <w:b/>
                <w:color w:val="FFFFFF"/>
                <w:sz w:val="17"/>
              </w:rPr>
              <w:t>Margin</w:t>
            </w:r>
          </w:p>
        </w:tc>
      </w:tr>
      <w:tr>
        <w:tc>
          <w:tcPr>
            <w:tcW w:type="dxa" w:w="4913"/>
          </w:tcPr>
          <w:p>
            <w:pPr>
              <w:spacing w:after="50" w:before="50" w:line="252" w:lineRule="auto"/>
            </w:pPr>
            <w:r>
              <w:rPr>
                <w:sz w:val="17"/>
              </w:rPr>
              <w:t>LIC-CURR curriculum licence</w:t>
            </w:r>
          </w:p>
        </w:tc>
        <w:tc>
          <w:tcPr>
            <w:tcW w:type="dxa" w:w="1935"/>
          </w:tcPr>
          <w:p>
            <w:pPr>
              <w:spacing w:after="50" w:before="50" w:line="252" w:lineRule="auto"/>
            </w:pPr>
            <w:r>
              <w:rPr>
                <w:sz w:val="17"/>
              </w:rPr>
              <w:t>1,25,000</w:t>
            </w:r>
          </w:p>
        </w:tc>
        <w:tc>
          <w:tcPr>
            <w:tcW w:type="dxa" w:w="1656"/>
          </w:tcPr>
          <w:p>
            <w:pPr>
              <w:spacing w:after="50" w:before="50" w:line="252" w:lineRule="auto"/>
            </w:pPr>
            <w:r>
              <w:rPr>
                <w:sz w:val="17"/>
              </w:rPr>
              <w:t>1,10,000</w:t>
            </w:r>
          </w:p>
        </w:tc>
        <w:tc>
          <w:tcPr>
            <w:tcW w:type="dxa" w:w="964"/>
          </w:tcPr>
          <w:p>
            <w:pPr>
              <w:spacing w:after="50" w:before="50" w:line="252" w:lineRule="auto"/>
            </w:pPr>
            <w:r>
              <w:rPr>
                <w:sz w:val="17"/>
              </w:rPr>
              <w:t>88.0%</w:t>
            </w:r>
          </w:p>
        </w:tc>
      </w:tr>
      <w:tr>
        <w:tc>
          <w:tcPr>
            <w:tcW w:type="dxa" w:w="4913"/>
            <w:shd w:val="clear" w:color="auto" w:fill="EAF1F4"/>
          </w:tcPr>
          <w:p>
            <w:pPr>
              <w:spacing w:after="50" w:before="50" w:line="252" w:lineRule="auto"/>
            </w:pPr>
            <w:r>
              <w:rPr>
                <w:sz w:val="17"/>
              </w:rPr>
              <w:t>COACH-INTL coaching</w:t>
            </w:r>
          </w:p>
        </w:tc>
        <w:tc>
          <w:tcPr>
            <w:tcW w:type="dxa" w:w="1935"/>
            <w:shd w:val="clear" w:color="auto" w:fill="EAF1F4"/>
          </w:tcPr>
          <w:p>
            <w:pPr>
              <w:spacing w:after="50" w:before="50" w:line="252" w:lineRule="auto"/>
            </w:pPr>
            <w:r>
              <w:rPr>
                <w:sz w:val="17"/>
              </w:rPr>
              <w:t>2,25,000</w:t>
            </w:r>
          </w:p>
        </w:tc>
        <w:tc>
          <w:tcPr>
            <w:tcW w:type="dxa" w:w="1656"/>
            <w:shd w:val="clear" w:color="auto" w:fill="EAF1F4"/>
          </w:tcPr>
          <w:p>
            <w:pPr>
              <w:spacing w:after="50" w:before="50" w:line="252" w:lineRule="auto"/>
            </w:pPr>
            <w:r>
              <w:rPr>
                <w:sz w:val="17"/>
              </w:rPr>
              <w:t>1,30,000</w:t>
            </w:r>
          </w:p>
        </w:tc>
        <w:tc>
          <w:tcPr>
            <w:tcW w:type="dxa" w:w="964"/>
            <w:shd w:val="clear" w:color="auto" w:fill="EAF1F4"/>
          </w:tcPr>
          <w:p>
            <w:pPr>
              <w:spacing w:after="50" w:before="50" w:line="252" w:lineRule="auto"/>
            </w:pPr>
            <w:r>
              <w:rPr>
                <w:sz w:val="17"/>
              </w:rPr>
              <w:t>57.8%</w:t>
            </w:r>
          </w:p>
        </w:tc>
      </w:tr>
      <w:tr>
        <w:tc>
          <w:tcPr>
            <w:tcW w:type="dxa" w:w="4913"/>
          </w:tcPr>
          <w:p>
            <w:pPr>
              <w:spacing w:after="50" w:before="50" w:line="252" w:lineRule="auto"/>
            </w:pPr>
            <w:r>
              <w:rPr>
                <w:sz w:val="17"/>
              </w:rPr>
              <w:t>ADV-A advisory retainer</w:t>
            </w:r>
          </w:p>
        </w:tc>
        <w:tc>
          <w:tcPr>
            <w:tcW w:type="dxa" w:w="1935"/>
          </w:tcPr>
          <w:p>
            <w:pPr>
              <w:spacing w:after="50" w:before="50" w:line="252" w:lineRule="auto"/>
            </w:pPr>
            <w:r>
              <w:rPr>
                <w:sz w:val="17"/>
              </w:rPr>
              <w:t>3,60,000</w:t>
            </w:r>
          </w:p>
        </w:tc>
        <w:tc>
          <w:tcPr>
            <w:tcW w:type="dxa" w:w="1656"/>
          </w:tcPr>
          <w:p>
            <w:pPr>
              <w:spacing w:after="50" w:before="50" w:line="252" w:lineRule="auto"/>
            </w:pPr>
            <w:r>
              <w:rPr>
                <w:sz w:val="17"/>
              </w:rPr>
              <w:t>1,14,000</w:t>
            </w:r>
          </w:p>
        </w:tc>
        <w:tc>
          <w:tcPr>
            <w:tcW w:type="dxa" w:w="964"/>
          </w:tcPr>
          <w:p>
            <w:pPr>
              <w:spacing w:after="50" w:before="50" w:line="252" w:lineRule="auto"/>
            </w:pPr>
            <w:r>
              <w:rPr>
                <w:sz w:val="17"/>
              </w:rPr>
              <w:t>31.7%</w:t>
            </w:r>
          </w:p>
        </w:tc>
      </w:tr>
      <w:tr>
        <w:tc>
          <w:tcPr>
            <w:tcW w:type="dxa" w:w="4913"/>
            <w:shd w:val="clear" w:color="auto" w:fill="EAF1F4"/>
          </w:tcPr>
          <w:p>
            <w:pPr>
              <w:spacing w:after="50" w:before="50" w:line="252" w:lineRule="auto"/>
            </w:pPr>
            <w:r>
              <w:rPr>
                <w:sz w:val="17"/>
              </w:rPr>
              <w:t>T-FDP faculty development</w:t>
            </w:r>
          </w:p>
        </w:tc>
        <w:tc>
          <w:tcPr>
            <w:tcW w:type="dxa" w:w="1935"/>
            <w:shd w:val="clear" w:color="auto" w:fill="EAF1F4"/>
          </w:tcPr>
          <w:p>
            <w:pPr>
              <w:spacing w:after="50" w:before="50" w:line="252" w:lineRule="auto"/>
            </w:pPr>
            <w:r>
              <w:rPr>
                <w:sz w:val="17"/>
              </w:rPr>
              <w:t>3,50,000</w:t>
            </w:r>
          </w:p>
        </w:tc>
        <w:tc>
          <w:tcPr>
            <w:tcW w:type="dxa" w:w="1656"/>
            <w:shd w:val="clear" w:color="auto" w:fill="EAF1F4"/>
          </w:tcPr>
          <w:p>
            <w:pPr>
              <w:spacing w:after="50" w:before="50" w:line="252" w:lineRule="auto"/>
            </w:pPr>
            <w:r>
              <w:rPr>
                <w:sz w:val="17"/>
              </w:rPr>
              <w:t>1,21,900</w:t>
            </w:r>
          </w:p>
        </w:tc>
        <w:tc>
          <w:tcPr>
            <w:tcW w:type="dxa" w:w="964"/>
            <w:shd w:val="clear" w:color="auto" w:fill="EAF1F4"/>
          </w:tcPr>
          <w:p>
            <w:pPr>
              <w:spacing w:after="50" w:before="50" w:line="252" w:lineRule="auto"/>
            </w:pPr>
            <w:r>
              <w:rPr>
                <w:sz w:val="17"/>
              </w:rPr>
              <w:t>34.8%</w:t>
            </w:r>
          </w:p>
        </w:tc>
      </w:tr>
      <w:tr>
        <w:tc>
          <w:tcPr>
            <w:tcW w:type="dxa" w:w="4913"/>
          </w:tcPr>
          <w:p>
            <w:pPr>
              <w:spacing w:after="50" w:before="50" w:line="252" w:lineRule="auto"/>
            </w:pPr>
            <w:r>
              <w:rPr>
                <w:sz w:val="17"/>
              </w:rPr>
              <w:t>T-40-S student course, local bench</w:t>
            </w:r>
          </w:p>
        </w:tc>
        <w:tc>
          <w:tcPr>
            <w:tcW w:type="dxa" w:w="1935"/>
          </w:tcPr>
          <w:p>
            <w:pPr>
              <w:spacing w:after="50" w:before="50" w:line="252" w:lineRule="auto"/>
            </w:pPr>
            <w:r>
              <w:rPr>
                <w:sz w:val="17"/>
              </w:rPr>
              <w:t>2,66,000</w:t>
            </w:r>
          </w:p>
        </w:tc>
        <w:tc>
          <w:tcPr>
            <w:tcW w:type="dxa" w:w="1656"/>
          </w:tcPr>
          <w:p>
            <w:pPr>
              <w:spacing w:after="50" w:before="50" w:line="252" w:lineRule="auto"/>
            </w:pPr>
            <w:r>
              <w:rPr>
                <w:sz w:val="17"/>
              </w:rPr>
              <w:t>79,200</w:t>
            </w:r>
          </w:p>
        </w:tc>
        <w:tc>
          <w:tcPr>
            <w:tcW w:type="dxa" w:w="964"/>
          </w:tcPr>
          <w:p>
            <w:pPr>
              <w:spacing w:after="50" w:before="50" w:line="252" w:lineRule="auto"/>
            </w:pPr>
            <w:r>
              <w:rPr>
                <w:sz w:val="17"/>
              </w:rPr>
              <w:t>29.8%</w:t>
            </w:r>
          </w:p>
        </w:tc>
      </w:tr>
      <w:tr>
        <w:tc>
          <w:tcPr>
            <w:tcW w:type="dxa" w:w="4913"/>
            <w:shd w:val="clear" w:color="auto" w:fill="EAF1F4"/>
          </w:tcPr>
          <w:p>
            <w:pPr>
              <w:spacing w:after="50" w:before="50" w:line="252" w:lineRule="auto"/>
            </w:pPr>
            <w:r>
              <w:rPr>
                <w:sz w:val="17"/>
              </w:rPr>
              <w:t>T-40-S student course, outstation</w:t>
            </w:r>
          </w:p>
        </w:tc>
        <w:tc>
          <w:tcPr>
            <w:tcW w:type="dxa" w:w="1935"/>
            <w:shd w:val="clear" w:color="auto" w:fill="EAF1F4"/>
          </w:tcPr>
          <w:p>
            <w:pPr>
              <w:spacing w:after="50" w:before="50" w:line="252" w:lineRule="auto"/>
            </w:pPr>
            <w:r>
              <w:rPr>
                <w:sz w:val="17"/>
              </w:rPr>
              <w:t>2,66,000</w:t>
            </w:r>
          </w:p>
        </w:tc>
        <w:tc>
          <w:tcPr>
            <w:tcW w:type="dxa" w:w="1656"/>
            <w:shd w:val="clear" w:color="auto" w:fill="EAF1F4"/>
          </w:tcPr>
          <w:p>
            <w:pPr>
              <w:spacing w:after="50" w:before="50" w:line="252" w:lineRule="auto"/>
            </w:pPr>
            <w:r>
              <w:rPr>
                <w:sz w:val="17"/>
              </w:rPr>
              <w:t>16,200</w:t>
            </w:r>
          </w:p>
        </w:tc>
        <w:tc>
          <w:tcPr>
            <w:tcW w:type="dxa" w:w="964"/>
            <w:shd w:val="clear" w:color="auto" w:fill="EAF1F4"/>
          </w:tcPr>
          <w:p>
            <w:pPr>
              <w:spacing w:after="50" w:before="50" w:line="252" w:lineRule="auto"/>
            </w:pPr>
            <w:r>
              <w:rPr>
                <w:sz w:val="17"/>
              </w:rPr>
              <w:t>6.1%</w:t>
            </w:r>
          </w:p>
        </w:tc>
      </w:tr>
    </w:tbl>
    <w:p>
      <w:pPr>
        <w:spacing w:after="80" w:before="0"/>
      </w:pPr>
    </w:p>
    <w:p>
      <w:pPr>
        <w:spacing w:before="80" w:after="160"/>
        <w:pBdr>
          <w:bottom w:val="single" w:sz="6" w:space="1" w:color="C9D6DE"/>
        </w:pBdr>
      </w:pPr>
    </w:p>
    <w:p>
      <w:pPr>
        <w:pStyle w:val="Heading1"/>
        <w:pBdr>
          <w:bottom w:val="single" w:sz="8" w:space="4" w:color="C9D6DE"/>
        </w:pBdr>
      </w:pPr>
      <w:r>
        <w:t>3. Partnership-level profit and loss</w:t>
      </w:r>
    </w:p>
    <w:p>
      <w:pPr>
        <w:pStyle w:val="Heading2"/>
      </w:pPr>
      <w:r>
        <w:t>3.1 Tier 1 Anchor — steady state, year 2 onwards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141"/>
            <w:shd w:val="clear" w:color="auto" w:fill="10375C"/>
          </w:tcPr>
          <w:p>
            <w:pPr>
              <w:spacing w:after="50" w:before="50"/>
            </w:pPr>
            <w:r>
              <w:rPr>
                <w:b/>
                <w:color w:val="FFFFFF"/>
                <w:sz w:val="17"/>
              </w:rPr>
              <w:t>Activity</w:t>
            </w:r>
          </w:p>
        </w:tc>
        <w:tc>
          <w:tcPr>
            <w:tcW w:type="dxa" w:w="1601"/>
            <w:shd w:val="clear" w:color="auto" w:fill="10375C"/>
          </w:tcPr>
          <w:p>
            <w:pPr>
              <w:spacing w:after="50" w:before="50"/>
            </w:pPr>
            <w:r>
              <w:rPr>
                <w:b/>
                <w:color w:val="FFFFFF"/>
                <w:sz w:val="17"/>
              </w:rPr>
              <w:t>Equator revenue</w:t>
            </w:r>
          </w:p>
        </w:tc>
        <w:tc>
          <w:tcPr>
            <w:tcW w:type="dxa" w:w="1726"/>
            <w:shd w:val="clear" w:color="auto" w:fill="10375C"/>
          </w:tcPr>
          <w:p>
            <w:pPr>
              <w:spacing w:after="50" w:before="50"/>
            </w:pPr>
            <w:r>
              <w:rPr>
                <w:b/>
                <w:color w:val="FFFFFF"/>
                <w:sz w:val="17"/>
              </w:rPr>
              <w:t>Contribution</w:t>
            </w:r>
          </w:p>
        </w:tc>
      </w:tr>
      <w:tr>
        <w:tc>
          <w:tcPr>
            <w:tcW w:type="dxa" w:w="6141"/>
          </w:tcPr>
          <w:p>
            <w:pPr>
              <w:spacing w:after="50" w:before="50" w:line="252" w:lineRule="auto"/>
            </w:pPr>
            <w:r>
              <w:rPr>
                <w:sz w:val="17"/>
              </w:rPr>
              <w:t>Two T-40-S cohorts of 40, local bench</w:t>
            </w:r>
          </w:p>
        </w:tc>
        <w:tc>
          <w:tcPr>
            <w:tcW w:type="dxa" w:w="1601"/>
          </w:tcPr>
          <w:p>
            <w:pPr>
              <w:spacing w:after="50" w:before="50" w:line="252" w:lineRule="auto"/>
            </w:pPr>
            <w:r>
              <w:rPr>
                <w:sz w:val="17"/>
              </w:rPr>
              <w:t>5,32,000</w:t>
            </w:r>
          </w:p>
        </w:tc>
        <w:tc>
          <w:tcPr>
            <w:tcW w:type="dxa" w:w="1726"/>
          </w:tcPr>
          <w:p>
            <w:pPr>
              <w:spacing w:after="50" w:before="50" w:line="252" w:lineRule="auto"/>
            </w:pPr>
            <w:r>
              <w:rPr>
                <w:sz w:val="17"/>
              </w:rPr>
              <w:t>1,58,400</w:t>
            </w:r>
          </w:p>
        </w:tc>
      </w:tr>
      <w:tr>
        <w:tc>
          <w:tcPr>
            <w:tcW w:type="dxa" w:w="6141"/>
            <w:shd w:val="clear" w:color="auto" w:fill="EAF1F4"/>
          </w:tcPr>
          <w:p>
            <w:pPr>
              <w:spacing w:after="50" w:before="50" w:line="252" w:lineRule="auto"/>
            </w:pPr>
            <w:r>
              <w:rPr>
                <w:sz w:val="17"/>
              </w:rPr>
              <w:t>One T-20-S cohort of 24</w:t>
            </w:r>
          </w:p>
        </w:tc>
        <w:tc>
          <w:tcPr>
            <w:tcW w:type="dxa" w:w="1601"/>
            <w:shd w:val="clear" w:color="auto" w:fill="EAF1F4"/>
          </w:tcPr>
          <w:p>
            <w:pPr>
              <w:spacing w:after="50" w:before="50" w:line="252" w:lineRule="auto"/>
            </w:pPr>
            <w:r>
              <w:rPr>
                <w:sz w:val="17"/>
              </w:rPr>
              <w:t>92,400</w:t>
            </w:r>
          </w:p>
        </w:tc>
        <w:tc>
          <w:tcPr>
            <w:tcW w:type="dxa" w:w="1726"/>
            <w:shd w:val="clear" w:color="auto" w:fill="EAF1F4"/>
          </w:tcPr>
          <w:p>
            <w:pPr>
              <w:spacing w:after="50" w:before="50" w:line="252" w:lineRule="auto"/>
            </w:pPr>
            <w:r>
              <w:rPr>
                <w:sz w:val="17"/>
              </w:rPr>
              <w:t>22,400</w:t>
            </w:r>
          </w:p>
        </w:tc>
      </w:tr>
      <w:tr>
        <w:tc>
          <w:tcPr>
            <w:tcW w:type="dxa" w:w="6141"/>
          </w:tcPr>
          <w:p>
            <w:pPr>
              <w:spacing w:after="50" w:before="50" w:line="252" w:lineRule="auto"/>
            </w:pPr>
            <w:r>
              <w:rPr>
                <w:sz w:val="17"/>
              </w:rPr>
              <w:t>One Faculty Development Programme</w:t>
            </w:r>
          </w:p>
        </w:tc>
        <w:tc>
          <w:tcPr>
            <w:tcW w:type="dxa" w:w="1601"/>
          </w:tcPr>
          <w:p>
            <w:pPr>
              <w:spacing w:after="50" w:before="50" w:line="252" w:lineRule="auto"/>
            </w:pPr>
            <w:r>
              <w:rPr>
                <w:sz w:val="17"/>
              </w:rPr>
              <w:t>3,50,000</w:t>
            </w:r>
          </w:p>
        </w:tc>
        <w:tc>
          <w:tcPr>
            <w:tcW w:type="dxa" w:w="1726"/>
          </w:tcPr>
          <w:p>
            <w:pPr>
              <w:spacing w:after="50" w:before="50" w:line="252" w:lineRule="auto"/>
            </w:pPr>
            <w:r>
              <w:rPr>
                <w:sz w:val="17"/>
              </w:rPr>
              <w:t>1,21,900</w:t>
            </w:r>
          </w:p>
        </w:tc>
      </w:tr>
      <w:tr>
        <w:tc>
          <w:tcPr>
            <w:tcW w:type="dxa" w:w="6141"/>
            <w:shd w:val="clear" w:color="auto" w:fill="EAF1F4"/>
          </w:tcPr>
          <w:p>
            <w:pPr>
              <w:spacing w:after="50" w:before="50" w:line="252" w:lineRule="auto"/>
            </w:pPr>
            <w:r>
              <w:rPr>
                <w:sz w:val="17"/>
              </w:rPr>
              <w:t>Four institutional workshops</w:t>
            </w:r>
          </w:p>
        </w:tc>
        <w:tc>
          <w:tcPr>
            <w:tcW w:type="dxa" w:w="1601"/>
            <w:shd w:val="clear" w:color="auto" w:fill="EAF1F4"/>
          </w:tcPr>
          <w:p>
            <w:pPr>
              <w:spacing w:after="50" w:before="50" w:line="252" w:lineRule="auto"/>
            </w:pPr>
            <w:r>
              <w:rPr>
                <w:sz w:val="17"/>
              </w:rPr>
              <w:t>2,60,000</w:t>
            </w:r>
          </w:p>
        </w:tc>
        <w:tc>
          <w:tcPr>
            <w:tcW w:type="dxa" w:w="1726"/>
            <w:shd w:val="clear" w:color="auto" w:fill="EAF1F4"/>
          </w:tcPr>
          <w:p>
            <w:pPr>
              <w:spacing w:after="50" w:before="50" w:line="252" w:lineRule="auto"/>
            </w:pPr>
            <w:r>
              <w:rPr>
                <w:sz w:val="17"/>
              </w:rPr>
              <w:t>1,48,000</w:t>
            </w:r>
          </w:p>
        </w:tc>
      </w:tr>
      <w:tr>
        <w:tc>
          <w:tcPr>
            <w:tcW w:type="dxa" w:w="6141"/>
          </w:tcPr>
          <w:p>
            <w:pPr>
              <w:spacing w:after="50" w:before="50" w:line="252" w:lineRule="auto"/>
            </w:pPr>
            <w:r>
              <w:rPr>
                <w:sz w:val="17"/>
              </w:rPr>
              <w:t>Coaching, two teams</w:t>
            </w:r>
          </w:p>
        </w:tc>
        <w:tc>
          <w:tcPr>
            <w:tcW w:type="dxa" w:w="1601"/>
          </w:tcPr>
          <w:p>
            <w:pPr>
              <w:spacing w:after="50" w:before="50" w:line="252" w:lineRule="auto"/>
            </w:pPr>
            <w:r>
              <w:rPr>
                <w:sz w:val="17"/>
              </w:rPr>
              <w:t>4,50,000</w:t>
            </w:r>
          </w:p>
        </w:tc>
        <w:tc>
          <w:tcPr>
            <w:tcW w:type="dxa" w:w="1726"/>
          </w:tcPr>
          <w:p>
            <w:pPr>
              <w:spacing w:after="50" w:before="50" w:line="252" w:lineRule="auto"/>
            </w:pPr>
            <w:r>
              <w:rPr>
                <w:sz w:val="17"/>
              </w:rPr>
              <w:t>2,60,000</w:t>
            </w:r>
          </w:p>
        </w:tc>
      </w:tr>
      <w:tr>
        <w:tc>
          <w:tcPr>
            <w:tcW w:type="dxa" w:w="6141"/>
            <w:shd w:val="clear" w:color="auto" w:fill="EAF1F4"/>
          </w:tcPr>
          <w:p>
            <w:pPr>
              <w:spacing w:after="50" w:before="50" w:line="252" w:lineRule="auto"/>
            </w:pPr>
            <w:r>
              <w:rPr>
                <w:sz w:val="17"/>
              </w:rPr>
              <w:t>Advisory retainer, comprehensive</w:t>
            </w:r>
          </w:p>
        </w:tc>
        <w:tc>
          <w:tcPr>
            <w:tcW w:type="dxa" w:w="1601"/>
            <w:shd w:val="clear" w:color="auto" w:fill="EAF1F4"/>
          </w:tcPr>
          <w:p>
            <w:pPr>
              <w:spacing w:after="50" w:before="50" w:line="252" w:lineRule="auto"/>
            </w:pPr>
            <w:r>
              <w:rPr>
                <w:sz w:val="17"/>
              </w:rPr>
              <w:t>3,60,000</w:t>
            </w:r>
          </w:p>
        </w:tc>
        <w:tc>
          <w:tcPr>
            <w:tcW w:type="dxa" w:w="1726"/>
            <w:shd w:val="clear" w:color="auto" w:fill="EAF1F4"/>
          </w:tcPr>
          <w:p>
            <w:pPr>
              <w:spacing w:after="50" w:before="50" w:line="252" w:lineRule="auto"/>
            </w:pPr>
            <w:r>
              <w:rPr>
                <w:sz w:val="17"/>
              </w:rPr>
              <w:t>1,14,000</w:t>
            </w:r>
          </w:p>
        </w:tc>
      </w:tr>
      <w:tr>
        <w:tc>
          <w:tcPr>
            <w:tcW w:type="dxa" w:w="6141"/>
          </w:tcPr>
          <w:p>
            <w:pPr>
              <w:spacing w:after="50" w:before="50" w:line="252" w:lineRule="auto"/>
            </w:pPr>
            <w:r>
              <w:rPr>
                <w:sz w:val="17"/>
              </w:rPr>
              <w:t>Curriculum licence</w:t>
            </w:r>
          </w:p>
        </w:tc>
        <w:tc>
          <w:tcPr>
            <w:tcW w:type="dxa" w:w="1601"/>
          </w:tcPr>
          <w:p>
            <w:pPr>
              <w:spacing w:after="50" w:before="50" w:line="252" w:lineRule="auto"/>
            </w:pPr>
            <w:r>
              <w:rPr>
                <w:sz w:val="17"/>
              </w:rPr>
              <w:t>—</w:t>
            </w:r>
          </w:p>
        </w:tc>
        <w:tc>
          <w:tcPr>
            <w:tcW w:type="dxa" w:w="1726"/>
          </w:tcPr>
          <w:p>
            <w:pPr>
              <w:spacing w:after="50" w:before="50" w:line="252" w:lineRule="auto"/>
            </w:pPr>
            <w:r>
              <w:rPr>
                <w:sz w:val="17"/>
              </w:rPr>
              <w:t>—</w:t>
            </w:r>
          </w:p>
        </w:tc>
      </w:tr>
      <w:tr>
        <w:tc>
          <w:tcPr>
            <w:tcW w:type="dxa" w:w="6141"/>
            <w:shd w:val="clear" w:color="auto" w:fill="EAF1F4"/>
          </w:tcPr>
          <w:p>
            <w:pPr>
              <w:spacing w:after="50" w:before="50" w:line="252" w:lineRule="auto"/>
            </w:pPr>
            <w:r>
              <w:rPr>
                <w:sz w:val="17"/>
              </w:rPr>
              <w:t>Residential summer school, 30 participants, 60:40</w:t>
            </w:r>
          </w:p>
        </w:tc>
        <w:tc>
          <w:tcPr>
            <w:tcW w:type="dxa" w:w="1601"/>
            <w:shd w:val="clear" w:color="auto" w:fill="EAF1F4"/>
          </w:tcPr>
          <w:p>
            <w:pPr>
              <w:spacing w:after="50" w:before="50" w:line="252" w:lineRule="auto"/>
            </w:pPr>
            <w:r>
              <w:rPr>
                <w:sz w:val="17"/>
              </w:rPr>
              <w:t>3,96,000</w:t>
            </w:r>
          </w:p>
        </w:tc>
        <w:tc>
          <w:tcPr>
            <w:tcW w:type="dxa" w:w="1726"/>
            <w:shd w:val="clear" w:color="auto" w:fill="EAF1F4"/>
          </w:tcPr>
          <w:p>
            <w:pPr>
              <w:spacing w:after="50" w:before="50" w:line="252" w:lineRule="auto"/>
            </w:pPr>
            <w:r>
              <w:rPr>
                <w:sz w:val="17"/>
              </w:rPr>
              <w:t>1,36,000</w:t>
            </w:r>
          </w:p>
        </w:tc>
      </w:tr>
      <w:tr>
        <w:tc>
          <w:tcPr>
            <w:tcW w:type="dxa" w:w="6141"/>
          </w:tcPr>
          <w:p>
            <w:pPr>
              <w:spacing w:after="50" w:before="50" w:line="252" w:lineRule="auto"/>
            </w:pPr>
            <w:r>
              <w:rPr>
                <w:sz w:val="17"/>
              </w:rPr>
              <w:t>Competition hosted — cost-shared</w:t>
            </w:r>
          </w:p>
        </w:tc>
        <w:tc>
          <w:tcPr>
            <w:tcW w:type="dxa" w:w="1601"/>
          </w:tcPr>
          <w:p>
            <w:pPr>
              <w:spacing w:after="50" w:before="50" w:line="252" w:lineRule="auto"/>
            </w:pPr>
            <w:r>
              <w:rPr>
                <w:sz w:val="17"/>
              </w:rPr>
              <w:t>—</w:t>
            </w:r>
          </w:p>
        </w:tc>
        <w:tc>
          <w:tcPr>
            <w:tcW w:type="dxa" w:w="1726"/>
          </w:tcPr>
          <w:p>
            <w:pPr>
              <w:spacing w:after="50" w:before="50" w:line="252" w:lineRule="auto"/>
            </w:pPr>
            <w:r>
              <w:rPr>
                <w:sz w:val="17"/>
              </w:rPr>
              <w:t>—</w:t>
            </w:r>
          </w:p>
        </w:tc>
      </w:tr>
      <w:tr>
        <w:tc>
          <w:tcPr>
            <w:tcW w:type="dxa" w:w="6141"/>
            <w:shd w:val="clear" w:color="auto" w:fill="EAF1F4"/>
          </w:tcPr>
          <w:p>
            <w:pPr>
              <w:spacing w:after="50" w:before="50" w:line="252" w:lineRule="auto"/>
            </w:pPr>
            <w:r>
              <w:rPr>
                <w:b/>
                <w:sz w:val="17"/>
              </w:rPr>
              <w:t>Total</w:t>
            </w:r>
          </w:p>
        </w:tc>
        <w:tc>
          <w:tcPr>
            <w:tcW w:type="dxa" w:w="1601"/>
            <w:shd w:val="clear" w:color="auto" w:fill="EAF1F4"/>
          </w:tcPr>
          <w:p>
            <w:pPr>
              <w:spacing w:after="50" w:before="50" w:line="252" w:lineRule="auto"/>
            </w:pPr>
            <w:r>
              <w:rPr>
                <w:b/>
                <w:sz w:val="17"/>
              </w:rPr>
              <w:t>24,40,400</w:t>
            </w:r>
          </w:p>
        </w:tc>
        <w:tc>
          <w:tcPr>
            <w:tcW w:type="dxa" w:w="1726"/>
            <w:shd w:val="clear" w:color="auto" w:fill="EAF1F4"/>
          </w:tcPr>
          <w:p>
            <w:pPr>
              <w:spacing w:after="50" w:before="50" w:line="252" w:lineRule="auto"/>
            </w:pPr>
            <w:r>
              <w:rPr>
                <w:b/>
                <w:sz w:val="17"/>
              </w:rPr>
              <w:t>9,60,700</w:t>
            </w:r>
          </w:p>
        </w:tc>
      </w:tr>
      <w:tr>
        <w:tc>
          <w:tcPr>
            <w:tcW w:type="dxa" w:w="6141"/>
          </w:tcPr>
          <w:p>
            <w:pPr>
              <w:spacing w:after="50" w:before="50" w:line="252" w:lineRule="auto"/>
            </w:pPr>
            <w:r>
              <w:rPr>
                <w:sz w:val="17"/>
              </w:rPr>
              <w:t>Contribution margin</w:t>
            </w:r>
          </w:p>
        </w:tc>
        <w:tc>
          <w:tcPr>
            <w:tcW w:type="dxa" w:w="1601"/>
          </w:tcPr>
          <w:p>
            <w:pPr>
              <w:spacing w:after="50" w:before="50" w:line="252" w:lineRule="auto"/>
            </w:pPr>
          </w:p>
        </w:tc>
        <w:tc>
          <w:tcPr>
            <w:tcW w:type="dxa" w:w="1726"/>
          </w:tcPr>
          <w:p>
            <w:pPr>
              <w:spacing w:after="50" w:before="50" w:line="252" w:lineRule="auto"/>
            </w:pPr>
            <w:r>
              <w:rPr>
                <w:b/>
                <w:sz w:val="17"/>
              </w:rPr>
              <w:t>39.4%</w:t>
            </w:r>
          </w:p>
        </w:tc>
      </w:tr>
      <w:tr>
        <w:tc>
          <w:tcPr>
            <w:tcW w:type="dxa" w:w="6141"/>
            <w:shd w:val="clear" w:color="auto" w:fill="EAF1F4"/>
          </w:tcPr>
          <w:p>
            <w:pPr>
              <w:spacing w:after="50" w:before="50" w:line="252" w:lineRule="auto"/>
            </w:pPr>
            <w:r>
              <w:rPr>
                <w:sz w:val="17"/>
              </w:rPr>
              <w:t>Less allocated partnership management</w:t>
            </w:r>
          </w:p>
        </w:tc>
        <w:tc>
          <w:tcPr>
            <w:tcW w:type="dxa" w:w="1601"/>
            <w:shd w:val="clear" w:color="auto" w:fill="EAF1F4"/>
          </w:tcPr>
          <w:p>
            <w:pPr>
              <w:spacing w:after="50" w:before="50" w:line="252" w:lineRule="auto"/>
            </w:pPr>
          </w:p>
        </w:tc>
        <w:tc>
          <w:tcPr>
            <w:tcW w:type="dxa" w:w="1726"/>
            <w:shd w:val="clear" w:color="auto" w:fill="EAF1F4"/>
          </w:tcPr>
          <w:p>
            <w:pPr>
              <w:spacing w:after="50" w:before="50" w:line="252" w:lineRule="auto"/>
            </w:pPr>
            <w:r>
              <w:rPr>
                <w:sz w:val="17"/>
              </w:rPr>
              <w:t>(3,50,000)</w:t>
            </w:r>
          </w:p>
        </w:tc>
      </w:tr>
      <w:tr>
        <w:tc>
          <w:tcPr>
            <w:tcW w:type="dxa" w:w="6141"/>
          </w:tcPr>
          <w:p>
            <w:pPr>
              <w:spacing w:after="50" w:before="50" w:line="252" w:lineRule="auto"/>
            </w:pPr>
            <w:r>
              <w:rPr>
                <w:b/>
                <w:sz w:val="17"/>
              </w:rPr>
              <w:t>Net contribution</w:t>
            </w:r>
          </w:p>
        </w:tc>
        <w:tc>
          <w:tcPr>
            <w:tcW w:type="dxa" w:w="1601"/>
          </w:tcPr>
          <w:p>
            <w:pPr>
              <w:spacing w:after="50" w:before="50" w:line="252" w:lineRule="auto"/>
            </w:pPr>
          </w:p>
        </w:tc>
        <w:tc>
          <w:tcPr>
            <w:tcW w:type="dxa" w:w="1726"/>
          </w:tcPr>
          <w:p>
            <w:pPr>
              <w:spacing w:after="50" w:before="50" w:line="252" w:lineRule="auto"/>
            </w:pPr>
            <w:r>
              <w:rPr>
                <w:b/>
                <w:sz w:val="17"/>
              </w:rPr>
              <w:t>6,10,700</w:t>
            </w:r>
          </w:p>
        </w:tc>
      </w:tr>
    </w:tbl>
    <w:p>
      <w:pPr>
        <w:spacing w:after="80" w:before="0"/>
      </w:pPr>
    </w:p>
    <w:p>
      <w:pPr>
        <w:pStyle w:val="Heading2"/>
      </w:pPr>
      <w:r>
        <w:t>3.2 Tier 2 Programme — steady state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411"/>
            <w:shd w:val="clear" w:color="auto" w:fill="10375C"/>
          </w:tcPr>
          <w:p>
            <w:pPr>
              <w:spacing w:after="50" w:before="50"/>
            </w:pPr>
            <w:r>
              <w:rPr>
                <w:b/>
                <w:color w:val="FFFFFF"/>
                <w:sz w:val="17"/>
              </w:rPr>
              <w:t>Activity</w:t>
            </w:r>
          </w:p>
        </w:tc>
        <w:tc>
          <w:tcPr>
            <w:tcW w:type="dxa" w:w="1490"/>
            <w:shd w:val="clear" w:color="auto" w:fill="10375C"/>
          </w:tcPr>
          <w:p>
            <w:pPr>
              <w:spacing w:after="50" w:before="50"/>
            </w:pPr>
            <w:r>
              <w:rPr>
                <w:b/>
                <w:color w:val="FFFFFF"/>
                <w:sz w:val="17"/>
              </w:rPr>
              <w:t>Equator revenue</w:t>
            </w:r>
          </w:p>
        </w:tc>
        <w:tc>
          <w:tcPr>
            <w:tcW w:type="dxa" w:w="1567"/>
            <w:shd w:val="clear" w:color="auto" w:fill="10375C"/>
          </w:tcPr>
          <w:p>
            <w:pPr>
              <w:spacing w:after="50" w:before="50"/>
            </w:pPr>
            <w:r>
              <w:rPr>
                <w:b/>
                <w:color w:val="FFFFFF"/>
                <w:sz w:val="17"/>
              </w:rPr>
              <w:t>Contribution</w:t>
            </w:r>
          </w:p>
        </w:tc>
      </w:tr>
      <w:tr>
        <w:tc>
          <w:tcPr>
            <w:tcW w:type="dxa" w:w="6411"/>
          </w:tcPr>
          <w:p>
            <w:pPr>
              <w:spacing w:after="50" w:before="50" w:line="252" w:lineRule="auto"/>
            </w:pPr>
            <w:r>
              <w:rPr>
                <w:sz w:val="17"/>
              </w:rPr>
              <w:t>One T-40-S cohort of 40, local bench</w:t>
            </w:r>
          </w:p>
        </w:tc>
        <w:tc>
          <w:tcPr>
            <w:tcW w:type="dxa" w:w="1490"/>
          </w:tcPr>
          <w:p>
            <w:pPr>
              <w:spacing w:after="50" w:before="50" w:line="252" w:lineRule="auto"/>
            </w:pPr>
            <w:r>
              <w:rPr>
                <w:sz w:val="17"/>
              </w:rPr>
              <w:t>2,66,000</w:t>
            </w:r>
          </w:p>
        </w:tc>
        <w:tc>
          <w:tcPr>
            <w:tcW w:type="dxa" w:w="1567"/>
          </w:tcPr>
          <w:p>
            <w:pPr>
              <w:spacing w:after="50" w:before="50" w:line="252" w:lineRule="auto"/>
            </w:pPr>
            <w:r>
              <w:rPr>
                <w:sz w:val="17"/>
              </w:rPr>
              <w:t>79,200</w:t>
            </w:r>
          </w:p>
        </w:tc>
      </w:tr>
      <w:tr>
        <w:tc>
          <w:tcPr>
            <w:tcW w:type="dxa" w:w="6411"/>
            <w:shd w:val="clear" w:color="auto" w:fill="EAF1F4"/>
          </w:tcPr>
          <w:p>
            <w:pPr>
              <w:spacing w:after="50" w:before="50" w:line="252" w:lineRule="auto"/>
            </w:pPr>
            <w:r>
              <w:rPr>
                <w:sz w:val="17"/>
              </w:rPr>
              <w:t>One Faculty Development Programme, biennial, half-year basis</w:t>
            </w:r>
          </w:p>
        </w:tc>
        <w:tc>
          <w:tcPr>
            <w:tcW w:type="dxa" w:w="1490"/>
            <w:shd w:val="clear" w:color="auto" w:fill="EAF1F4"/>
          </w:tcPr>
          <w:p>
            <w:pPr>
              <w:spacing w:after="50" w:before="50" w:line="252" w:lineRule="auto"/>
            </w:pPr>
            <w:r>
              <w:rPr>
                <w:sz w:val="17"/>
              </w:rPr>
              <w:t>1,75,000</w:t>
            </w:r>
          </w:p>
        </w:tc>
        <w:tc>
          <w:tcPr>
            <w:tcW w:type="dxa" w:w="1567"/>
            <w:shd w:val="clear" w:color="auto" w:fill="EAF1F4"/>
          </w:tcPr>
          <w:p>
            <w:pPr>
              <w:spacing w:after="50" w:before="50" w:line="252" w:lineRule="auto"/>
            </w:pPr>
            <w:r>
              <w:rPr>
                <w:sz w:val="17"/>
              </w:rPr>
              <w:t>60,950</w:t>
            </w:r>
          </w:p>
        </w:tc>
      </w:tr>
      <w:tr>
        <w:tc>
          <w:tcPr>
            <w:tcW w:type="dxa" w:w="6411"/>
          </w:tcPr>
          <w:p>
            <w:pPr>
              <w:spacing w:after="50" w:before="50" w:line="252" w:lineRule="auto"/>
            </w:pPr>
            <w:r>
              <w:rPr>
                <w:sz w:val="17"/>
              </w:rPr>
              <w:t>Two institutional workshops</w:t>
            </w:r>
          </w:p>
        </w:tc>
        <w:tc>
          <w:tcPr>
            <w:tcW w:type="dxa" w:w="1490"/>
          </w:tcPr>
          <w:p>
            <w:pPr>
              <w:spacing w:after="50" w:before="50" w:line="252" w:lineRule="auto"/>
            </w:pPr>
            <w:r>
              <w:rPr>
                <w:sz w:val="17"/>
              </w:rPr>
              <w:t>1,30,000</w:t>
            </w:r>
          </w:p>
        </w:tc>
        <w:tc>
          <w:tcPr>
            <w:tcW w:type="dxa" w:w="1567"/>
          </w:tcPr>
          <w:p>
            <w:pPr>
              <w:spacing w:after="50" w:before="50" w:line="252" w:lineRule="auto"/>
            </w:pPr>
            <w:r>
              <w:rPr>
                <w:sz w:val="17"/>
              </w:rPr>
              <w:t>74,000</w:t>
            </w:r>
          </w:p>
        </w:tc>
      </w:tr>
      <w:tr>
        <w:tc>
          <w:tcPr>
            <w:tcW w:type="dxa" w:w="6411"/>
            <w:shd w:val="clear" w:color="auto" w:fill="EAF1F4"/>
          </w:tcPr>
          <w:p>
            <w:pPr>
              <w:spacing w:after="50" w:before="50" w:line="252" w:lineRule="auto"/>
            </w:pPr>
            <w:r>
              <w:rPr>
                <w:sz w:val="17"/>
              </w:rPr>
              <w:t>Advisory retainer, standard</w:t>
            </w:r>
          </w:p>
        </w:tc>
        <w:tc>
          <w:tcPr>
            <w:tcW w:type="dxa" w:w="1490"/>
            <w:shd w:val="clear" w:color="auto" w:fill="EAF1F4"/>
          </w:tcPr>
          <w:p>
            <w:pPr>
              <w:spacing w:after="50" w:before="50" w:line="252" w:lineRule="auto"/>
            </w:pPr>
            <w:r>
              <w:rPr>
                <w:sz w:val="17"/>
              </w:rPr>
              <w:t>1,80,000</w:t>
            </w:r>
          </w:p>
        </w:tc>
        <w:tc>
          <w:tcPr>
            <w:tcW w:type="dxa" w:w="1567"/>
            <w:shd w:val="clear" w:color="auto" w:fill="EAF1F4"/>
          </w:tcPr>
          <w:p>
            <w:pPr>
              <w:spacing w:after="50" w:before="50" w:line="252" w:lineRule="auto"/>
            </w:pPr>
            <w:r>
              <w:rPr>
                <w:sz w:val="17"/>
              </w:rPr>
              <w:t>52,000</w:t>
            </w:r>
          </w:p>
        </w:tc>
      </w:tr>
      <w:tr>
        <w:tc>
          <w:tcPr>
            <w:tcW w:type="dxa" w:w="6411"/>
          </w:tcPr>
          <w:p>
            <w:pPr>
              <w:spacing w:after="50" w:before="50" w:line="252" w:lineRule="auto"/>
            </w:pPr>
            <w:r>
              <w:rPr>
                <w:sz w:val="17"/>
              </w:rPr>
              <w:t>Coaching, one national team</w:t>
            </w:r>
          </w:p>
        </w:tc>
        <w:tc>
          <w:tcPr>
            <w:tcW w:type="dxa" w:w="1490"/>
          </w:tcPr>
          <w:p>
            <w:pPr>
              <w:spacing w:after="50" w:before="50" w:line="252" w:lineRule="auto"/>
            </w:pPr>
            <w:r>
              <w:rPr>
                <w:sz w:val="17"/>
              </w:rPr>
              <w:t>1,10,000</w:t>
            </w:r>
          </w:p>
        </w:tc>
        <w:tc>
          <w:tcPr>
            <w:tcW w:type="dxa" w:w="1567"/>
          </w:tcPr>
          <w:p>
            <w:pPr>
              <w:spacing w:after="50" w:before="50" w:line="252" w:lineRule="auto"/>
            </w:pPr>
            <w:r>
              <w:rPr>
                <w:sz w:val="17"/>
              </w:rPr>
              <w:t>60,000</w:t>
            </w:r>
          </w:p>
        </w:tc>
      </w:tr>
      <w:tr>
        <w:tc>
          <w:tcPr>
            <w:tcW w:type="dxa" w:w="6411"/>
            <w:shd w:val="clear" w:color="auto" w:fill="EAF1F4"/>
          </w:tcPr>
          <w:p>
            <w:pPr>
              <w:spacing w:after="50" w:before="50" w:line="252" w:lineRule="auto"/>
            </w:pPr>
            <w:r>
              <w:rPr>
                <w:sz w:val="17"/>
              </w:rPr>
              <w:t>Regional competition round — cost-shared</w:t>
            </w:r>
          </w:p>
        </w:tc>
        <w:tc>
          <w:tcPr>
            <w:tcW w:type="dxa" w:w="1490"/>
            <w:shd w:val="clear" w:color="auto" w:fill="EAF1F4"/>
          </w:tcPr>
          <w:p>
            <w:pPr>
              <w:spacing w:after="50" w:before="50" w:line="252" w:lineRule="auto"/>
            </w:pPr>
            <w:r>
              <w:rPr>
                <w:sz w:val="17"/>
              </w:rPr>
              <w:t>—</w:t>
            </w:r>
          </w:p>
        </w:tc>
        <w:tc>
          <w:tcPr>
            <w:tcW w:type="dxa" w:w="1567"/>
            <w:shd w:val="clear" w:color="auto" w:fill="EAF1F4"/>
          </w:tcPr>
          <w:p>
            <w:pPr>
              <w:spacing w:after="50" w:before="50" w:line="252" w:lineRule="auto"/>
            </w:pPr>
            <w:r>
              <w:rPr>
                <w:sz w:val="17"/>
              </w:rPr>
              <w:t>—</w:t>
            </w:r>
          </w:p>
        </w:tc>
      </w:tr>
      <w:tr>
        <w:tc>
          <w:tcPr>
            <w:tcW w:type="dxa" w:w="6411"/>
          </w:tcPr>
          <w:p>
            <w:pPr>
              <w:spacing w:after="50" w:before="50" w:line="252" w:lineRule="auto"/>
            </w:pPr>
            <w:r>
              <w:rPr>
                <w:b/>
                <w:sz w:val="17"/>
              </w:rPr>
              <w:t>Total</w:t>
            </w:r>
          </w:p>
        </w:tc>
        <w:tc>
          <w:tcPr>
            <w:tcW w:type="dxa" w:w="1490"/>
          </w:tcPr>
          <w:p>
            <w:pPr>
              <w:spacing w:after="50" w:before="50" w:line="252" w:lineRule="auto"/>
            </w:pPr>
            <w:r>
              <w:rPr>
                <w:b/>
                <w:sz w:val="17"/>
              </w:rPr>
              <w:t>8,61,000</w:t>
            </w:r>
          </w:p>
        </w:tc>
        <w:tc>
          <w:tcPr>
            <w:tcW w:type="dxa" w:w="1567"/>
          </w:tcPr>
          <w:p>
            <w:pPr>
              <w:spacing w:after="50" w:before="50" w:line="252" w:lineRule="auto"/>
            </w:pPr>
            <w:r>
              <w:rPr>
                <w:b/>
                <w:sz w:val="17"/>
              </w:rPr>
              <w:t>3,26,150</w:t>
            </w:r>
          </w:p>
        </w:tc>
      </w:tr>
      <w:tr>
        <w:tc>
          <w:tcPr>
            <w:tcW w:type="dxa" w:w="6411"/>
            <w:shd w:val="clear" w:color="auto" w:fill="EAF1F4"/>
          </w:tcPr>
          <w:p>
            <w:pPr>
              <w:spacing w:after="50" w:before="50" w:line="252" w:lineRule="auto"/>
            </w:pPr>
            <w:r>
              <w:rPr>
                <w:sz w:val="17"/>
              </w:rPr>
              <w:t>Contribution margin</w:t>
            </w:r>
          </w:p>
        </w:tc>
        <w:tc>
          <w:tcPr>
            <w:tcW w:type="dxa" w:w="1490"/>
            <w:shd w:val="clear" w:color="auto" w:fill="EAF1F4"/>
          </w:tcPr>
          <w:p>
            <w:pPr>
              <w:spacing w:after="50" w:before="50" w:line="252" w:lineRule="auto"/>
            </w:pPr>
          </w:p>
        </w:tc>
        <w:tc>
          <w:tcPr>
            <w:tcW w:type="dxa" w:w="1567"/>
            <w:shd w:val="clear" w:color="auto" w:fill="EAF1F4"/>
          </w:tcPr>
          <w:p>
            <w:pPr>
              <w:spacing w:after="50" w:before="50" w:line="252" w:lineRule="auto"/>
            </w:pPr>
            <w:r>
              <w:rPr>
                <w:b/>
                <w:sz w:val="17"/>
              </w:rPr>
              <w:t>37.9%</w:t>
            </w:r>
          </w:p>
        </w:tc>
      </w:tr>
      <w:tr>
        <w:tc>
          <w:tcPr>
            <w:tcW w:type="dxa" w:w="6411"/>
          </w:tcPr>
          <w:p>
            <w:pPr>
              <w:spacing w:after="50" w:before="50" w:line="252" w:lineRule="auto"/>
            </w:pPr>
            <w:r>
              <w:rPr>
                <w:sz w:val="17"/>
              </w:rPr>
              <w:t>Less allocated partnership management</w:t>
            </w:r>
          </w:p>
        </w:tc>
        <w:tc>
          <w:tcPr>
            <w:tcW w:type="dxa" w:w="1490"/>
          </w:tcPr>
          <w:p>
            <w:pPr>
              <w:spacing w:after="50" w:before="50" w:line="252" w:lineRule="auto"/>
            </w:pPr>
          </w:p>
        </w:tc>
        <w:tc>
          <w:tcPr>
            <w:tcW w:type="dxa" w:w="1567"/>
          </w:tcPr>
          <w:p>
            <w:pPr>
              <w:spacing w:after="50" w:before="50" w:line="252" w:lineRule="auto"/>
            </w:pPr>
            <w:r>
              <w:rPr>
                <w:sz w:val="17"/>
              </w:rPr>
              <w:t>(1,20,000)</w:t>
            </w:r>
          </w:p>
        </w:tc>
      </w:tr>
      <w:tr>
        <w:tc>
          <w:tcPr>
            <w:tcW w:type="dxa" w:w="6411"/>
            <w:shd w:val="clear" w:color="auto" w:fill="EAF1F4"/>
          </w:tcPr>
          <w:p>
            <w:pPr>
              <w:spacing w:after="50" w:before="50" w:line="252" w:lineRule="auto"/>
            </w:pPr>
            <w:r>
              <w:rPr>
                <w:b/>
                <w:sz w:val="17"/>
              </w:rPr>
              <w:t>Net contribution</w:t>
            </w:r>
          </w:p>
        </w:tc>
        <w:tc>
          <w:tcPr>
            <w:tcW w:type="dxa" w:w="1490"/>
            <w:shd w:val="clear" w:color="auto" w:fill="EAF1F4"/>
          </w:tcPr>
          <w:p>
            <w:pPr>
              <w:spacing w:after="50" w:before="50" w:line="252" w:lineRule="auto"/>
            </w:pPr>
          </w:p>
        </w:tc>
        <w:tc>
          <w:tcPr>
            <w:tcW w:type="dxa" w:w="1567"/>
            <w:shd w:val="clear" w:color="auto" w:fill="EAF1F4"/>
          </w:tcPr>
          <w:p>
            <w:pPr>
              <w:spacing w:after="50" w:before="50" w:line="252" w:lineRule="auto"/>
            </w:pPr>
            <w:r>
              <w:rPr>
                <w:b/>
                <w:sz w:val="17"/>
              </w:rPr>
              <w:t>2,06,150</w:t>
            </w:r>
          </w:p>
        </w:tc>
      </w:tr>
    </w:tbl>
    <w:p>
      <w:pPr>
        <w:spacing w:after="80" w:before="0"/>
      </w:pPr>
    </w:p>
    <w:p>
      <w:pPr>
        <w:pStyle w:val="Heading2"/>
      </w:pPr>
      <w:r>
        <w:t>3.3 Tier 3 Associate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451"/>
            <w:shd w:val="clear" w:color="auto" w:fill="10375C"/>
          </w:tcPr>
          <w:p>
            <w:pPr>
              <w:spacing w:after="50" w:before="50"/>
            </w:pPr>
            <w:r>
              <w:rPr>
                <w:b/>
                <w:color w:val="FFFFFF"/>
                <w:sz w:val="17"/>
              </w:rPr>
              <w:t>Activity</w:t>
            </w:r>
          </w:p>
        </w:tc>
        <w:tc>
          <w:tcPr>
            <w:tcW w:type="dxa" w:w="1840"/>
            <w:shd w:val="clear" w:color="auto" w:fill="10375C"/>
          </w:tcPr>
          <w:p>
            <w:pPr>
              <w:spacing w:after="50" w:before="50"/>
            </w:pPr>
            <w:r>
              <w:rPr>
                <w:b/>
                <w:color w:val="FFFFFF"/>
                <w:sz w:val="17"/>
              </w:rPr>
              <w:t>Equator revenue</w:t>
            </w:r>
          </w:p>
        </w:tc>
        <w:tc>
          <w:tcPr>
            <w:tcW w:type="dxa" w:w="2176"/>
            <w:shd w:val="clear" w:color="auto" w:fill="10375C"/>
          </w:tcPr>
          <w:p>
            <w:pPr>
              <w:spacing w:after="50" w:before="50"/>
            </w:pPr>
            <w:r>
              <w:rPr>
                <w:b/>
                <w:color w:val="FFFFFF"/>
                <w:sz w:val="17"/>
              </w:rPr>
              <w:t>Contribution</w:t>
            </w:r>
          </w:p>
        </w:tc>
      </w:tr>
      <w:tr>
        <w:tc>
          <w:tcPr>
            <w:tcW w:type="dxa" w:w="5451"/>
          </w:tcPr>
          <w:p>
            <w:pPr>
              <w:spacing w:after="50" w:before="50" w:line="252" w:lineRule="auto"/>
            </w:pPr>
            <w:r>
              <w:rPr>
                <w:sz w:val="17"/>
              </w:rPr>
              <w:t>Competition entries, three teams</w:t>
            </w:r>
          </w:p>
        </w:tc>
        <w:tc>
          <w:tcPr>
            <w:tcW w:type="dxa" w:w="1840"/>
          </w:tcPr>
          <w:p>
            <w:pPr>
              <w:spacing w:after="50" w:before="50" w:line="252" w:lineRule="auto"/>
            </w:pPr>
            <w:r>
              <w:rPr>
                <w:sz w:val="17"/>
              </w:rPr>
              <w:t>22,500</w:t>
            </w:r>
          </w:p>
        </w:tc>
        <w:tc>
          <w:tcPr>
            <w:tcW w:type="dxa" w:w="2176"/>
          </w:tcPr>
          <w:p>
            <w:pPr>
              <w:spacing w:after="50" w:before="50" w:line="252" w:lineRule="auto"/>
            </w:pPr>
            <w:r>
              <w:rPr>
                <w:sz w:val="17"/>
              </w:rPr>
              <w:t>12,000</w:t>
            </w:r>
          </w:p>
        </w:tc>
      </w:tr>
      <w:tr>
        <w:tc>
          <w:tcPr>
            <w:tcW w:type="dxa" w:w="5451"/>
            <w:shd w:val="clear" w:color="auto" w:fill="EAF1F4"/>
          </w:tcPr>
          <w:p>
            <w:pPr>
              <w:spacing w:after="50" w:before="50" w:line="252" w:lineRule="auto"/>
            </w:pPr>
            <w:r>
              <w:rPr>
                <w:sz w:val="17"/>
              </w:rPr>
              <w:t>Occasional workshop</w:t>
            </w:r>
          </w:p>
        </w:tc>
        <w:tc>
          <w:tcPr>
            <w:tcW w:type="dxa" w:w="1840"/>
            <w:shd w:val="clear" w:color="auto" w:fill="EAF1F4"/>
          </w:tcPr>
          <w:p>
            <w:pPr>
              <w:spacing w:after="50" w:before="50" w:line="252" w:lineRule="auto"/>
            </w:pPr>
            <w:r>
              <w:rPr>
                <w:sz w:val="17"/>
              </w:rPr>
              <w:t>65,000</w:t>
            </w:r>
          </w:p>
        </w:tc>
        <w:tc>
          <w:tcPr>
            <w:tcW w:type="dxa" w:w="2176"/>
            <w:shd w:val="clear" w:color="auto" w:fill="EAF1F4"/>
          </w:tcPr>
          <w:p>
            <w:pPr>
              <w:spacing w:after="50" w:before="50" w:line="252" w:lineRule="auto"/>
            </w:pPr>
            <w:r>
              <w:rPr>
                <w:sz w:val="17"/>
              </w:rPr>
              <w:t>37,000</w:t>
            </w:r>
          </w:p>
        </w:tc>
      </w:tr>
      <w:tr>
        <w:tc>
          <w:tcPr>
            <w:tcW w:type="dxa" w:w="5451"/>
          </w:tcPr>
          <w:p>
            <w:pPr>
              <w:spacing w:after="50" w:before="50" w:line="252" w:lineRule="auto"/>
            </w:pPr>
            <w:r>
              <w:rPr>
                <w:sz w:val="17"/>
              </w:rPr>
              <w:t>Guest lecture, webinars — free</w:t>
            </w:r>
          </w:p>
        </w:tc>
        <w:tc>
          <w:tcPr>
            <w:tcW w:type="dxa" w:w="1840"/>
          </w:tcPr>
          <w:p>
            <w:pPr>
              <w:spacing w:after="50" w:before="50" w:line="252" w:lineRule="auto"/>
            </w:pPr>
            <w:r>
              <w:rPr>
                <w:sz w:val="17"/>
              </w:rPr>
              <w:t>—</w:t>
            </w:r>
          </w:p>
        </w:tc>
        <w:tc>
          <w:tcPr>
            <w:tcW w:type="dxa" w:w="2176"/>
          </w:tcPr>
          <w:p>
            <w:pPr>
              <w:spacing w:after="50" w:before="50" w:line="252" w:lineRule="auto"/>
            </w:pPr>
            <w:r>
              <w:rPr>
                <w:sz w:val="17"/>
              </w:rPr>
              <w:t>(18,000)</w:t>
            </w:r>
          </w:p>
        </w:tc>
      </w:tr>
      <w:tr>
        <w:tc>
          <w:tcPr>
            <w:tcW w:type="dxa" w:w="5451"/>
            <w:shd w:val="clear" w:color="auto" w:fill="EAF1F4"/>
          </w:tcPr>
          <w:p>
            <w:pPr>
              <w:spacing w:after="50" w:before="50" w:line="252" w:lineRule="auto"/>
            </w:pPr>
            <w:r>
              <w:rPr>
                <w:b/>
                <w:sz w:val="17"/>
              </w:rPr>
              <w:t>Total</w:t>
            </w:r>
          </w:p>
        </w:tc>
        <w:tc>
          <w:tcPr>
            <w:tcW w:type="dxa" w:w="1840"/>
            <w:shd w:val="clear" w:color="auto" w:fill="EAF1F4"/>
          </w:tcPr>
          <w:p>
            <w:pPr>
              <w:spacing w:after="50" w:before="50" w:line="252" w:lineRule="auto"/>
            </w:pPr>
            <w:r>
              <w:rPr>
                <w:b/>
                <w:sz w:val="17"/>
              </w:rPr>
              <w:t>87,500</w:t>
            </w:r>
          </w:p>
        </w:tc>
        <w:tc>
          <w:tcPr>
            <w:tcW w:type="dxa" w:w="2176"/>
            <w:shd w:val="clear" w:color="auto" w:fill="EAF1F4"/>
          </w:tcPr>
          <w:p>
            <w:pPr>
              <w:spacing w:after="50" w:before="50" w:line="252" w:lineRule="auto"/>
            </w:pPr>
            <w:r>
              <w:rPr>
                <w:b/>
                <w:sz w:val="17"/>
              </w:rPr>
              <w:t>31,000</w:t>
            </w:r>
          </w:p>
        </w:tc>
      </w:tr>
      <w:tr>
        <w:tc>
          <w:tcPr>
            <w:tcW w:type="dxa" w:w="5451"/>
          </w:tcPr>
          <w:p>
            <w:pPr>
              <w:spacing w:after="50" w:before="50" w:line="252" w:lineRule="auto"/>
            </w:pPr>
            <w:r>
              <w:rPr>
                <w:sz w:val="17"/>
              </w:rPr>
              <w:t>Less allocated management</w:t>
            </w:r>
          </w:p>
        </w:tc>
        <w:tc>
          <w:tcPr>
            <w:tcW w:type="dxa" w:w="1840"/>
          </w:tcPr>
          <w:p>
            <w:pPr>
              <w:spacing w:after="50" w:before="50" w:line="252" w:lineRule="auto"/>
            </w:pPr>
          </w:p>
        </w:tc>
        <w:tc>
          <w:tcPr>
            <w:tcW w:type="dxa" w:w="2176"/>
          </w:tcPr>
          <w:p>
            <w:pPr>
              <w:spacing w:after="50" w:before="50" w:line="252" w:lineRule="auto"/>
            </w:pPr>
            <w:r>
              <w:rPr>
                <w:sz w:val="17"/>
              </w:rPr>
              <w:t>(25,000)</w:t>
            </w:r>
          </w:p>
        </w:tc>
      </w:tr>
      <w:tr>
        <w:tc>
          <w:tcPr>
            <w:tcW w:type="dxa" w:w="5451"/>
            <w:shd w:val="clear" w:color="auto" w:fill="EAF1F4"/>
          </w:tcPr>
          <w:p>
            <w:pPr>
              <w:spacing w:after="50" w:before="50" w:line="252" w:lineRule="auto"/>
            </w:pPr>
            <w:r>
              <w:rPr>
                <w:b/>
                <w:sz w:val="17"/>
              </w:rPr>
              <w:t>Net contribution</w:t>
            </w:r>
          </w:p>
        </w:tc>
        <w:tc>
          <w:tcPr>
            <w:tcW w:type="dxa" w:w="1840"/>
            <w:shd w:val="clear" w:color="auto" w:fill="EAF1F4"/>
          </w:tcPr>
          <w:p>
            <w:pPr>
              <w:spacing w:after="50" w:before="50" w:line="252" w:lineRule="auto"/>
            </w:pPr>
          </w:p>
        </w:tc>
        <w:tc>
          <w:tcPr>
            <w:tcW w:type="dxa" w:w="2176"/>
            <w:shd w:val="clear" w:color="auto" w:fill="EAF1F4"/>
          </w:tcPr>
          <w:p>
            <w:pPr>
              <w:spacing w:after="50" w:before="50" w:line="252" w:lineRule="auto"/>
            </w:pPr>
            <w:r>
              <w:rPr>
                <w:b/>
                <w:sz w:val="17"/>
              </w:rPr>
              <w:t>6,000</w:t>
            </w:r>
          </w:p>
        </w:tc>
      </w:tr>
    </w:tbl>
    <w:p>
      <w:pPr>
        <w:spacing w:after="80" w:before="0"/>
      </w:pPr>
    </w:p>
    <w:p>
      <w:r>
        <w:rPr>
          <w:b/>
        </w:rPr>
        <w:t>Tier 3 is justified on brand and competition participation, not on margin.</w:t>
      </w:r>
      <w:r>
        <w:t xml:space="preserve"> It costs almost nothing and it keeps the network wide. It must never be allowed to consume Tier 1 or Tier 2 delivery capacity.</w:t>
      </w:r>
    </w:p>
    <w:p>
      <w:pPr>
        <w:spacing w:before="80" w:after="160"/>
        <w:pBdr>
          <w:bottom w:val="single" w:sz="6" w:space="1" w:color="C9D6DE"/>
        </w:pBdr>
      </w:pPr>
    </w:p>
    <w:p>
      <w:pPr>
        <w:pStyle w:val="Heading1"/>
        <w:pBdr>
          <w:bottom w:val="single" w:sz="8" w:space="4" w:color="C9D6DE"/>
        </w:pBdr>
      </w:pPr>
      <w:r>
        <w:t>4. Partnership acquisition cost and payback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426"/>
            <w:shd w:val="clear" w:color="auto" w:fill="10375C"/>
          </w:tcPr>
          <w:p>
            <w:pPr>
              <w:spacing w:after="50" w:before="50"/>
            </w:pPr>
            <w:r>
              <w:rPr>
                <w:b/>
                <w:color w:val="FFFFFF"/>
                <w:sz w:val="17"/>
              </w:rPr>
              <w:t>Cost element</w:t>
            </w:r>
          </w:p>
        </w:tc>
        <w:tc>
          <w:tcPr>
            <w:tcW w:type="dxa" w:w="2005"/>
            <w:shd w:val="clear" w:color="auto" w:fill="10375C"/>
          </w:tcPr>
          <w:p>
            <w:pPr>
              <w:spacing w:after="50" w:before="50"/>
            </w:pPr>
            <w:r>
              <w:rPr>
                <w:b/>
                <w:color w:val="FFFFFF"/>
                <w:sz w:val="17"/>
              </w:rPr>
              <w:t>Tier 1</w:t>
            </w:r>
          </w:p>
        </w:tc>
        <w:tc>
          <w:tcPr>
            <w:tcW w:type="dxa" w:w="1648"/>
            <w:shd w:val="clear" w:color="auto" w:fill="10375C"/>
          </w:tcPr>
          <w:p>
            <w:pPr>
              <w:spacing w:after="50" w:before="50"/>
            </w:pPr>
            <w:r>
              <w:rPr>
                <w:b/>
                <w:color w:val="FFFFFF"/>
                <w:sz w:val="17"/>
              </w:rPr>
              <w:t>Tier 2</w:t>
            </w:r>
          </w:p>
        </w:tc>
        <w:tc>
          <w:tcPr>
            <w:tcW w:type="dxa" w:w="1388"/>
            <w:shd w:val="clear" w:color="auto" w:fill="10375C"/>
          </w:tcPr>
          <w:p>
            <w:pPr>
              <w:spacing w:after="50" w:before="50"/>
            </w:pPr>
            <w:r>
              <w:rPr>
                <w:b/>
                <w:color w:val="FFFFFF"/>
                <w:sz w:val="17"/>
              </w:rPr>
              <w:t>Tier 3</w:t>
            </w:r>
          </w:p>
        </w:tc>
      </w:tr>
      <w:tr>
        <w:tc>
          <w:tcPr>
            <w:tcW w:type="dxa" w:w="4426"/>
          </w:tcPr>
          <w:p>
            <w:pPr>
              <w:spacing w:after="50" w:before="50" w:line="252" w:lineRule="auto"/>
            </w:pPr>
            <w:r>
              <w:rPr>
                <w:sz w:val="17"/>
              </w:rPr>
              <w:t>Business development time</w:t>
            </w:r>
          </w:p>
        </w:tc>
        <w:tc>
          <w:tcPr>
            <w:tcW w:type="dxa" w:w="2005"/>
          </w:tcPr>
          <w:p>
            <w:pPr>
              <w:spacing w:after="50" w:before="50" w:line="252" w:lineRule="auto"/>
            </w:pPr>
            <w:r>
              <w:rPr>
                <w:sz w:val="17"/>
              </w:rPr>
              <w:t>12 days × 4,500 = 54,000</w:t>
            </w:r>
          </w:p>
        </w:tc>
        <w:tc>
          <w:tcPr>
            <w:tcW w:type="dxa" w:w="1648"/>
          </w:tcPr>
          <w:p>
            <w:pPr>
              <w:spacing w:after="50" w:before="50" w:line="252" w:lineRule="auto"/>
            </w:pPr>
            <w:r>
              <w:rPr>
                <w:sz w:val="17"/>
              </w:rPr>
              <w:t>6 × 4,500 = 27,000</w:t>
            </w:r>
          </w:p>
        </w:tc>
        <w:tc>
          <w:tcPr>
            <w:tcW w:type="dxa" w:w="1388"/>
          </w:tcPr>
          <w:p>
            <w:pPr>
              <w:spacing w:after="50" w:before="50" w:line="252" w:lineRule="auto"/>
            </w:pPr>
            <w:r>
              <w:rPr>
                <w:sz w:val="17"/>
              </w:rPr>
              <w:t>2 × 4,500 = 9,000</w:t>
            </w:r>
          </w:p>
        </w:tc>
      </w:tr>
      <w:tr>
        <w:tc>
          <w:tcPr>
            <w:tcW w:type="dxa" w:w="4426"/>
            <w:shd w:val="clear" w:color="auto" w:fill="EAF1F4"/>
          </w:tcPr>
          <w:p>
            <w:pPr>
              <w:spacing w:after="50" w:before="50" w:line="252" w:lineRule="auto"/>
            </w:pPr>
            <w:r>
              <w:rPr>
                <w:sz w:val="17"/>
              </w:rPr>
              <w:t>Travel, meetings</w:t>
            </w:r>
          </w:p>
        </w:tc>
        <w:tc>
          <w:tcPr>
            <w:tcW w:type="dxa" w:w="2005"/>
            <w:shd w:val="clear" w:color="auto" w:fill="EAF1F4"/>
          </w:tcPr>
          <w:p>
            <w:pPr>
              <w:spacing w:after="50" w:before="50" w:line="252" w:lineRule="auto"/>
            </w:pPr>
            <w:r>
              <w:rPr>
                <w:sz w:val="17"/>
              </w:rPr>
              <w:t>27,000</w:t>
            </w:r>
          </w:p>
        </w:tc>
        <w:tc>
          <w:tcPr>
            <w:tcW w:type="dxa" w:w="1648"/>
            <w:shd w:val="clear" w:color="auto" w:fill="EAF1F4"/>
          </w:tcPr>
          <w:p>
            <w:pPr>
              <w:spacing w:after="50" w:before="50" w:line="252" w:lineRule="auto"/>
            </w:pPr>
            <w:r>
              <w:rPr>
                <w:sz w:val="17"/>
              </w:rPr>
              <w:t>14,000</w:t>
            </w:r>
          </w:p>
        </w:tc>
        <w:tc>
          <w:tcPr>
            <w:tcW w:type="dxa" w:w="1388"/>
            <w:shd w:val="clear" w:color="auto" w:fill="EAF1F4"/>
          </w:tcPr>
          <w:p>
            <w:pPr>
              <w:spacing w:after="50" w:before="50" w:line="252" w:lineRule="auto"/>
            </w:pPr>
            <w:r>
              <w:rPr>
                <w:sz w:val="17"/>
              </w:rPr>
              <w:t>—</w:t>
            </w:r>
          </w:p>
        </w:tc>
      </w:tr>
      <w:tr>
        <w:tc>
          <w:tcPr>
            <w:tcW w:type="dxa" w:w="4426"/>
          </w:tcPr>
          <w:p>
            <w:pPr>
              <w:spacing w:after="50" w:before="50" w:line="252" w:lineRule="auto"/>
            </w:pPr>
            <w:r>
              <w:rPr>
                <w:sz w:val="17"/>
              </w:rPr>
              <w:t>Legal review</w:t>
            </w:r>
          </w:p>
        </w:tc>
        <w:tc>
          <w:tcPr>
            <w:tcW w:type="dxa" w:w="2005"/>
          </w:tcPr>
          <w:p>
            <w:pPr>
              <w:spacing w:after="50" w:before="50" w:line="252" w:lineRule="auto"/>
            </w:pPr>
            <w:r>
              <w:rPr>
                <w:sz w:val="17"/>
              </w:rPr>
              <w:t>30,000</w:t>
            </w:r>
          </w:p>
        </w:tc>
        <w:tc>
          <w:tcPr>
            <w:tcW w:type="dxa" w:w="1648"/>
          </w:tcPr>
          <w:p>
            <w:pPr>
              <w:spacing w:after="50" w:before="50" w:line="252" w:lineRule="auto"/>
            </w:pPr>
            <w:r>
              <w:rPr>
                <w:sz w:val="17"/>
              </w:rPr>
              <w:t>15,000</w:t>
            </w:r>
          </w:p>
        </w:tc>
        <w:tc>
          <w:tcPr>
            <w:tcW w:type="dxa" w:w="1388"/>
          </w:tcPr>
          <w:p>
            <w:pPr>
              <w:spacing w:after="50" w:before="50" w:line="252" w:lineRule="auto"/>
            </w:pPr>
            <w:r>
              <w:rPr>
                <w:sz w:val="17"/>
              </w:rPr>
              <w:t>5,000</w:t>
            </w:r>
          </w:p>
        </w:tc>
      </w:tr>
      <w:tr>
        <w:tc>
          <w:tcPr>
            <w:tcW w:type="dxa" w:w="4426"/>
            <w:shd w:val="clear" w:color="auto" w:fill="EAF1F4"/>
          </w:tcPr>
          <w:p>
            <w:pPr>
              <w:spacing w:after="50" w:before="50" w:line="252" w:lineRule="auto"/>
            </w:pPr>
            <w:r>
              <w:rPr>
                <w:sz w:val="17"/>
              </w:rPr>
              <w:t>Programme Director time</w:t>
            </w:r>
          </w:p>
        </w:tc>
        <w:tc>
          <w:tcPr>
            <w:tcW w:type="dxa" w:w="2005"/>
            <w:shd w:val="clear" w:color="auto" w:fill="EAF1F4"/>
          </w:tcPr>
          <w:p>
            <w:pPr>
              <w:spacing w:after="50" w:before="50" w:line="252" w:lineRule="auto"/>
            </w:pPr>
            <w:r>
              <w:rPr>
                <w:sz w:val="17"/>
              </w:rPr>
              <w:t>3 days × 9,000 = 27,000</w:t>
            </w:r>
          </w:p>
        </w:tc>
        <w:tc>
          <w:tcPr>
            <w:tcW w:type="dxa" w:w="1648"/>
            <w:shd w:val="clear" w:color="auto" w:fill="EAF1F4"/>
          </w:tcPr>
          <w:p>
            <w:pPr>
              <w:spacing w:after="50" w:before="50" w:line="252" w:lineRule="auto"/>
            </w:pPr>
            <w:r>
              <w:rPr>
                <w:sz w:val="17"/>
              </w:rPr>
              <w:t>1 × 9,000 = 9,000</w:t>
            </w:r>
          </w:p>
        </w:tc>
        <w:tc>
          <w:tcPr>
            <w:tcW w:type="dxa" w:w="1388"/>
            <w:shd w:val="clear" w:color="auto" w:fill="EAF1F4"/>
          </w:tcPr>
          <w:p>
            <w:pPr>
              <w:spacing w:after="50" w:before="50" w:line="252" w:lineRule="auto"/>
            </w:pPr>
            <w:r>
              <w:rPr>
                <w:sz w:val="17"/>
              </w:rPr>
              <w:t>—</w:t>
            </w:r>
          </w:p>
        </w:tc>
      </w:tr>
      <w:tr>
        <w:tc>
          <w:tcPr>
            <w:tcW w:type="dxa" w:w="4426"/>
          </w:tcPr>
          <w:p>
            <w:pPr>
              <w:spacing w:after="50" w:before="50" w:line="252" w:lineRule="auto"/>
            </w:pPr>
            <w:r>
              <w:rPr>
                <w:sz w:val="17"/>
              </w:rPr>
              <w:t>Proposal and collateral</w:t>
            </w:r>
          </w:p>
        </w:tc>
        <w:tc>
          <w:tcPr>
            <w:tcW w:type="dxa" w:w="2005"/>
          </w:tcPr>
          <w:p>
            <w:pPr>
              <w:spacing w:after="50" w:before="50" w:line="252" w:lineRule="auto"/>
            </w:pPr>
            <w:r>
              <w:rPr>
                <w:sz w:val="17"/>
              </w:rPr>
              <w:t>8,000</w:t>
            </w:r>
          </w:p>
        </w:tc>
        <w:tc>
          <w:tcPr>
            <w:tcW w:type="dxa" w:w="1648"/>
          </w:tcPr>
          <w:p>
            <w:pPr>
              <w:spacing w:after="50" w:before="50" w:line="252" w:lineRule="auto"/>
            </w:pPr>
            <w:r>
              <w:rPr>
                <w:sz w:val="17"/>
              </w:rPr>
              <w:t>5,000</w:t>
            </w:r>
          </w:p>
        </w:tc>
        <w:tc>
          <w:tcPr>
            <w:tcW w:type="dxa" w:w="1388"/>
          </w:tcPr>
          <w:p>
            <w:pPr>
              <w:spacing w:after="50" w:before="50" w:line="252" w:lineRule="auto"/>
            </w:pPr>
            <w:r>
              <w:rPr>
                <w:sz w:val="17"/>
              </w:rPr>
              <w:t>2,000</w:t>
            </w:r>
          </w:p>
        </w:tc>
      </w:tr>
      <w:tr>
        <w:tc>
          <w:tcPr>
            <w:tcW w:type="dxa" w:w="4426"/>
            <w:shd w:val="clear" w:color="auto" w:fill="EAF1F4"/>
          </w:tcPr>
          <w:p>
            <w:pPr>
              <w:spacing w:after="50" w:before="50" w:line="252" w:lineRule="auto"/>
            </w:pPr>
            <w:r>
              <w:rPr>
                <w:b/>
                <w:sz w:val="17"/>
              </w:rPr>
              <w:t>Total acquisition cost</w:t>
            </w:r>
          </w:p>
        </w:tc>
        <w:tc>
          <w:tcPr>
            <w:tcW w:type="dxa" w:w="2005"/>
            <w:shd w:val="clear" w:color="auto" w:fill="EAF1F4"/>
          </w:tcPr>
          <w:p>
            <w:pPr>
              <w:spacing w:after="50" w:before="50" w:line="252" w:lineRule="auto"/>
            </w:pPr>
            <w:r>
              <w:rPr>
                <w:b/>
                <w:sz w:val="17"/>
              </w:rPr>
              <w:t>1,46,000</w:t>
            </w:r>
          </w:p>
        </w:tc>
        <w:tc>
          <w:tcPr>
            <w:tcW w:type="dxa" w:w="1648"/>
            <w:shd w:val="clear" w:color="auto" w:fill="EAF1F4"/>
          </w:tcPr>
          <w:p>
            <w:pPr>
              <w:spacing w:after="50" w:before="50" w:line="252" w:lineRule="auto"/>
            </w:pPr>
            <w:r>
              <w:rPr>
                <w:b/>
                <w:sz w:val="17"/>
              </w:rPr>
              <w:t>70,000</w:t>
            </w:r>
          </w:p>
        </w:tc>
        <w:tc>
          <w:tcPr>
            <w:tcW w:type="dxa" w:w="1388"/>
            <w:shd w:val="clear" w:color="auto" w:fill="EAF1F4"/>
          </w:tcPr>
          <w:p>
            <w:pPr>
              <w:spacing w:after="50" w:before="50" w:line="252" w:lineRule="auto"/>
            </w:pPr>
            <w:r>
              <w:rPr>
                <w:b/>
                <w:sz w:val="17"/>
              </w:rPr>
              <w:t>16,000</w:t>
            </w:r>
          </w:p>
        </w:tc>
      </w:tr>
      <w:tr>
        <w:tc>
          <w:tcPr>
            <w:tcW w:type="dxa" w:w="4426"/>
          </w:tcPr>
          <w:p>
            <w:pPr>
              <w:spacing w:after="50" w:before="50" w:line="252" w:lineRule="auto"/>
            </w:pPr>
            <w:r>
              <w:rPr>
                <w:sz w:val="17"/>
              </w:rPr>
              <w:t>Year 1 net contribution, at 55% of steady state</w:t>
            </w:r>
          </w:p>
        </w:tc>
        <w:tc>
          <w:tcPr>
            <w:tcW w:type="dxa" w:w="2005"/>
          </w:tcPr>
          <w:p>
            <w:pPr>
              <w:spacing w:after="50" w:before="50" w:line="252" w:lineRule="auto"/>
            </w:pPr>
            <w:r>
              <w:rPr>
                <w:sz w:val="17"/>
              </w:rPr>
              <w:t>3,35,885</w:t>
            </w:r>
          </w:p>
        </w:tc>
        <w:tc>
          <w:tcPr>
            <w:tcW w:type="dxa" w:w="1648"/>
          </w:tcPr>
          <w:p>
            <w:pPr>
              <w:spacing w:after="50" w:before="50" w:line="252" w:lineRule="auto"/>
            </w:pPr>
            <w:r>
              <w:rPr>
                <w:sz w:val="17"/>
              </w:rPr>
              <w:t>1,13,383</w:t>
            </w:r>
          </w:p>
        </w:tc>
        <w:tc>
          <w:tcPr>
            <w:tcW w:type="dxa" w:w="1388"/>
          </w:tcPr>
          <w:p>
            <w:pPr>
              <w:spacing w:after="50" w:before="50" w:line="252" w:lineRule="auto"/>
            </w:pPr>
            <w:r>
              <w:rPr>
                <w:sz w:val="17"/>
              </w:rPr>
              <w:t>3,300</w:t>
            </w:r>
          </w:p>
        </w:tc>
      </w:tr>
      <w:tr>
        <w:tc>
          <w:tcPr>
            <w:tcW w:type="dxa" w:w="4426"/>
            <w:shd w:val="clear" w:color="auto" w:fill="EAF1F4"/>
          </w:tcPr>
          <w:p>
            <w:pPr>
              <w:spacing w:after="50" w:before="50" w:line="252" w:lineRule="auto"/>
            </w:pPr>
            <w:r>
              <w:rPr>
                <w:sz w:val="17"/>
              </w:rPr>
              <w:t>Year 2, at 85%</w:t>
            </w:r>
          </w:p>
        </w:tc>
        <w:tc>
          <w:tcPr>
            <w:tcW w:type="dxa" w:w="2005"/>
            <w:shd w:val="clear" w:color="auto" w:fill="EAF1F4"/>
          </w:tcPr>
          <w:p>
            <w:pPr>
              <w:spacing w:after="50" w:before="50" w:line="252" w:lineRule="auto"/>
            </w:pPr>
            <w:r>
              <w:rPr>
                <w:sz w:val="17"/>
              </w:rPr>
              <w:t>5,19,095</w:t>
            </w:r>
          </w:p>
        </w:tc>
        <w:tc>
          <w:tcPr>
            <w:tcW w:type="dxa" w:w="1648"/>
            <w:shd w:val="clear" w:color="auto" w:fill="EAF1F4"/>
          </w:tcPr>
          <w:p>
            <w:pPr>
              <w:spacing w:after="50" w:before="50" w:line="252" w:lineRule="auto"/>
            </w:pPr>
            <w:r>
              <w:rPr>
                <w:sz w:val="17"/>
              </w:rPr>
              <w:t>1,75,228</w:t>
            </w:r>
          </w:p>
        </w:tc>
        <w:tc>
          <w:tcPr>
            <w:tcW w:type="dxa" w:w="1388"/>
            <w:shd w:val="clear" w:color="auto" w:fill="EAF1F4"/>
          </w:tcPr>
          <w:p>
            <w:pPr>
              <w:spacing w:after="50" w:before="50" w:line="252" w:lineRule="auto"/>
            </w:pPr>
            <w:r>
              <w:rPr>
                <w:sz w:val="17"/>
              </w:rPr>
              <w:t>5,100</w:t>
            </w:r>
          </w:p>
        </w:tc>
      </w:tr>
      <w:tr>
        <w:tc>
          <w:tcPr>
            <w:tcW w:type="dxa" w:w="4426"/>
          </w:tcPr>
          <w:p>
            <w:pPr>
              <w:spacing w:after="50" w:before="50" w:line="252" w:lineRule="auto"/>
            </w:pPr>
            <w:r>
              <w:rPr>
                <w:sz w:val="17"/>
              </w:rPr>
              <w:t>Year 3, at steady state</w:t>
            </w:r>
          </w:p>
        </w:tc>
        <w:tc>
          <w:tcPr>
            <w:tcW w:type="dxa" w:w="2005"/>
          </w:tcPr>
          <w:p>
            <w:pPr>
              <w:spacing w:after="50" w:before="50" w:line="252" w:lineRule="auto"/>
            </w:pPr>
            <w:r>
              <w:rPr>
                <w:sz w:val="17"/>
              </w:rPr>
              <w:t>6,10,700</w:t>
            </w:r>
          </w:p>
        </w:tc>
        <w:tc>
          <w:tcPr>
            <w:tcW w:type="dxa" w:w="1648"/>
          </w:tcPr>
          <w:p>
            <w:pPr>
              <w:spacing w:after="50" w:before="50" w:line="252" w:lineRule="auto"/>
            </w:pPr>
            <w:r>
              <w:rPr>
                <w:sz w:val="17"/>
              </w:rPr>
              <w:t>2,06,150</w:t>
            </w:r>
          </w:p>
        </w:tc>
        <w:tc>
          <w:tcPr>
            <w:tcW w:type="dxa" w:w="1388"/>
          </w:tcPr>
          <w:p>
            <w:pPr>
              <w:spacing w:after="50" w:before="50" w:line="252" w:lineRule="auto"/>
            </w:pPr>
            <w:r>
              <w:rPr>
                <w:sz w:val="17"/>
              </w:rPr>
              <w:t>6,000</w:t>
            </w:r>
          </w:p>
        </w:tc>
      </w:tr>
      <w:tr>
        <w:tc>
          <w:tcPr>
            <w:tcW w:type="dxa" w:w="4426"/>
            <w:shd w:val="clear" w:color="auto" w:fill="EAF1F4"/>
          </w:tcPr>
          <w:p>
            <w:pPr>
              <w:spacing w:after="50" w:before="50" w:line="252" w:lineRule="auto"/>
            </w:pPr>
            <w:r>
              <w:rPr>
                <w:sz w:val="17"/>
              </w:rPr>
              <w:t>Three-year cumulative net contribution</w:t>
            </w:r>
          </w:p>
        </w:tc>
        <w:tc>
          <w:tcPr>
            <w:tcW w:type="dxa" w:w="2005"/>
            <w:shd w:val="clear" w:color="auto" w:fill="EAF1F4"/>
          </w:tcPr>
          <w:p>
            <w:pPr>
              <w:spacing w:after="50" w:before="50" w:line="252" w:lineRule="auto"/>
            </w:pPr>
            <w:r>
              <w:rPr>
                <w:sz w:val="17"/>
              </w:rPr>
              <w:t>14,65,680</w:t>
            </w:r>
          </w:p>
        </w:tc>
        <w:tc>
          <w:tcPr>
            <w:tcW w:type="dxa" w:w="1648"/>
            <w:shd w:val="clear" w:color="auto" w:fill="EAF1F4"/>
          </w:tcPr>
          <w:p>
            <w:pPr>
              <w:spacing w:after="50" w:before="50" w:line="252" w:lineRule="auto"/>
            </w:pPr>
            <w:r>
              <w:rPr>
                <w:sz w:val="17"/>
              </w:rPr>
              <w:t>4,94,760</w:t>
            </w:r>
          </w:p>
        </w:tc>
        <w:tc>
          <w:tcPr>
            <w:tcW w:type="dxa" w:w="1388"/>
            <w:shd w:val="clear" w:color="auto" w:fill="EAF1F4"/>
          </w:tcPr>
          <w:p>
            <w:pPr>
              <w:spacing w:after="50" w:before="50" w:line="252" w:lineRule="auto"/>
            </w:pPr>
            <w:r>
              <w:rPr>
                <w:sz w:val="17"/>
              </w:rPr>
              <w:t>14,400</w:t>
            </w:r>
          </w:p>
        </w:tc>
      </w:tr>
      <w:tr>
        <w:tc>
          <w:tcPr>
            <w:tcW w:type="dxa" w:w="4426"/>
          </w:tcPr>
          <w:p>
            <w:pPr>
              <w:spacing w:after="50" w:before="50" w:line="252" w:lineRule="auto"/>
            </w:pPr>
            <w:r>
              <w:rPr>
                <w:b/>
                <w:sz w:val="17"/>
              </w:rPr>
              <w:t>Payback achieved in</w:t>
            </w:r>
          </w:p>
        </w:tc>
        <w:tc>
          <w:tcPr>
            <w:tcW w:type="dxa" w:w="2005"/>
          </w:tcPr>
          <w:p>
            <w:pPr>
              <w:spacing w:after="50" w:before="50" w:line="252" w:lineRule="auto"/>
            </w:pPr>
            <w:r>
              <w:rPr>
                <w:b/>
                <w:sz w:val="17"/>
              </w:rPr>
              <w:t>Year 1</w:t>
            </w:r>
          </w:p>
        </w:tc>
        <w:tc>
          <w:tcPr>
            <w:tcW w:type="dxa" w:w="1648"/>
          </w:tcPr>
          <w:p>
            <w:pPr>
              <w:spacing w:after="50" w:before="50" w:line="252" w:lineRule="auto"/>
            </w:pPr>
            <w:r>
              <w:rPr>
                <w:b/>
                <w:sz w:val="17"/>
              </w:rPr>
              <w:t>Year 1</w:t>
            </w:r>
          </w:p>
        </w:tc>
        <w:tc>
          <w:tcPr>
            <w:tcW w:type="dxa" w:w="1388"/>
          </w:tcPr>
          <w:p>
            <w:pPr>
              <w:spacing w:after="50" w:before="50" w:line="252" w:lineRule="auto"/>
            </w:pPr>
            <w:r>
              <w:rPr>
                <w:b/>
                <w:sz w:val="17"/>
              </w:rPr>
              <w:t>Beyond year 3</w:t>
            </w:r>
          </w:p>
        </w:tc>
      </w:tr>
      <w:tr>
        <w:tc>
          <w:tcPr>
            <w:tcW w:type="dxa" w:w="4426"/>
            <w:shd w:val="clear" w:color="auto" w:fill="EAF1F4"/>
          </w:tcPr>
          <w:p>
            <w:pPr>
              <w:spacing w:after="50" w:before="50" w:line="252" w:lineRule="auto"/>
            </w:pPr>
            <w:r>
              <w:rPr>
                <w:b/>
                <w:sz w:val="17"/>
              </w:rPr>
              <w:t>Three-year return on acquisition cost</w:t>
            </w:r>
          </w:p>
        </w:tc>
        <w:tc>
          <w:tcPr>
            <w:tcW w:type="dxa" w:w="2005"/>
            <w:shd w:val="clear" w:color="auto" w:fill="EAF1F4"/>
          </w:tcPr>
          <w:p>
            <w:pPr>
              <w:spacing w:after="50" w:before="50" w:line="252" w:lineRule="auto"/>
            </w:pPr>
            <w:r>
              <w:rPr>
                <w:b/>
                <w:sz w:val="17"/>
              </w:rPr>
              <w:t>10.0×</w:t>
            </w:r>
          </w:p>
        </w:tc>
        <w:tc>
          <w:tcPr>
            <w:tcW w:type="dxa" w:w="1648"/>
            <w:shd w:val="clear" w:color="auto" w:fill="EAF1F4"/>
          </w:tcPr>
          <w:p>
            <w:pPr>
              <w:spacing w:after="50" w:before="50" w:line="252" w:lineRule="auto"/>
            </w:pPr>
            <w:r>
              <w:rPr>
                <w:b/>
                <w:sz w:val="17"/>
              </w:rPr>
              <w:t>7.1×</w:t>
            </w:r>
          </w:p>
        </w:tc>
        <w:tc>
          <w:tcPr>
            <w:tcW w:type="dxa" w:w="1388"/>
            <w:shd w:val="clear" w:color="auto" w:fill="EAF1F4"/>
          </w:tcPr>
          <w:p>
            <w:pPr>
              <w:spacing w:after="50" w:before="50" w:line="252" w:lineRule="auto"/>
            </w:pPr>
            <w:r>
              <w:rPr>
                <w:b/>
                <w:sz w:val="17"/>
              </w:rPr>
              <w:t>0.9×</w:t>
            </w:r>
          </w:p>
        </w:tc>
      </w:tr>
    </w:tbl>
    <w:p>
      <w:pPr>
        <w:spacing w:after="80" w:before="0"/>
      </w:pPr>
    </w:p>
    <w:p>
      <w:r>
        <w:rPr>
          <w:b/>
        </w:rPr>
        <w:t>On Tier 3.</w:t>
      </w:r>
      <w:r>
        <w:t xml:space="preserve"> It does not repay its acquisition cost within three years, and it is not meant to. It is justified on brand reach and competition participation, and it is kept deliberately cheap — ₹16,000 to acquire and roughly six person-days a year to maintain. The moment a Tier 3 partnership begins consuming Tier 2 effort, it should be promoted on the scorecard or allowed to lapse.</w:t>
      </w:r>
    </w:p>
    <w:p>
      <w:pPr>
        <w:spacing w:before="80" w:after="160"/>
        <w:pBdr>
          <w:bottom w:val="single" w:sz="6" w:space="1" w:color="C9D6DE"/>
        </w:pBdr>
      </w:pPr>
    </w:p>
    <w:p>
      <w:pPr>
        <w:pStyle w:val="Heading1"/>
        <w:pBdr>
          <w:bottom w:val="single" w:sz="8" w:space="4" w:color="C9D6DE"/>
        </w:pBdr>
      </w:pPr>
      <w:r>
        <w:t>5. Non-cash returns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395"/>
            <w:shd w:val="clear" w:color="auto" w:fill="10375C"/>
          </w:tcPr>
          <w:p>
            <w:pPr>
              <w:spacing w:after="50" w:before="50"/>
            </w:pPr>
            <w:r>
              <w:rPr>
                <w:b/>
                <w:color w:val="FFFFFF"/>
                <w:sz w:val="17"/>
              </w:rPr>
              <w:t>Return</w:t>
            </w:r>
          </w:p>
        </w:tc>
        <w:tc>
          <w:tcPr>
            <w:tcW w:type="dxa" w:w="2869"/>
            <w:shd w:val="clear" w:color="auto" w:fill="10375C"/>
          </w:tcPr>
          <w:p>
            <w:pPr>
              <w:spacing w:after="50" w:before="50"/>
            </w:pPr>
            <w:r>
              <w:rPr>
                <w:b/>
                <w:color w:val="FFFFFF"/>
                <w:sz w:val="17"/>
              </w:rPr>
              <w:t>Basis</w:t>
            </w:r>
          </w:p>
        </w:tc>
        <w:tc>
          <w:tcPr>
            <w:tcW w:type="dxa" w:w="1119"/>
            <w:shd w:val="clear" w:color="auto" w:fill="10375C"/>
          </w:tcPr>
          <w:p>
            <w:pPr>
              <w:spacing w:after="50" w:before="50"/>
            </w:pPr>
            <w:r>
              <w:rPr>
                <w:b/>
                <w:color w:val="FFFFFF"/>
                <w:sz w:val="17"/>
              </w:rPr>
              <w:t>Tier 1</w:t>
            </w:r>
          </w:p>
        </w:tc>
        <w:tc>
          <w:tcPr>
            <w:tcW w:type="dxa" w:w="1085"/>
            <w:shd w:val="clear" w:color="auto" w:fill="10375C"/>
          </w:tcPr>
          <w:p>
            <w:pPr>
              <w:spacing w:after="50" w:before="50"/>
            </w:pPr>
            <w:r>
              <w:rPr>
                <w:b/>
                <w:color w:val="FFFFFF"/>
                <w:sz w:val="17"/>
              </w:rPr>
              <w:t>Tier 2</w:t>
            </w:r>
          </w:p>
        </w:tc>
      </w:tr>
      <w:tr>
        <w:tc>
          <w:tcPr>
            <w:tcW w:type="dxa" w:w="4395"/>
          </w:tcPr>
          <w:p>
            <w:pPr>
              <w:spacing w:after="50" w:before="50" w:line="252" w:lineRule="auto"/>
            </w:pPr>
            <w:r>
              <w:rPr>
                <w:sz w:val="17"/>
              </w:rPr>
              <w:t>Interns converted to employment per year</w:t>
            </w:r>
          </w:p>
        </w:tc>
        <w:tc>
          <w:tcPr>
            <w:tcW w:type="dxa" w:w="2869"/>
          </w:tcPr>
          <w:p>
            <w:pPr>
              <w:spacing w:after="50" w:before="50" w:line="252" w:lineRule="auto"/>
            </w:pPr>
            <w:r>
              <w:rPr>
                <w:sz w:val="17"/>
              </w:rPr>
              <w:t>Historic conversion applied to cohort</w:t>
            </w:r>
          </w:p>
        </w:tc>
        <w:tc>
          <w:tcPr>
            <w:tcW w:type="dxa" w:w="1119"/>
          </w:tcPr>
          <w:p>
            <w:pPr>
              <w:spacing w:after="50" w:before="50" w:line="252" w:lineRule="auto"/>
            </w:pPr>
            <w:r>
              <w:rPr>
                <w:sz w:val="17"/>
              </w:rPr>
              <w:t>2</w:t>
            </w:r>
          </w:p>
        </w:tc>
        <w:tc>
          <w:tcPr>
            <w:tcW w:type="dxa" w:w="1085"/>
          </w:tcPr>
          <w:p>
            <w:pPr>
              <w:spacing w:after="50" w:before="50" w:line="252" w:lineRule="auto"/>
            </w:pPr>
            <w:r>
              <w:rPr>
                <w:sz w:val="17"/>
              </w:rPr>
              <w:t>0.5</w:t>
            </w:r>
          </w:p>
        </w:tc>
      </w:tr>
      <w:tr>
        <w:tc>
          <w:tcPr>
            <w:tcW w:type="dxa" w:w="4395"/>
            <w:shd w:val="clear" w:color="auto" w:fill="EAF1F4"/>
          </w:tcPr>
          <w:p>
            <w:pPr>
              <w:spacing w:after="50" w:before="50" w:line="252" w:lineRule="auto"/>
            </w:pPr>
            <w:r>
              <w:rPr>
                <w:sz w:val="17"/>
              </w:rPr>
              <w:t>Cost-of-hire avoided at ₹1,10,000</w:t>
            </w:r>
          </w:p>
        </w:tc>
        <w:tc>
          <w:tcPr>
            <w:tcW w:type="dxa" w:w="2869"/>
            <w:shd w:val="clear" w:color="auto" w:fill="EAF1F4"/>
          </w:tcPr>
          <w:p>
            <w:pPr>
              <w:spacing w:after="50" w:before="50" w:line="252" w:lineRule="auto"/>
            </w:pPr>
          </w:p>
        </w:tc>
        <w:tc>
          <w:tcPr>
            <w:tcW w:type="dxa" w:w="1119"/>
            <w:shd w:val="clear" w:color="auto" w:fill="EAF1F4"/>
          </w:tcPr>
          <w:p>
            <w:pPr>
              <w:spacing w:after="50" w:before="50" w:line="252" w:lineRule="auto"/>
            </w:pPr>
            <w:r>
              <w:rPr>
                <w:sz w:val="17"/>
              </w:rPr>
              <w:t>2,20,000</w:t>
            </w:r>
          </w:p>
        </w:tc>
        <w:tc>
          <w:tcPr>
            <w:tcW w:type="dxa" w:w="1085"/>
            <w:shd w:val="clear" w:color="auto" w:fill="EAF1F4"/>
          </w:tcPr>
          <w:p>
            <w:pPr>
              <w:spacing w:after="50" w:before="50" w:line="252" w:lineRule="auto"/>
            </w:pPr>
            <w:r>
              <w:rPr>
                <w:sz w:val="17"/>
              </w:rPr>
              <w:t>55,000</w:t>
            </w:r>
          </w:p>
        </w:tc>
      </w:tr>
      <w:tr>
        <w:tc>
          <w:tcPr>
            <w:tcW w:type="dxa" w:w="4395"/>
          </w:tcPr>
          <w:p>
            <w:pPr>
              <w:spacing w:after="50" w:before="50" w:line="252" w:lineRule="auto"/>
            </w:pPr>
            <w:r>
              <w:rPr>
                <w:sz w:val="17"/>
              </w:rPr>
              <w:t>Venue and production cost avoided</w:t>
            </w:r>
          </w:p>
        </w:tc>
        <w:tc>
          <w:tcPr>
            <w:tcW w:type="dxa" w:w="2869"/>
          </w:tcPr>
          <w:p>
            <w:pPr>
              <w:spacing w:after="50" w:before="50" w:line="252" w:lineRule="auto"/>
            </w:pPr>
            <w:r>
              <w:rPr>
                <w:sz w:val="17"/>
              </w:rPr>
              <w:t>Major events hosted on campus</w:t>
            </w:r>
          </w:p>
        </w:tc>
        <w:tc>
          <w:tcPr>
            <w:tcW w:type="dxa" w:w="1119"/>
          </w:tcPr>
          <w:p>
            <w:pPr>
              <w:spacing w:after="50" w:before="50" w:line="252" w:lineRule="auto"/>
            </w:pPr>
            <w:r>
              <w:rPr>
                <w:sz w:val="17"/>
              </w:rPr>
              <w:t>3,20,000</w:t>
            </w:r>
          </w:p>
        </w:tc>
        <w:tc>
          <w:tcPr>
            <w:tcW w:type="dxa" w:w="1085"/>
          </w:tcPr>
          <w:p>
            <w:pPr>
              <w:spacing w:after="50" w:before="50" w:line="252" w:lineRule="auto"/>
            </w:pPr>
            <w:r>
              <w:rPr>
                <w:sz w:val="17"/>
              </w:rPr>
              <w:t>90,000</w:t>
            </w:r>
          </w:p>
        </w:tc>
      </w:tr>
      <w:tr>
        <w:tc>
          <w:tcPr>
            <w:tcW w:type="dxa" w:w="4395"/>
            <w:shd w:val="clear" w:color="auto" w:fill="EAF1F4"/>
          </w:tcPr>
          <w:p>
            <w:pPr>
              <w:spacing w:after="50" w:before="50" w:line="252" w:lineRule="auto"/>
            </w:pPr>
            <w:r>
              <w:rPr>
                <w:sz w:val="17"/>
              </w:rPr>
              <w:t>Content produced by student ambassadors</w:t>
            </w:r>
          </w:p>
        </w:tc>
        <w:tc>
          <w:tcPr>
            <w:tcW w:type="dxa" w:w="2869"/>
            <w:shd w:val="clear" w:color="auto" w:fill="EAF1F4"/>
          </w:tcPr>
          <w:p>
            <w:pPr>
              <w:spacing w:after="50" w:before="50" w:line="252" w:lineRule="auto"/>
            </w:pPr>
            <w:r>
              <w:rPr>
                <w:sz w:val="17"/>
              </w:rPr>
              <w:t>Displaced agency cost</w:t>
            </w:r>
          </w:p>
        </w:tc>
        <w:tc>
          <w:tcPr>
            <w:tcW w:type="dxa" w:w="1119"/>
            <w:shd w:val="clear" w:color="auto" w:fill="EAF1F4"/>
          </w:tcPr>
          <w:p>
            <w:pPr>
              <w:spacing w:after="50" w:before="50" w:line="252" w:lineRule="auto"/>
            </w:pPr>
            <w:r>
              <w:rPr>
                <w:sz w:val="17"/>
              </w:rPr>
              <w:t>60,000</w:t>
            </w:r>
          </w:p>
        </w:tc>
        <w:tc>
          <w:tcPr>
            <w:tcW w:type="dxa" w:w="1085"/>
            <w:shd w:val="clear" w:color="auto" w:fill="EAF1F4"/>
          </w:tcPr>
          <w:p>
            <w:pPr>
              <w:spacing w:after="50" w:before="50" w:line="252" w:lineRule="auto"/>
            </w:pPr>
            <w:r>
              <w:rPr>
                <w:sz w:val="17"/>
              </w:rPr>
              <w:t>15,000</w:t>
            </w:r>
          </w:p>
        </w:tc>
      </w:tr>
      <w:tr>
        <w:tc>
          <w:tcPr>
            <w:tcW w:type="dxa" w:w="4395"/>
          </w:tcPr>
          <w:p>
            <w:pPr>
              <w:spacing w:after="50" w:before="50" w:line="252" w:lineRule="auto"/>
            </w:pPr>
            <w:r>
              <w:rPr>
                <w:b/>
                <w:sz w:val="17"/>
              </w:rPr>
              <w:t>Total non-cash return</w:t>
            </w:r>
          </w:p>
        </w:tc>
        <w:tc>
          <w:tcPr>
            <w:tcW w:type="dxa" w:w="2869"/>
          </w:tcPr>
          <w:p>
            <w:pPr>
              <w:spacing w:after="50" w:before="50" w:line="252" w:lineRule="auto"/>
            </w:pPr>
          </w:p>
        </w:tc>
        <w:tc>
          <w:tcPr>
            <w:tcW w:type="dxa" w:w="1119"/>
          </w:tcPr>
          <w:p>
            <w:pPr>
              <w:spacing w:after="50" w:before="50" w:line="252" w:lineRule="auto"/>
            </w:pPr>
            <w:r>
              <w:rPr>
                <w:b/>
                <w:sz w:val="17"/>
              </w:rPr>
              <w:t>6,00,000</w:t>
            </w:r>
          </w:p>
        </w:tc>
        <w:tc>
          <w:tcPr>
            <w:tcW w:type="dxa" w:w="1085"/>
          </w:tcPr>
          <w:p>
            <w:pPr>
              <w:spacing w:after="50" w:before="50" w:line="252" w:lineRule="auto"/>
            </w:pPr>
            <w:r>
              <w:rPr>
                <w:b/>
                <w:sz w:val="17"/>
              </w:rPr>
              <w:t>1,60,000</w:t>
            </w:r>
          </w:p>
        </w:tc>
      </w:tr>
    </w:tbl>
    <w:p>
      <w:pPr>
        <w:spacing w:after="80" w:before="0"/>
      </w:pPr>
    </w:p>
    <w:p>
      <w:r>
        <w:rPr>
          <w:b/>
        </w:rPr>
        <w:t>Economic contribution including non-cash returns:</w:t>
      </w:r>
      <w:r>
        <w:t xml:space="preserve"> Tier 1 approximately ₹12,10,700; Tier 2 approximately ₹3,66,150.</w:t>
      </w:r>
    </w:p>
    <w:p>
      <w:r>
        <w:t xml:space="preserve">These are recorded because they justify the fixed programme management cost. They are </w:t>
      </w:r>
      <w:r>
        <w:rPr>
          <w:b/>
        </w:rPr>
        <w:t>not</w:t>
      </w:r>
      <w:r>
        <w:t xml:space="preserve"> reported as revenue and must never appear in a financial statement.</w:t>
      </w:r>
    </w:p>
    <w:p>
      <w:pPr>
        <w:spacing w:before="80" w:after="160"/>
        <w:pBdr>
          <w:bottom w:val="single" w:sz="6" w:space="1" w:color="C9D6DE"/>
        </w:pBdr>
      </w:pPr>
    </w:p>
    <w:p>
      <w:pPr>
        <w:pStyle w:val="Heading1"/>
        <w:pBdr>
          <w:bottom w:val="single" w:sz="8" w:space="4" w:color="C9D6DE"/>
        </w:pBdr>
      </w:pPr>
      <w:r>
        <w:t>6. Competition economics</w:t>
      </w:r>
    </w:p>
    <w:p>
      <w:pPr>
        <w:pStyle w:val="Heading2"/>
      </w:pPr>
      <w:r>
        <w:t>6.1 Edition 1 — expect a loss, and budget for it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558"/>
            <w:shd w:val="clear" w:color="auto" w:fill="10375C"/>
          </w:tcPr>
          <w:p>
            <w:pPr>
              <w:spacing w:after="50" w:before="50"/>
            </w:pPr>
            <w:r>
              <w:rPr>
                <w:b/>
                <w:color w:val="FFFFFF"/>
                <w:sz w:val="17"/>
              </w:rPr>
              <w:t>Line</w:t>
            </w:r>
          </w:p>
        </w:tc>
        <w:tc>
          <w:tcPr>
            <w:tcW w:type="dxa" w:w="2910"/>
            <w:shd w:val="clear" w:color="auto" w:fill="10375C"/>
          </w:tcPr>
          <w:p>
            <w:pPr>
              <w:spacing w:after="50" w:before="50"/>
            </w:pPr>
            <w:r>
              <w:rPr>
                <w:b/>
                <w:color w:val="FFFFFF"/>
                <w:sz w:val="17"/>
              </w:rPr>
              <w:t>Amount</w:t>
            </w:r>
          </w:p>
        </w:tc>
      </w:tr>
      <w:tr>
        <w:tc>
          <w:tcPr>
            <w:tcW w:type="dxa" w:w="6558"/>
          </w:tcPr>
          <w:p>
            <w:pPr>
              <w:spacing w:after="50" w:before="50" w:line="252" w:lineRule="auto"/>
            </w:pPr>
            <w:r>
              <w:rPr>
                <w:sz w:val="17"/>
              </w:rPr>
              <w:t>Registration, 40 teams × 7,500</w:t>
            </w:r>
          </w:p>
        </w:tc>
        <w:tc>
          <w:tcPr>
            <w:tcW w:type="dxa" w:w="2910"/>
          </w:tcPr>
          <w:p>
            <w:pPr>
              <w:spacing w:after="50" w:before="50" w:line="252" w:lineRule="auto"/>
            </w:pPr>
            <w:r>
              <w:rPr>
                <w:sz w:val="17"/>
              </w:rPr>
              <w:t>3,00,000</w:t>
            </w:r>
          </w:p>
        </w:tc>
      </w:tr>
      <w:tr>
        <w:tc>
          <w:tcPr>
            <w:tcW w:type="dxa" w:w="6558"/>
            <w:shd w:val="clear" w:color="auto" w:fill="EAF1F4"/>
          </w:tcPr>
          <w:p>
            <w:pPr>
              <w:spacing w:after="50" w:before="50" w:line="252" w:lineRule="auto"/>
            </w:pPr>
            <w:r>
              <w:rPr>
                <w:sz w:val="17"/>
              </w:rPr>
              <w:t>Title sponsor</w:t>
            </w:r>
          </w:p>
        </w:tc>
        <w:tc>
          <w:tcPr>
            <w:tcW w:type="dxa" w:w="2910"/>
            <w:shd w:val="clear" w:color="auto" w:fill="EAF1F4"/>
          </w:tcPr>
          <w:p>
            <w:pPr>
              <w:spacing w:after="50" w:before="50" w:line="252" w:lineRule="auto"/>
            </w:pPr>
            <w:r>
              <w:rPr>
                <w:sz w:val="17"/>
              </w:rPr>
              <w:t>4,00,000</w:t>
            </w:r>
          </w:p>
        </w:tc>
      </w:tr>
      <w:tr>
        <w:tc>
          <w:tcPr>
            <w:tcW w:type="dxa" w:w="6558"/>
          </w:tcPr>
          <w:p>
            <w:pPr>
              <w:spacing w:after="50" w:before="50" w:line="252" w:lineRule="auto"/>
            </w:pPr>
            <w:r>
              <w:rPr>
                <w:sz w:val="17"/>
              </w:rPr>
              <w:t>Associate sponsors, two</w:t>
            </w:r>
          </w:p>
        </w:tc>
        <w:tc>
          <w:tcPr>
            <w:tcW w:type="dxa" w:w="2910"/>
          </w:tcPr>
          <w:p>
            <w:pPr>
              <w:spacing w:after="50" w:before="50" w:line="252" w:lineRule="auto"/>
            </w:pPr>
            <w:r>
              <w:rPr>
                <w:sz w:val="17"/>
              </w:rPr>
              <w:t>3,00,000</w:t>
            </w:r>
          </w:p>
        </w:tc>
      </w:tr>
      <w:tr>
        <w:tc>
          <w:tcPr>
            <w:tcW w:type="dxa" w:w="6558"/>
            <w:shd w:val="clear" w:color="auto" w:fill="EAF1F4"/>
          </w:tcPr>
          <w:p>
            <w:pPr>
              <w:spacing w:after="50" w:before="50" w:line="252" w:lineRule="auto"/>
            </w:pPr>
            <w:r>
              <w:rPr>
                <w:sz w:val="17"/>
              </w:rPr>
              <w:t>Round sponsors, two</w:t>
            </w:r>
          </w:p>
        </w:tc>
        <w:tc>
          <w:tcPr>
            <w:tcW w:type="dxa" w:w="2910"/>
            <w:shd w:val="clear" w:color="auto" w:fill="EAF1F4"/>
          </w:tcPr>
          <w:p>
            <w:pPr>
              <w:spacing w:after="50" w:before="50" w:line="252" w:lineRule="auto"/>
            </w:pPr>
            <w:r>
              <w:rPr>
                <w:sz w:val="17"/>
              </w:rPr>
              <w:t>1,50,000</w:t>
            </w:r>
          </w:p>
        </w:tc>
      </w:tr>
      <w:tr>
        <w:tc>
          <w:tcPr>
            <w:tcW w:type="dxa" w:w="6558"/>
          </w:tcPr>
          <w:p>
            <w:pPr>
              <w:spacing w:after="50" w:before="50" w:line="252" w:lineRule="auto"/>
            </w:pPr>
            <w:r>
              <w:rPr>
                <w:b/>
                <w:sz w:val="17"/>
              </w:rPr>
              <w:t>Total income</w:t>
            </w:r>
          </w:p>
        </w:tc>
        <w:tc>
          <w:tcPr>
            <w:tcW w:type="dxa" w:w="2910"/>
          </w:tcPr>
          <w:p>
            <w:pPr>
              <w:spacing w:after="50" w:before="50" w:line="252" w:lineRule="auto"/>
            </w:pPr>
            <w:r>
              <w:rPr>
                <w:b/>
                <w:sz w:val="17"/>
              </w:rPr>
              <w:t>11,50,000</w:t>
            </w:r>
          </w:p>
        </w:tc>
      </w:tr>
      <w:tr>
        <w:tc>
          <w:tcPr>
            <w:tcW w:type="dxa" w:w="6558"/>
            <w:shd w:val="clear" w:color="auto" w:fill="EAF1F4"/>
          </w:tcPr>
          <w:p>
            <w:pPr>
              <w:spacing w:after="50" w:before="50" w:line="252" w:lineRule="auto"/>
            </w:pPr>
            <w:r>
              <w:rPr>
                <w:sz w:val="17"/>
              </w:rPr>
              <w:t>Problem development</w:t>
            </w:r>
          </w:p>
        </w:tc>
        <w:tc>
          <w:tcPr>
            <w:tcW w:type="dxa" w:w="2910"/>
            <w:shd w:val="clear" w:color="auto" w:fill="EAF1F4"/>
          </w:tcPr>
          <w:p>
            <w:pPr>
              <w:spacing w:after="50" w:before="50" w:line="252" w:lineRule="auto"/>
            </w:pPr>
            <w:r>
              <w:rPr>
                <w:sz w:val="17"/>
              </w:rPr>
              <w:t>(1,20,000)</w:t>
            </w:r>
          </w:p>
        </w:tc>
      </w:tr>
      <w:tr>
        <w:tc>
          <w:tcPr>
            <w:tcW w:type="dxa" w:w="6558"/>
          </w:tcPr>
          <w:p>
            <w:pPr>
              <w:spacing w:after="50" w:before="50" w:line="252" w:lineRule="auto"/>
            </w:pPr>
            <w:r>
              <w:rPr>
                <w:sz w:val="17"/>
              </w:rPr>
              <w:t>Judge honoraria, 30 × 5,000</w:t>
            </w:r>
          </w:p>
        </w:tc>
        <w:tc>
          <w:tcPr>
            <w:tcW w:type="dxa" w:w="2910"/>
          </w:tcPr>
          <w:p>
            <w:pPr>
              <w:spacing w:after="50" w:before="50" w:line="252" w:lineRule="auto"/>
            </w:pPr>
            <w:r>
              <w:rPr>
                <w:sz w:val="17"/>
              </w:rPr>
              <w:t>(1,50,000)</w:t>
            </w:r>
          </w:p>
        </w:tc>
      </w:tr>
      <w:tr>
        <w:tc>
          <w:tcPr>
            <w:tcW w:type="dxa" w:w="6558"/>
            <w:shd w:val="clear" w:color="auto" w:fill="EAF1F4"/>
          </w:tcPr>
          <w:p>
            <w:pPr>
              <w:spacing w:after="50" w:before="50" w:line="252" w:lineRule="auto"/>
            </w:pPr>
            <w:r>
              <w:rPr>
                <w:sz w:val="17"/>
              </w:rPr>
              <w:t>Judge travel and hospitality</w:t>
            </w:r>
          </w:p>
        </w:tc>
        <w:tc>
          <w:tcPr>
            <w:tcW w:type="dxa" w:w="2910"/>
            <w:shd w:val="clear" w:color="auto" w:fill="EAF1F4"/>
          </w:tcPr>
          <w:p>
            <w:pPr>
              <w:spacing w:after="50" w:before="50" w:line="252" w:lineRule="auto"/>
            </w:pPr>
            <w:r>
              <w:rPr>
                <w:sz w:val="17"/>
              </w:rPr>
              <w:t>(2,00,000)</w:t>
            </w:r>
          </w:p>
        </w:tc>
      </w:tr>
      <w:tr>
        <w:tc>
          <w:tcPr>
            <w:tcW w:type="dxa" w:w="6558"/>
          </w:tcPr>
          <w:p>
            <w:pPr>
              <w:spacing w:after="50" w:before="50" w:line="252" w:lineRule="auto"/>
            </w:pPr>
            <w:r>
              <w:rPr>
                <w:sz w:val="17"/>
              </w:rPr>
              <w:t>Prize money</w:t>
            </w:r>
          </w:p>
        </w:tc>
        <w:tc>
          <w:tcPr>
            <w:tcW w:type="dxa" w:w="2910"/>
          </w:tcPr>
          <w:p>
            <w:pPr>
              <w:spacing w:after="50" w:before="50" w:line="252" w:lineRule="auto"/>
            </w:pPr>
            <w:r>
              <w:rPr>
                <w:sz w:val="17"/>
              </w:rPr>
              <w:t>(1,50,000)</w:t>
            </w:r>
          </w:p>
        </w:tc>
      </w:tr>
      <w:tr>
        <w:tc>
          <w:tcPr>
            <w:tcW w:type="dxa" w:w="6558"/>
            <w:shd w:val="clear" w:color="auto" w:fill="EAF1F4"/>
          </w:tcPr>
          <w:p>
            <w:pPr>
              <w:spacing w:after="50" w:before="50" w:line="252" w:lineRule="auto"/>
            </w:pPr>
            <w:r>
              <w:rPr>
                <w:sz w:val="17"/>
              </w:rPr>
              <w:t>Trophies, certificates, medals</w:t>
            </w:r>
          </w:p>
        </w:tc>
        <w:tc>
          <w:tcPr>
            <w:tcW w:type="dxa" w:w="2910"/>
            <w:shd w:val="clear" w:color="auto" w:fill="EAF1F4"/>
          </w:tcPr>
          <w:p>
            <w:pPr>
              <w:spacing w:after="50" w:before="50" w:line="252" w:lineRule="auto"/>
            </w:pPr>
            <w:r>
              <w:rPr>
                <w:sz w:val="17"/>
              </w:rPr>
              <w:t>(60,000)</w:t>
            </w:r>
          </w:p>
        </w:tc>
      </w:tr>
      <w:tr>
        <w:tc>
          <w:tcPr>
            <w:tcW w:type="dxa" w:w="6558"/>
          </w:tcPr>
          <w:p>
            <w:pPr>
              <w:spacing w:after="50" w:before="50" w:line="252" w:lineRule="auto"/>
            </w:pPr>
            <w:r>
              <w:rPr>
                <w:sz w:val="17"/>
              </w:rPr>
              <w:t>Participant materials</w:t>
            </w:r>
          </w:p>
        </w:tc>
        <w:tc>
          <w:tcPr>
            <w:tcW w:type="dxa" w:w="2910"/>
          </w:tcPr>
          <w:p>
            <w:pPr>
              <w:spacing w:after="50" w:before="50" w:line="252" w:lineRule="auto"/>
            </w:pPr>
            <w:r>
              <w:rPr>
                <w:sz w:val="17"/>
              </w:rPr>
              <w:t>(40,000)</w:t>
            </w:r>
          </w:p>
        </w:tc>
      </w:tr>
      <w:tr>
        <w:tc>
          <w:tcPr>
            <w:tcW w:type="dxa" w:w="6558"/>
            <w:shd w:val="clear" w:color="auto" w:fill="EAF1F4"/>
          </w:tcPr>
          <w:p>
            <w:pPr>
              <w:spacing w:after="50" w:before="50" w:line="252" w:lineRule="auto"/>
            </w:pPr>
            <w:r>
              <w:rPr>
                <w:sz w:val="17"/>
              </w:rPr>
              <w:t>Branding, production, signage</w:t>
            </w:r>
          </w:p>
        </w:tc>
        <w:tc>
          <w:tcPr>
            <w:tcW w:type="dxa" w:w="2910"/>
            <w:shd w:val="clear" w:color="auto" w:fill="EAF1F4"/>
          </w:tcPr>
          <w:p>
            <w:pPr>
              <w:spacing w:after="50" w:before="50" w:line="252" w:lineRule="auto"/>
            </w:pPr>
            <w:r>
              <w:rPr>
                <w:sz w:val="17"/>
              </w:rPr>
              <w:t>(1,80,000)</w:t>
            </w:r>
          </w:p>
        </w:tc>
      </w:tr>
      <w:tr>
        <w:tc>
          <w:tcPr>
            <w:tcW w:type="dxa" w:w="6558"/>
          </w:tcPr>
          <w:p>
            <w:pPr>
              <w:spacing w:after="50" w:before="50" w:line="252" w:lineRule="auto"/>
            </w:pPr>
            <w:r>
              <w:rPr>
                <w:sz w:val="17"/>
              </w:rPr>
              <w:t>Photography and video</w:t>
            </w:r>
          </w:p>
        </w:tc>
        <w:tc>
          <w:tcPr>
            <w:tcW w:type="dxa" w:w="2910"/>
          </w:tcPr>
          <w:p>
            <w:pPr>
              <w:spacing w:after="50" w:before="50" w:line="252" w:lineRule="auto"/>
            </w:pPr>
            <w:r>
              <w:rPr>
                <w:sz w:val="17"/>
              </w:rPr>
              <w:t>(75,000)</w:t>
            </w:r>
          </w:p>
        </w:tc>
      </w:tr>
      <w:tr>
        <w:tc>
          <w:tcPr>
            <w:tcW w:type="dxa" w:w="6558"/>
            <w:shd w:val="clear" w:color="auto" w:fill="EAF1F4"/>
          </w:tcPr>
          <w:p>
            <w:pPr>
              <w:spacing w:after="50" w:before="50" w:line="252" w:lineRule="auto"/>
            </w:pPr>
            <w:r>
              <w:rPr>
                <w:sz w:val="17"/>
              </w:rPr>
              <w:t>Hospitality — venue supplied by host</w:t>
            </w:r>
          </w:p>
        </w:tc>
        <w:tc>
          <w:tcPr>
            <w:tcW w:type="dxa" w:w="2910"/>
            <w:shd w:val="clear" w:color="auto" w:fill="EAF1F4"/>
          </w:tcPr>
          <w:p>
            <w:pPr>
              <w:spacing w:after="50" w:before="50" w:line="252" w:lineRule="auto"/>
            </w:pPr>
            <w:r>
              <w:rPr>
                <w:sz w:val="17"/>
              </w:rPr>
              <w:t>(1,20,000)</w:t>
            </w:r>
          </w:p>
        </w:tc>
      </w:tr>
      <w:tr>
        <w:tc>
          <w:tcPr>
            <w:tcW w:type="dxa" w:w="6558"/>
          </w:tcPr>
          <w:p>
            <w:pPr>
              <w:spacing w:after="50" w:before="50" w:line="252" w:lineRule="auto"/>
            </w:pPr>
            <w:r>
              <w:rPr>
                <w:sz w:val="17"/>
              </w:rPr>
              <w:t>Staff and programme management</w:t>
            </w:r>
          </w:p>
        </w:tc>
        <w:tc>
          <w:tcPr>
            <w:tcW w:type="dxa" w:w="2910"/>
          </w:tcPr>
          <w:p>
            <w:pPr>
              <w:spacing w:after="50" w:before="50" w:line="252" w:lineRule="auto"/>
            </w:pPr>
            <w:r>
              <w:rPr>
                <w:sz w:val="17"/>
              </w:rPr>
              <w:t>(1,50,000)</w:t>
            </w:r>
          </w:p>
        </w:tc>
      </w:tr>
      <w:tr>
        <w:tc>
          <w:tcPr>
            <w:tcW w:type="dxa" w:w="6558"/>
            <w:shd w:val="clear" w:color="auto" w:fill="EAF1F4"/>
          </w:tcPr>
          <w:p>
            <w:pPr>
              <w:spacing w:after="50" w:before="50" w:line="252" w:lineRule="auto"/>
            </w:pPr>
            <w:r>
              <w:rPr>
                <w:sz w:val="17"/>
              </w:rPr>
              <w:t>Contingency at 10%</w:t>
            </w:r>
          </w:p>
        </w:tc>
        <w:tc>
          <w:tcPr>
            <w:tcW w:type="dxa" w:w="2910"/>
            <w:shd w:val="clear" w:color="auto" w:fill="EAF1F4"/>
          </w:tcPr>
          <w:p>
            <w:pPr>
              <w:spacing w:after="50" w:before="50" w:line="252" w:lineRule="auto"/>
            </w:pPr>
            <w:r>
              <w:rPr>
                <w:sz w:val="17"/>
              </w:rPr>
              <w:t>(1,24,500)</w:t>
            </w:r>
          </w:p>
        </w:tc>
      </w:tr>
      <w:tr>
        <w:tc>
          <w:tcPr>
            <w:tcW w:type="dxa" w:w="6558"/>
          </w:tcPr>
          <w:p>
            <w:pPr>
              <w:spacing w:after="50" w:before="50" w:line="252" w:lineRule="auto"/>
            </w:pPr>
            <w:r>
              <w:rPr>
                <w:b/>
                <w:sz w:val="17"/>
              </w:rPr>
              <w:t>Total cost</w:t>
            </w:r>
          </w:p>
        </w:tc>
        <w:tc>
          <w:tcPr>
            <w:tcW w:type="dxa" w:w="2910"/>
          </w:tcPr>
          <w:p>
            <w:pPr>
              <w:spacing w:after="50" w:before="50" w:line="252" w:lineRule="auto"/>
            </w:pPr>
            <w:r>
              <w:rPr>
                <w:b/>
                <w:sz w:val="17"/>
              </w:rPr>
              <w:t>(13,69,500)</w:t>
            </w:r>
          </w:p>
        </w:tc>
      </w:tr>
      <w:tr>
        <w:tc>
          <w:tcPr>
            <w:tcW w:type="dxa" w:w="6558"/>
            <w:shd w:val="clear" w:color="auto" w:fill="EAF1F4"/>
          </w:tcPr>
          <w:p>
            <w:pPr>
              <w:spacing w:after="50" w:before="50" w:line="252" w:lineRule="auto"/>
            </w:pPr>
            <w:r>
              <w:rPr>
                <w:b/>
                <w:sz w:val="17"/>
              </w:rPr>
              <w:t>Outturn</w:t>
            </w:r>
          </w:p>
        </w:tc>
        <w:tc>
          <w:tcPr>
            <w:tcW w:type="dxa" w:w="2910"/>
            <w:shd w:val="clear" w:color="auto" w:fill="EAF1F4"/>
          </w:tcPr>
          <w:p>
            <w:pPr>
              <w:spacing w:after="50" w:before="50" w:line="252" w:lineRule="auto"/>
            </w:pPr>
            <w:r>
              <w:rPr>
                <w:b/>
                <w:sz w:val="17"/>
              </w:rPr>
              <w:t>(2,19,500)</w:t>
            </w:r>
          </w:p>
        </w:tc>
      </w:tr>
    </w:tbl>
    <w:p>
      <w:pPr>
        <w:spacing w:after="80" w:before="0"/>
      </w:pPr>
    </w:p>
    <w:p>
      <w:pPr>
        <w:pStyle w:val="Heading2"/>
      </w:pPr>
      <w:r>
        <w:t>6.2 Edition 3 — at scale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266"/>
            <w:shd w:val="clear" w:color="auto" w:fill="10375C"/>
          </w:tcPr>
          <w:p>
            <w:pPr>
              <w:spacing w:after="50" w:before="50"/>
            </w:pPr>
            <w:r>
              <w:rPr>
                <w:b/>
                <w:color w:val="FFFFFF"/>
                <w:sz w:val="17"/>
              </w:rPr>
              <w:t>Line</w:t>
            </w:r>
          </w:p>
        </w:tc>
        <w:tc>
          <w:tcPr>
            <w:tcW w:type="dxa" w:w="3201"/>
            <w:shd w:val="clear" w:color="auto" w:fill="10375C"/>
          </w:tcPr>
          <w:p>
            <w:pPr>
              <w:spacing w:after="50" w:before="50"/>
            </w:pPr>
            <w:r>
              <w:rPr>
                <w:b/>
                <w:color w:val="FFFFFF"/>
                <w:sz w:val="17"/>
              </w:rPr>
              <w:t>Amount</w:t>
            </w:r>
          </w:p>
        </w:tc>
      </w:tr>
      <w:tr>
        <w:tc>
          <w:tcPr>
            <w:tcW w:type="dxa" w:w="6266"/>
          </w:tcPr>
          <w:p>
            <w:pPr>
              <w:spacing w:after="50" w:before="50" w:line="252" w:lineRule="auto"/>
            </w:pPr>
            <w:r>
              <w:rPr>
                <w:sz w:val="17"/>
              </w:rPr>
              <w:t>Registration, 64 teams × 8,500</w:t>
            </w:r>
          </w:p>
        </w:tc>
        <w:tc>
          <w:tcPr>
            <w:tcW w:type="dxa" w:w="3201"/>
          </w:tcPr>
          <w:p>
            <w:pPr>
              <w:spacing w:after="50" w:before="50" w:line="252" w:lineRule="auto"/>
            </w:pPr>
            <w:r>
              <w:rPr>
                <w:sz w:val="17"/>
              </w:rPr>
              <w:t>5,44,000</w:t>
            </w:r>
          </w:p>
        </w:tc>
      </w:tr>
      <w:tr>
        <w:tc>
          <w:tcPr>
            <w:tcW w:type="dxa" w:w="6266"/>
            <w:shd w:val="clear" w:color="auto" w:fill="EAF1F4"/>
          </w:tcPr>
          <w:p>
            <w:pPr>
              <w:spacing w:after="50" w:before="50" w:line="252" w:lineRule="auto"/>
            </w:pPr>
            <w:r>
              <w:rPr>
                <w:sz w:val="17"/>
              </w:rPr>
              <w:t>Sponsorship, mature levels</w:t>
            </w:r>
          </w:p>
        </w:tc>
        <w:tc>
          <w:tcPr>
            <w:tcW w:type="dxa" w:w="3201"/>
            <w:shd w:val="clear" w:color="auto" w:fill="EAF1F4"/>
          </w:tcPr>
          <w:p>
            <w:pPr>
              <w:spacing w:after="50" w:before="50" w:line="252" w:lineRule="auto"/>
            </w:pPr>
            <w:r>
              <w:rPr>
                <w:sz w:val="17"/>
              </w:rPr>
              <w:t>18,00,000</w:t>
            </w:r>
          </w:p>
        </w:tc>
      </w:tr>
      <w:tr>
        <w:tc>
          <w:tcPr>
            <w:tcW w:type="dxa" w:w="6266"/>
          </w:tcPr>
          <w:p>
            <w:pPr>
              <w:spacing w:after="50" w:before="50" w:line="252" w:lineRule="auto"/>
            </w:pPr>
            <w:r>
              <w:rPr>
                <w:sz w:val="17"/>
              </w:rPr>
              <w:t>Delegate passes</w:t>
            </w:r>
          </w:p>
        </w:tc>
        <w:tc>
          <w:tcPr>
            <w:tcW w:type="dxa" w:w="3201"/>
          </w:tcPr>
          <w:p>
            <w:pPr>
              <w:spacing w:after="50" w:before="50" w:line="252" w:lineRule="auto"/>
            </w:pPr>
            <w:r>
              <w:rPr>
                <w:sz w:val="17"/>
              </w:rPr>
              <w:t>1,00,000</w:t>
            </w:r>
          </w:p>
        </w:tc>
      </w:tr>
      <w:tr>
        <w:tc>
          <w:tcPr>
            <w:tcW w:type="dxa" w:w="6266"/>
            <w:shd w:val="clear" w:color="auto" w:fill="EAF1F4"/>
          </w:tcPr>
          <w:p>
            <w:pPr>
              <w:spacing w:after="50" w:before="50" w:line="252" w:lineRule="auto"/>
            </w:pPr>
            <w:r>
              <w:rPr>
                <w:b/>
                <w:sz w:val="17"/>
              </w:rPr>
              <w:t>Total income</w:t>
            </w:r>
          </w:p>
        </w:tc>
        <w:tc>
          <w:tcPr>
            <w:tcW w:type="dxa" w:w="3201"/>
            <w:shd w:val="clear" w:color="auto" w:fill="EAF1F4"/>
          </w:tcPr>
          <w:p>
            <w:pPr>
              <w:spacing w:after="50" w:before="50" w:line="252" w:lineRule="auto"/>
            </w:pPr>
            <w:r>
              <w:rPr>
                <w:b/>
                <w:sz w:val="17"/>
              </w:rPr>
              <w:t>24,44,000</w:t>
            </w:r>
          </w:p>
        </w:tc>
      </w:tr>
      <w:tr>
        <w:tc>
          <w:tcPr>
            <w:tcW w:type="dxa" w:w="6266"/>
          </w:tcPr>
          <w:p>
            <w:pPr>
              <w:spacing w:after="50" w:before="50" w:line="252" w:lineRule="auto"/>
            </w:pPr>
            <w:r>
              <w:rPr>
                <w:sz w:val="17"/>
              </w:rPr>
              <w:t>Total cost, scaled</w:t>
            </w:r>
          </w:p>
        </w:tc>
        <w:tc>
          <w:tcPr>
            <w:tcW w:type="dxa" w:w="3201"/>
          </w:tcPr>
          <w:p>
            <w:pPr>
              <w:spacing w:after="50" w:before="50" w:line="252" w:lineRule="auto"/>
            </w:pPr>
            <w:r>
              <w:rPr>
                <w:sz w:val="17"/>
              </w:rPr>
              <w:t>(17,90,000)</w:t>
            </w:r>
          </w:p>
        </w:tc>
      </w:tr>
      <w:tr>
        <w:tc>
          <w:tcPr>
            <w:tcW w:type="dxa" w:w="6266"/>
            <w:shd w:val="clear" w:color="auto" w:fill="EAF1F4"/>
          </w:tcPr>
          <w:p>
            <w:pPr>
              <w:spacing w:after="50" w:before="50" w:line="252" w:lineRule="auto"/>
            </w:pPr>
            <w:r>
              <w:rPr>
                <w:b/>
                <w:sz w:val="17"/>
              </w:rPr>
              <w:t>Surplus</w:t>
            </w:r>
          </w:p>
        </w:tc>
        <w:tc>
          <w:tcPr>
            <w:tcW w:type="dxa" w:w="3201"/>
            <w:shd w:val="clear" w:color="auto" w:fill="EAF1F4"/>
          </w:tcPr>
          <w:p>
            <w:pPr>
              <w:spacing w:after="50" w:before="50" w:line="252" w:lineRule="auto"/>
            </w:pPr>
            <w:r>
              <w:rPr>
                <w:b/>
                <w:sz w:val="17"/>
              </w:rPr>
              <w:t>6,54,000</w:t>
            </w:r>
          </w:p>
        </w:tc>
      </w:tr>
    </w:tbl>
    <w:p>
      <w:pPr>
        <w:spacing w:after="80" w:before="0"/>
      </w:pPr>
    </w:p>
    <w:p>
      <w:r>
        <w:rPr>
          <w:b/>
        </w:rPr>
        <w:t>Rules that follow.</w:t>
      </w:r>
      <w:r>
        <w:t xml:space="preserve"> Budget edition 1 as a marketing investment with a defined ceiling of approximately ₹2.5 lakh. Do not launch without at least the title sponsor and one associate committed in writing. Reuse the format, the rules and the operational template, so that only the problem is newly developed each year. Grow team numbers before growing prize money.</w:t>
      </w:r>
    </w:p>
    <w:p>
      <w:pPr>
        <w:spacing w:before="80" w:after="160"/>
        <w:pBdr>
          <w:bottom w:val="single" w:sz="6" w:space="1" w:color="C9D6DE"/>
        </w:pBdr>
      </w:pPr>
    </w:p>
    <w:p>
      <w:pPr>
        <w:pStyle w:val="Heading1"/>
        <w:pBdr>
          <w:bottom w:val="single" w:sz="8" w:space="4" w:color="C9D6DE"/>
        </w:pBdr>
      </w:pPr>
      <w:r>
        <w:t>7. The tests a partnership must pass</w:t>
      </w:r>
    </w:p>
    <w:p>
      <w:r>
        <w:t>Applied at each annual review. A partnership failing two or more consecutive tests is restructured to a lower tier or allowed to lapse.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6640"/>
            <w:shd w:val="clear" w:color="auto" w:fill="10375C"/>
          </w:tcPr>
          <w:p>
            <w:pPr>
              <w:spacing w:after="50" w:before="50"/>
            </w:pPr>
            <w:r>
              <w:rPr>
                <w:b/>
                <w:color w:val="FFFFFF"/>
                <w:sz w:val="17"/>
              </w:rPr>
              <w:t>Test</w:t>
            </w:r>
          </w:p>
        </w:tc>
        <w:tc>
          <w:tcPr>
            <w:tcW w:type="dxa" w:w="2164"/>
            <w:shd w:val="clear" w:color="auto" w:fill="10375C"/>
          </w:tcPr>
          <w:p>
            <w:pPr>
              <w:spacing w:after="50" w:before="50"/>
            </w:pPr>
            <w:r>
              <w:rPr>
                <w:b/>
                <w:color w:val="FFFFFF"/>
                <w:sz w:val="17"/>
              </w:rPr>
              <w:t>Threshold</w:t>
            </w:r>
          </w:p>
        </w:tc>
      </w:tr>
      <w:tr>
        <w:tc>
          <w:tcPr>
            <w:tcW w:type="dxa" w:w="850"/>
          </w:tcPr>
          <w:p>
            <w:pPr>
              <w:spacing w:after="50" w:before="50" w:line="252" w:lineRule="auto"/>
            </w:pPr>
            <w:r>
              <w:rPr>
                <w:sz w:val="17"/>
              </w:rPr>
              <w:t>T1</w:t>
            </w:r>
          </w:p>
        </w:tc>
        <w:tc>
          <w:tcPr>
            <w:tcW w:type="dxa" w:w="6640"/>
          </w:tcPr>
          <w:p>
            <w:pPr>
              <w:spacing w:after="50" w:before="50" w:line="252" w:lineRule="auto"/>
            </w:pPr>
            <w:r>
              <w:rPr>
                <w:b/>
                <w:sz w:val="17"/>
              </w:rPr>
              <w:t>Activity</w:t>
            </w:r>
            <w:r>
              <w:rPr>
                <w:sz w:val="17"/>
              </w:rPr>
              <w:t xml:space="preserve"> — minimum activities delivered under MOU clause 6.4</w:t>
            </w:r>
          </w:p>
        </w:tc>
        <w:tc>
          <w:tcPr>
            <w:tcW w:type="dxa" w:w="2164"/>
          </w:tcPr>
          <w:p>
            <w:pPr>
              <w:spacing w:after="50" w:before="50" w:line="252" w:lineRule="auto"/>
            </w:pPr>
            <w:r>
              <w:rPr>
                <w:sz w:val="17"/>
              </w:rPr>
              <w:t>Met</w:t>
            </w:r>
          </w:p>
        </w:tc>
      </w:tr>
      <w:tr>
        <w:tc>
          <w:tcPr>
            <w:tcW w:type="dxa" w:w="850"/>
            <w:shd w:val="clear" w:color="auto" w:fill="EAF1F4"/>
          </w:tcPr>
          <w:p>
            <w:pPr>
              <w:spacing w:after="50" w:before="50" w:line="252" w:lineRule="auto"/>
            </w:pPr>
            <w:r>
              <w:rPr>
                <w:sz w:val="17"/>
              </w:rPr>
              <w:t>T2</w:t>
            </w:r>
          </w:p>
        </w:tc>
        <w:tc>
          <w:tcPr>
            <w:tcW w:type="dxa" w:w="6640"/>
            <w:shd w:val="clear" w:color="auto" w:fill="EAF1F4"/>
          </w:tcPr>
          <w:p>
            <w:pPr>
              <w:spacing w:after="50" w:before="50" w:line="252" w:lineRule="auto"/>
            </w:pPr>
            <w:r>
              <w:rPr>
                <w:b/>
                <w:sz w:val="17"/>
              </w:rPr>
              <w:t>Revenue</w:t>
            </w:r>
            <w:r>
              <w:rPr>
                <w:sz w:val="17"/>
              </w:rPr>
              <w:t xml:space="preserve"> — Equator revenue against tier expectation</w:t>
            </w:r>
          </w:p>
        </w:tc>
        <w:tc>
          <w:tcPr>
            <w:tcW w:type="dxa" w:w="2164"/>
            <w:shd w:val="clear" w:color="auto" w:fill="EAF1F4"/>
          </w:tcPr>
          <w:p>
            <w:pPr>
              <w:spacing w:after="50" w:before="50" w:line="252" w:lineRule="auto"/>
            </w:pPr>
            <w:r>
              <w:rPr>
                <w:sz w:val="17"/>
              </w:rPr>
              <w:t>≥ 70% of tier benchmark</w:t>
            </w:r>
          </w:p>
        </w:tc>
      </w:tr>
      <w:tr>
        <w:tc>
          <w:tcPr>
            <w:tcW w:type="dxa" w:w="850"/>
          </w:tcPr>
          <w:p>
            <w:pPr>
              <w:spacing w:after="50" w:before="50" w:line="252" w:lineRule="auto"/>
            </w:pPr>
            <w:r>
              <w:rPr>
                <w:sz w:val="17"/>
              </w:rPr>
              <w:t>T3</w:t>
            </w:r>
          </w:p>
        </w:tc>
        <w:tc>
          <w:tcPr>
            <w:tcW w:type="dxa" w:w="6640"/>
          </w:tcPr>
          <w:p>
            <w:pPr>
              <w:spacing w:after="50" w:before="50" w:line="252" w:lineRule="auto"/>
            </w:pPr>
            <w:r>
              <w:rPr>
                <w:b/>
                <w:sz w:val="17"/>
              </w:rPr>
              <w:t>Margin</w:t>
            </w:r>
            <w:r>
              <w:rPr>
                <w:sz w:val="17"/>
              </w:rPr>
              <w:t xml:space="preserve"> — contribution margin on the partnership</w:t>
            </w:r>
          </w:p>
        </w:tc>
        <w:tc>
          <w:tcPr>
            <w:tcW w:type="dxa" w:w="2164"/>
          </w:tcPr>
          <w:p>
            <w:pPr>
              <w:spacing w:after="50" w:before="50" w:line="252" w:lineRule="auto"/>
            </w:pPr>
            <w:r>
              <w:rPr>
                <w:sz w:val="17"/>
              </w:rPr>
              <w:t>≥ 25%</w:t>
            </w:r>
          </w:p>
        </w:tc>
      </w:tr>
      <w:tr>
        <w:tc>
          <w:tcPr>
            <w:tcW w:type="dxa" w:w="850"/>
            <w:shd w:val="clear" w:color="auto" w:fill="EAF1F4"/>
          </w:tcPr>
          <w:p>
            <w:pPr>
              <w:spacing w:after="50" w:before="50" w:line="252" w:lineRule="auto"/>
            </w:pPr>
            <w:r>
              <w:rPr>
                <w:sz w:val="17"/>
              </w:rPr>
              <w:t>T4</w:t>
            </w:r>
          </w:p>
        </w:tc>
        <w:tc>
          <w:tcPr>
            <w:tcW w:type="dxa" w:w="6640"/>
            <w:shd w:val="clear" w:color="auto" w:fill="EAF1F4"/>
          </w:tcPr>
          <w:p>
            <w:pPr>
              <w:spacing w:after="50" w:before="50" w:line="252" w:lineRule="auto"/>
            </w:pPr>
            <w:r>
              <w:rPr>
                <w:b/>
                <w:sz w:val="17"/>
              </w:rPr>
              <w:t>Payback</w:t>
            </w:r>
            <w:r>
              <w:rPr>
                <w:sz w:val="17"/>
              </w:rPr>
              <w:t xml:space="preserve"> — cumulative net contribution against acquisition cost</w:t>
            </w:r>
          </w:p>
        </w:tc>
        <w:tc>
          <w:tcPr>
            <w:tcW w:type="dxa" w:w="2164"/>
            <w:shd w:val="clear" w:color="auto" w:fill="EAF1F4"/>
          </w:tcPr>
          <w:p>
            <w:pPr>
              <w:spacing w:after="50" w:before="50" w:line="252" w:lineRule="auto"/>
            </w:pPr>
            <w:r>
              <w:rPr>
                <w:sz w:val="17"/>
              </w:rPr>
              <w:t>Positive by end of year 2</w:t>
            </w:r>
          </w:p>
        </w:tc>
      </w:tr>
      <w:tr>
        <w:tc>
          <w:tcPr>
            <w:tcW w:type="dxa" w:w="850"/>
          </w:tcPr>
          <w:p>
            <w:pPr>
              <w:spacing w:after="50" w:before="50" w:line="252" w:lineRule="auto"/>
            </w:pPr>
            <w:r>
              <w:rPr>
                <w:sz w:val="17"/>
              </w:rPr>
              <w:t>T5</w:t>
            </w:r>
          </w:p>
        </w:tc>
        <w:tc>
          <w:tcPr>
            <w:tcW w:type="dxa" w:w="6640"/>
          </w:tcPr>
          <w:p>
            <w:pPr>
              <w:spacing w:after="50" w:before="50" w:line="252" w:lineRule="auto"/>
            </w:pPr>
            <w:r>
              <w:rPr>
                <w:b/>
                <w:sz w:val="17"/>
              </w:rPr>
              <w:t>Pipeline</w:t>
            </w:r>
            <w:r>
              <w:rPr>
                <w:sz w:val="17"/>
              </w:rPr>
              <w:t xml:space="preserve"> — interns recruited and converted</w:t>
            </w:r>
          </w:p>
        </w:tc>
        <w:tc>
          <w:tcPr>
            <w:tcW w:type="dxa" w:w="2164"/>
          </w:tcPr>
          <w:p>
            <w:pPr>
              <w:spacing w:after="50" w:before="50" w:line="252" w:lineRule="auto"/>
            </w:pPr>
            <w:r>
              <w:rPr>
                <w:sz w:val="17"/>
              </w:rPr>
              <w:t>≥ tier target</w:t>
            </w:r>
          </w:p>
        </w:tc>
      </w:tr>
      <w:tr>
        <w:tc>
          <w:tcPr>
            <w:tcW w:type="dxa" w:w="850"/>
            <w:shd w:val="clear" w:color="auto" w:fill="EAF1F4"/>
          </w:tcPr>
          <w:p>
            <w:pPr>
              <w:spacing w:after="50" w:before="50" w:line="252" w:lineRule="auto"/>
            </w:pPr>
            <w:r>
              <w:rPr>
                <w:sz w:val="17"/>
              </w:rPr>
              <w:t>T6</w:t>
            </w:r>
          </w:p>
        </w:tc>
        <w:tc>
          <w:tcPr>
            <w:tcW w:type="dxa" w:w="6640"/>
            <w:shd w:val="clear" w:color="auto" w:fill="EAF1F4"/>
          </w:tcPr>
          <w:p>
            <w:pPr>
              <w:spacing w:after="50" w:before="50" w:line="252" w:lineRule="auto"/>
            </w:pPr>
            <w:r>
              <w:rPr>
                <w:b/>
                <w:sz w:val="17"/>
              </w:rPr>
              <w:t>Effort ratio</w:t>
            </w:r>
            <w:r>
              <w:rPr>
                <w:sz w:val="17"/>
              </w:rPr>
              <w:t xml:space="preserve"> — Equator person-days consumed against tier norm</w:t>
            </w:r>
          </w:p>
        </w:tc>
        <w:tc>
          <w:tcPr>
            <w:tcW w:type="dxa" w:w="2164"/>
            <w:shd w:val="clear" w:color="auto" w:fill="EAF1F4"/>
          </w:tcPr>
          <w:p>
            <w:pPr>
              <w:spacing w:after="50" w:before="50" w:line="252" w:lineRule="auto"/>
            </w:pPr>
            <w:r>
              <w:rPr>
                <w:sz w:val="17"/>
              </w:rPr>
              <w:t>≤ 130% of norm</w:t>
            </w:r>
          </w:p>
        </w:tc>
      </w:tr>
      <w:tr>
        <w:tc>
          <w:tcPr>
            <w:tcW w:type="dxa" w:w="850"/>
          </w:tcPr>
          <w:p>
            <w:pPr>
              <w:spacing w:after="50" w:before="50" w:line="252" w:lineRule="auto"/>
            </w:pPr>
            <w:r>
              <w:rPr>
                <w:sz w:val="17"/>
              </w:rPr>
              <w:t>T7</w:t>
            </w:r>
          </w:p>
        </w:tc>
        <w:tc>
          <w:tcPr>
            <w:tcW w:type="dxa" w:w="6640"/>
          </w:tcPr>
          <w:p>
            <w:pPr>
              <w:spacing w:after="50" w:before="50" w:line="252" w:lineRule="auto"/>
            </w:pPr>
            <w:r>
              <w:rPr>
                <w:b/>
                <w:sz w:val="17"/>
              </w:rPr>
              <w:t>Champion</w:t>
            </w:r>
            <w:r>
              <w:rPr>
                <w:sz w:val="17"/>
              </w:rPr>
              <w:t xml:space="preserve"> — an identified, active champion in place</w:t>
            </w:r>
          </w:p>
        </w:tc>
        <w:tc>
          <w:tcPr>
            <w:tcW w:type="dxa" w:w="2164"/>
          </w:tcPr>
          <w:p>
            <w:pPr>
              <w:spacing w:after="50" w:before="50" w:line="252" w:lineRule="auto"/>
            </w:pPr>
            <w:r>
              <w:rPr>
                <w:sz w:val="17"/>
              </w:rPr>
              <w:t>Yes</w:t>
            </w:r>
          </w:p>
        </w:tc>
      </w:tr>
      <w:tr>
        <w:tc>
          <w:tcPr>
            <w:tcW w:type="dxa" w:w="850"/>
            <w:shd w:val="clear" w:color="auto" w:fill="EAF1F4"/>
          </w:tcPr>
          <w:p>
            <w:pPr>
              <w:spacing w:after="50" w:before="50" w:line="252" w:lineRule="auto"/>
            </w:pPr>
            <w:r>
              <w:rPr>
                <w:sz w:val="17"/>
              </w:rPr>
              <w:t>T8</w:t>
            </w:r>
          </w:p>
        </w:tc>
        <w:tc>
          <w:tcPr>
            <w:tcW w:type="dxa" w:w="6640"/>
            <w:shd w:val="clear" w:color="auto" w:fill="EAF1F4"/>
          </w:tcPr>
          <w:p>
            <w:pPr>
              <w:spacing w:after="50" w:before="50" w:line="252" w:lineRule="auto"/>
            </w:pPr>
            <w:r>
              <w:rPr>
                <w:b/>
                <w:sz w:val="17"/>
              </w:rPr>
              <w:t>Quality</w:t>
            </w:r>
            <w:r>
              <w:rPr>
                <w:sz w:val="17"/>
              </w:rPr>
              <w:t xml:space="preserve"> — mean participant feedback score</w:t>
            </w:r>
          </w:p>
        </w:tc>
        <w:tc>
          <w:tcPr>
            <w:tcW w:type="dxa" w:w="2164"/>
            <w:shd w:val="clear" w:color="auto" w:fill="EAF1F4"/>
          </w:tcPr>
          <w:p>
            <w:pPr>
              <w:spacing w:after="50" w:before="50" w:line="252" w:lineRule="auto"/>
            </w:pPr>
            <w:r>
              <w:rPr>
                <w:sz w:val="17"/>
              </w:rPr>
              <w:t>≥ 4.0 of 5</w:t>
            </w:r>
          </w:p>
        </w:tc>
      </w:tr>
      <w:tr>
        <w:tc>
          <w:tcPr>
            <w:tcW w:type="dxa" w:w="850"/>
          </w:tcPr>
          <w:p>
            <w:pPr>
              <w:spacing w:after="50" w:before="50" w:line="252" w:lineRule="auto"/>
            </w:pPr>
            <w:r>
              <w:rPr>
                <w:sz w:val="17"/>
              </w:rPr>
              <w:t>T9</w:t>
            </w:r>
          </w:p>
        </w:tc>
        <w:tc>
          <w:tcPr>
            <w:tcW w:type="dxa" w:w="6640"/>
          </w:tcPr>
          <w:p>
            <w:pPr>
              <w:spacing w:after="50" w:before="50" w:line="252" w:lineRule="auto"/>
            </w:pPr>
            <w:r>
              <w:rPr>
                <w:b/>
                <w:sz w:val="17"/>
              </w:rPr>
              <w:t>Compliance</w:t>
            </w:r>
            <w:r>
              <w:rPr>
                <w:sz w:val="17"/>
              </w:rPr>
              <w:t xml:space="preserve"> — no unresolved data, safeguarding or conduct incident</w:t>
            </w:r>
          </w:p>
        </w:tc>
        <w:tc>
          <w:tcPr>
            <w:tcW w:type="dxa" w:w="2164"/>
          </w:tcPr>
          <w:p>
            <w:pPr>
              <w:spacing w:after="50" w:before="50" w:line="252" w:lineRule="auto"/>
            </w:pPr>
            <w:r>
              <w:rPr>
                <w:sz w:val="17"/>
              </w:rPr>
              <w:t>Nil</w:t>
            </w:r>
          </w:p>
        </w:tc>
      </w:tr>
    </w:tbl>
    <w:p>
      <w:pPr>
        <w:spacing w:after="80" w:before="0"/>
      </w:pPr>
    </w:p>
    <w:p>
      <w:r>
        <w:rPr>
          <w:b/>
        </w:rPr>
        <w:t>The effort ratio, T6, is the test most often failed and least often measured.</w:t>
      </w:r>
      <w:r>
        <w:t xml:space="preserve"> A partnership generating tier-appropriate revenue while consuming twice the tier-appropriate effort is destroying value that would be better deployed elsewhere. Person-days must be logged against each partnership.</w:t>
      </w:r>
    </w:p>
    <w:p>
      <w:pPr>
        <w:spacing w:before="80" w:after="160"/>
        <w:pBdr>
          <w:bottom w:val="single" w:sz="6" w:space="1" w:color="C9D6DE"/>
        </w:pBdr>
      </w:pPr>
    </w:p>
    <w:p>
      <w:pPr>
        <w:pStyle w:val="Heading1"/>
        <w:pBdr>
          <w:bottom w:val="single" w:sz="8" w:space="4" w:color="C9D6DE"/>
        </w:pBdr>
      </w:pPr>
      <w:r>
        <w:t>8. Portfolio view — three-year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837"/>
            <w:shd w:val="clear" w:color="auto" w:fill="10375C"/>
          </w:tcPr>
          <w:p>
            <w:pPr>
              <w:spacing w:after="50" w:before="50"/>
            </w:pPr>
          </w:p>
        </w:tc>
        <w:tc>
          <w:tcPr>
            <w:tcW w:type="dxa" w:w="1843"/>
            <w:shd w:val="clear" w:color="auto" w:fill="10375C"/>
          </w:tcPr>
          <w:p>
            <w:pPr>
              <w:spacing w:after="50" w:before="50"/>
            </w:pPr>
            <w:r>
              <w:rPr>
                <w:b/>
                <w:color w:val="FFFFFF"/>
                <w:sz w:val="17"/>
              </w:rPr>
              <w:t>Year 1</w:t>
            </w:r>
          </w:p>
        </w:tc>
        <w:tc>
          <w:tcPr>
            <w:tcW w:type="dxa" w:w="1886"/>
            <w:shd w:val="clear" w:color="auto" w:fill="10375C"/>
          </w:tcPr>
          <w:p>
            <w:pPr>
              <w:spacing w:after="50" w:before="50"/>
            </w:pPr>
            <w:r>
              <w:rPr>
                <w:b/>
                <w:color w:val="FFFFFF"/>
                <w:sz w:val="17"/>
              </w:rPr>
              <w:t>Year 2</w:t>
            </w:r>
          </w:p>
        </w:tc>
        <w:tc>
          <w:tcPr>
            <w:tcW w:type="dxa" w:w="1901"/>
            <w:shd w:val="clear" w:color="auto" w:fill="10375C"/>
          </w:tcPr>
          <w:p>
            <w:pPr>
              <w:spacing w:after="50" w:before="50"/>
            </w:pPr>
            <w:r>
              <w:rPr>
                <w:b/>
                <w:color w:val="FFFFFF"/>
                <w:sz w:val="17"/>
              </w:rPr>
              <w:t>Year 3</w:t>
            </w:r>
          </w:p>
        </w:tc>
      </w:tr>
      <w:tr>
        <w:tc>
          <w:tcPr>
            <w:tcW w:type="dxa" w:w="3837"/>
          </w:tcPr>
          <w:p>
            <w:pPr>
              <w:spacing w:after="50" w:before="50" w:line="252" w:lineRule="auto"/>
            </w:pPr>
            <w:r>
              <w:rPr>
                <w:sz w:val="17"/>
              </w:rPr>
              <w:t>Tier 1 partnerships</w:t>
            </w:r>
          </w:p>
        </w:tc>
        <w:tc>
          <w:tcPr>
            <w:tcW w:type="dxa" w:w="1843"/>
          </w:tcPr>
          <w:p>
            <w:pPr>
              <w:spacing w:after="50" w:before="50" w:line="252" w:lineRule="auto"/>
            </w:pPr>
            <w:r>
              <w:rPr>
                <w:sz w:val="17"/>
              </w:rPr>
              <w:t>2</w:t>
            </w:r>
          </w:p>
        </w:tc>
        <w:tc>
          <w:tcPr>
            <w:tcW w:type="dxa" w:w="1886"/>
          </w:tcPr>
          <w:p>
            <w:pPr>
              <w:spacing w:after="50" w:before="50" w:line="252" w:lineRule="auto"/>
            </w:pPr>
            <w:r>
              <w:rPr>
                <w:sz w:val="17"/>
              </w:rPr>
              <w:t>3</w:t>
            </w:r>
          </w:p>
        </w:tc>
        <w:tc>
          <w:tcPr>
            <w:tcW w:type="dxa" w:w="1901"/>
          </w:tcPr>
          <w:p>
            <w:pPr>
              <w:spacing w:after="50" w:before="50" w:line="252" w:lineRule="auto"/>
            </w:pPr>
            <w:r>
              <w:rPr>
                <w:sz w:val="17"/>
              </w:rPr>
              <w:t>5</w:t>
            </w:r>
          </w:p>
        </w:tc>
      </w:tr>
      <w:tr>
        <w:tc>
          <w:tcPr>
            <w:tcW w:type="dxa" w:w="3837"/>
            <w:shd w:val="clear" w:color="auto" w:fill="EAF1F4"/>
          </w:tcPr>
          <w:p>
            <w:pPr>
              <w:spacing w:after="50" w:before="50" w:line="252" w:lineRule="auto"/>
            </w:pPr>
            <w:r>
              <w:rPr>
                <w:sz w:val="17"/>
              </w:rPr>
              <w:t>Tier 2 partnerships</w:t>
            </w:r>
          </w:p>
        </w:tc>
        <w:tc>
          <w:tcPr>
            <w:tcW w:type="dxa" w:w="1843"/>
            <w:shd w:val="clear" w:color="auto" w:fill="EAF1F4"/>
          </w:tcPr>
          <w:p>
            <w:pPr>
              <w:spacing w:after="50" w:before="50" w:line="252" w:lineRule="auto"/>
            </w:pPr>
            <w:r>
              <w:rPr>
                <w:sz w:val="17"/>
              </w:rPr>
              <w:t>4</w:t>
            </w:r>
          </w:p>
        </w:tc>
        <w:tc>
          <w:tcPr>
            <w:tcW w:type="dxa" w:w="1886"/>
            <w:shd w:val="clear" w:color="auto" w:fill="EAF1F4"/>
          </w:tcPr>
          <w:p>
            <w:pPr>
              <w:spacing w:after="50" w:before="50" w:line="252" w:lineRule="auto"/>
            </w:pPr>
            <w:r>
              <w:rPr>
                <w:sz w:val="17"/>
              </w:rPr>
              <w:t>12</w:t>
            </w:r>
          </w:p>
        </w:tc>
        <w:tc>
          <w:tcPr>
            <w:tcW w:type="dxa" w:w="1901"/>
            <w:shd w:val="clear" w:color="auto" w:fill="EAF1F4"/>
          </w:tcPr>
          <w:p>
            <w:pPr>
              <w:spacing w:after="50" w:before="50" w:line="252" w:lineRule="auto"/>
            </w:pPr>
            <w:r>
              <w:rPr>
                <w:sz w:val="17"/>
              </w:rPr>
              <w:t>18</w:t>
            </w:r>
          </w:p>
        </w:tc>
      </w:tr>
      <w:tr>
        <w:tc>
          <w:tcPr>
            <w:tcW w:type="dxa" w:w="3837"/>
          </w:tcPr>
          <w:p>
            <w:pPr>
              <w:spacing w:after="50" w:before="50" w:line="252" w:lineRule="auto"/>
            </w:pPr>
            <w:r>
              <w:rPr>
                <w:sz w:val="17"/>
              </w:rPr>
              <w:t>Tier 3 partnerships</w:t>
            </w:r>
          </w:p>
        </w:tc>
        <w:tc>
          <w:tcPr>
            <w:tcW w:type="dxa" w:w="1843"/>
          </w:tcPr>
          <w:p>
            <w:pPr>
              <w:spacing w:after="50" w:before="50" w:line="252" w:lineRule="auto"/>
            </w:pPr>
            <w:r>
              <w:rPr>
                <w:sz w:val="17"/>
              </w:rPr>
              <w:t>6</w:t>
            </w:r>
          </w:p>
        </w:tc>
        <w:tc>
          <w:tcPr>
            <w:tcW w:type="dxa" w:w="1886"/>
          </w:tcPr>
          <w:p>
            <w:pPr>
              <w:spacing w:after="50" w:before="50" w:line="252" w:lineRule="auto"/>
            </w:pPr>
            <w:r>
              <w:rPr>
                <w:sz w:val="17"/>
              </w:rPr>
              <w:t>20</w:t>
            </w:r>
          </w:p>
        </w:tc>
        <w:tc>
          <w:tcPr>
            <w:tcW w:type="dxa" w:w="1901"/>
          </w:tcPr>
          <w:p>
            <w:pPr>
              <w:spacing w:after="50" w:before="50" w:line="252" w:lineRule="auto"/>
            </w:pPr>
            <w:r>
              <w:rPr>
                <w:sz w:val="17"/>
              </w:rPr>
              <w:t>45</w:t>
            </w:r>
          </w:p>
        </w:tc>
      </w:tr>
      <w:tr>
        <w:tc>
          <w:tcPr>
            <w:tcW w:type="dxa" w:w="3837"/>
            <w:shd w:val="clear" w:color="auto" w:fill="EAF1F4"/>
          </w:tcPr>
          <w:p>
            <w:pPr>
              <w:spacing w:after="50" w:before="50" w:line="252" w:lineRule="auto"/>
            </w:pPr>
            <w:r>
              <w:rPr>
                <w:sz w:val="17"/>
              </w:rPr>
              <w:t>Programme revenue</w:t>
            </w:r>
          </w:p>
        </w:tc>
        <w:tc>
          <w:tcPr>
            <w:tcW w:type="dxa" w:w="1843"/>
            <w:shd w:val="clear" w:color="auto" w:fill="EAF1F4"/>
          </w:tcPr>
          <w:p>
            <w:pPr>
              <w:spacing w:after="50" w:before="50" w:line="252" w:lineRule="auto"/>
            </w:pPr>
            <w:r>
              <w:rPr>
                <w:sz w:val="17"/>
              </w:rPr>
              <w:t>38,00,000</w:t>
            </w:r>
          </w:p>
        </w:tc>
        <w:tc>
          <w:tcPr>
            <w:tcW w:type="dxa" w:w="1886"/>
            <w:shd w:val="clear" w:color="auto" w:fill="EAF1F4"/>
          </w:tcPr>
          <w:p>
            <w:pPr>
              <w:spacing w:after="50" w:before="50" w:line="252" w:lineRule="auto"/>
            </w:pPr>
            <w:r>
              <w:rPr>
                <w:sz w:val="17"/>
              </w:rPr>
              <w:t>1,52,00,000</w:t>
            </w:r>
          </w:p>
        </w:tc>
        <w:tc>
          <w:tcPr>
            <w:tcW w:type="dxa" w:w="1901"/>
            <w:shd w:val="clear" w:color="auto" w:fill="EAF1F4"/>
          </w:tcPr>
          <w:p>
            <w:pPr>
              <w:spacing w:after="50" w:before="50" w:line="252" w:lineRule="auto"/>
            </w:pPr>
            <w:r>
              <w:rPr>
                <w:sz w:val="17"/>
              </w:rPr>
              <w:t>3,05,00,000</w:t>
            </w:r>
          </w:p>
        </w:tc>
      </w:tr>
      <w:tr>
        <w:tc>
          <w:tcPr>
            <w:tcW w:type="dxa" w:w="3837"/>
          </w:tcPr>
          <w:p>
            <w:pPr>
              <w:spacing w:after="50" w:before="50" w:line="252" w:lineRule="auto"/>
            </w:pPr>
            <w:r>
              <w:rPr>
                <w:sz w:val="17"/>
              </w:rPr>
              <w:t>Competition net</w:t>
            </w:r>
          </w:p>
        </w:tc>
        <w:tc>
          <w:tcPr>
            <w:tcW w:type="dxa" w:w="1843"/>
          </w:tcPr>
          <w:p>
            <w:pPr>
              <w:spacing w:after="50" w:before="50" w:line="252" w:lineRule="auto"/>
            </w:pPr>
            <w:r>
              <w:rPr>
                <w:sz w:val="17"/>
              </w:rPr>
              <w:t>(2,20,000)</w:t>
            </w:r>
          </w:p>
        </w:tc>
        <w:tc>
          <w:tcPr>
            <w:tcW w:type="dxa" w:w="1886"/>
          </w:tcPr>
          <w:p>
            <w:pPr>
              <w:spacing w:after="50" w:before="50" w:line="252" w:lineRule="auto"/>
            </w:pPr>
            <w:r>
              <w:rPr>
                <w:sz w:val="17"/>
              </w:rPr>
              <w:t>1,10,000</w:t>
            </w:r>
          </w:p>
        </w:tc>
        <w:tc>
          <w:tcPr>
            <w:tcW w:type="dxa" w:w="1901"/>
          </w:tcPr>
          <w:p>
            <w:pPr>
              <w:spacing w:after="50" w:before="50" w:line="252" w:lineRule="auto"/>
            </w:pPr>
            <w:r>
              <w:rPr>
                <w:sz w:val="17"/>
              </w:rPr>
              <w:t>6,54,000</w:t>
            </w:r>
          </w:p>
        </w:tc>
      </w:tr>
      <w:tr>
        <w:tc>
          <w:tcPr>
            <w:tcW w:type="dxa" w:w="3837"/>
            <w:shd w:val="clear" w:color="auto" w:fill="EAF1F4"/>
          </w:tcPr>
          <w:p>
            <w:pPr>
              <w:spacing w:after="50" w:before="50" w:line="252" w:lineRule="auto"/>
            </w:pPr>
            <w:r>
              <w:rPr>
                <w:b/>
                <w:sz w:val="17"/>
              </w:rPr>
              <w:t>Total revenue</w:t>
            </w:r>
          </w:p>
        </w:tc>
        <w:tc>
          <w:tcPr>
            <w:tcW w:type="dxa" w:w="1843"/>
            <w:shd w:val="clear" w:color="auto" w:fill="EAF1F4"/>
          </w:tcPr>
          <w:p>
            <w:pPr>
              <w:spacing w:after="50" w:before="50" w:line="252" w:lineRule="auto"/>
            </w:pPr>
            <w:r>
              <w:rPr>
                <w:b/>
                <w:sz w:val="17"/>
              </w:rPr>
              <w:t>38,00,000</w:t>
            </w:r>
          </w:p>
        </w:tc>
        <w:tc>
          <w:tcPr>
            <w:tcW w:type="dxa" w:w="1886"/>
            <w:shd w:val="clear" w:color="auto" w:fill="EAF1F4"/>
          </w:tcPr>
          <w:p>
            <w:pPr>
              <w:spacing w:after="50" w:before="50" w:line="252" w:lineRule="auto"/>
            </w:pPr>
            <w:r>
              <w:rPr>
                <w:b/>
                <w:sz w:val="17"/>
              </w:rPr>
              <w:t>1,53,10,000</w:t>
            </w:r>
          </w:p>
        </w:tc>
        <w:tc>
          <w:tcPr>
            <w:tcW w:type="dxa" w:w="1901"/>
            <w:shd w:val="clear" w:color="auto" w:fill="EAF1F4"/>
          </w:tcPr>
          <w:p>
            <w:pPr>
              <w:spacing w:after="50" w:before="50" w:line="252" w:lineRule="auto"/>
            </w:pPr>
            <w:r>
              <w:rPr>
                <w:b/>
                <w:sz w:val="17"/>
              </w:rPr>
              <w:t>3,11,54,000</w:t>
            </w:r>
          </w:p>
        </w:tc>
      </w:tr>
      <w:tr>
        <w:tc>
          <w:tcPr>
            <w:tcW w:type="dxa" w:w="3837"/>
          </w:tcPr>
          <w:p>
            <w:pPr>
              <w:spacing w:after="50" w:before="50" w:line="252" w:lineRule="auto"/>
            </w:pPr>
            <w:r>
              <w:rPr>
                <w:sz w:val="17"/>
              </w:rPr>
              <w:t>Contribution at blended 36%</w:t>
            </w:r>
          </w:p>
        </w:tc>
        <w:tc>
          <w:tcPr>
            <w:tcW w:type="dxa" w:w="1843"/>
          </w:tcPr>
          <w:p>
            <w:pPr>
              <w:spacing w:after="50" w:before="50" w:line="252" w:lineRule="auto"/>
            </w:pPr>
            <w:r>
              <w:rPr>
                <w:sz w:val="17"/>
              </w:rPr>
              <w:t>13,68,000</w:t>
            </w:r>
          </w:p>
        </w:tc>
        <w:tc>
          <w:tcPr>
            <w:tcW w:type="dxa" w:w="1886"/>
          </w:tcPr>
          <w:p>
            <w:pPr>
              <w:spacing w:after="50" w:before="50" w:line="252" w:lineRule="auto"/>
            </w:pPr>
            <w:r>
              <w:rPr>
                <w:sz w:val="17"/>
              </w:rPr>
              <w:t>55,12,000</w:t>
            </w:r>
          </w:p>
        </w:tc>
        <w:tc>
          <w:tcPr>
            <w:tcW w:type="dxa" w:w="1901"/>
          </w:tcPr>
          <w:p>
            <w:pPr>
              <w:spacing w:after="50" w:before="50" w:line="252" w:lineRule="auto"/>
            </w:pPr>
            <w:r>
              <w:rPr>
                <w:sz w:val="17"/>
              </w:rPr>
              <w:t>1,12,15,000</w:t>
            </w:r>
          </w:p>
        </w:tc>
      </w:tr>
      <w:tr>
        <w:tc>
          <w:tcPr>
            <w:tcW w:type="dxa" w:w="3837"/>
            <w:shd w:val="clear" w:color="auto" w:fill="EAF1F4"/>
          </w:tcPr>
          <w:p>
            <w:pPr>
              <w:spacing w:after="50" w:before="50" w:line="252" w:lineRule="auto"/>
            </w:pPr>
            <w:r>
              <w:rPr>
                <w:sz w:val="17"/>
              </w:rPr>
              <w:t>Programme fixed cost</w:t>
            </w:r>
          </w:p>
        </w:tc>
        <w:tc>
          <w:tcPr>
            <w:tcW w:type="dxa" w:w="1843"/>
            <w:shd w:val="clear" w:color="auto" w:fill="EAF1F4"/>
          </w:tcPr>
          <w:p>
            <w:pPr>
              <w:spacing w:after="50" w:before="50" w:line="252" w:lineRule="auto"/>
            </w:pPr>
            <w:r>
              <w:rPr>
                <w:sz w:val="17"/>
              </w:rPr>
              <w:t>(42,00,000)</w:t>
            </w:r>
          </w:p>
        </w:tc>
        <w:tc>
          <w:tcPr>
            <w:tcW w:type="dxa" w:w="1886"/>
            <w:shd w:val="clear" w:color="auto" w:fill="EAF1F4"/>
          </w:tcPr>
          <w:p>
            <w:pPr>
              <w:spacing w:after="50" w:before="50" w:line="252" w:lineRule="auto"/>
            </w:pPr>
            <w:r>
              <w:rPr>
                <w:sz w:val="17"/>
              </w:rPr>
              <w:t>(58,00,000)</w:t>
            </w:r>
          </w:p>
        </w:tc>
        <w:tc>
          <w:tcPr>
            <w:tcW w:type="dxa" w:w="1901"/>
            <w:shd w:val="clear" w:color="auto" w:fill="EAF1F4"/>
          </w:tcPr>
          <w:p>
            <w:pPr>
              <w:spacing w:after="50" w:before="50" w:line="252" w:lineRule="auto"/>
            </w:pPr>
            <w:r>
              <w:rPr>
                <w:sz w:val="17"/>
              </w:rPr>
              <w:t>(74,00,000)</w:t>
            </w:r>
          </w:p>
        </w:tc>
      </w:tr>
      <w:tr>
        <w:tc>
          <w:tcPr>
            <w:tcW w:type="dxa" w:w="3837"/>
          </w:tcPr>
          <w:p>
            <w:pPr>
              <w:spacing w:after="50" w:before="50" w:line="252" w:lineRule="auto"/>
            </w:pPr>
            <w:r>
              <w:rPr>
                <w:b/>
                <w:sz w:val="17"/>
              </w:rPr>
              <w:t>Programme result</w:t>
            </w:r>
          </w:p>
        </w:tc>
        <w:tc>
          <w:tcPr>
            <w:tcW w:type="dxa" w:w="1843"/>
          </w:tcPr>
          <w:p>
            <w:pPr>
              <w:spacing w:after="50" w:before="50" w:line="252" w:lineRule="auto"/>
            </w:pPr>
            <w:r>
              <w:rPr>
                <w:b/>
                <w:sz w:val="17"/>
              </w:rPr>
              <w:t>(28,32,000)</w:t>
            </w:r>
          </w:p>
        </w:tc>
        <w:tc>
          <w:tcPr>
            <w:tcW w:type="dxa" w:w="1886"/>
          </w:tcPr>
          <w:p>
            <w:pPr>
              <w:spacing w:after="50" w:before="50" w:line="252" w:lineRule="auto"/>
            </w:pPr>
            <w:r>
              <w:rPr>
                <w:b/>
                <w:sz w:val="17"/>
              </w:rPr>
              <w:t>(2,88,000)</w:t>
            </w:r>
          </w:p>
        </w:tc>
        <w:tc>
          <w:tcPr>
            <w:tcW w:type="dxa" w:w="1901"/>
          </w:tcPr>
          <w:p>
            <w:pPr>
              <w:spacing w:after="50" w:before="50" w:line="252" w:lineRule="auto"/>
            </w:pPr>
            <w:r>
              <w:rPr>
                <w:b/>
                <w:sz w:val="17"/>
              </w:rPr>
              <w:t>38,15,000</w:t>
            </w:r>
          </w:p>
        </w:tc>
      </w:tr>
    </w:tbl>
    <w:p>
      <w:pPr>
        <w:spacing w:after="80" w:before="0"/>
      </w:pPr>
    </w:p>
    <w:p>
      <w:r>
        <w:rPr>
          <w:b/>
        </w:rPr>
        <w:t>Reading.</w:t>
      </w:r>
      <w:r>
        <w:t xml:space="preserve"> The programme is loss-making in year 1, approximately at breakeven in year 2, and materially profitable in year 3. That profile is normal for a business whose cost base is a team that must exist before the revenue does, and it must be presented to the Board that way at the outset rather than explained afterwards.</w:t>
      </w:r>
    </w:p>
    <w:p>
      <w:r>
        <w:rPr>
          <w:b/>
        </w:rPr>
        <w:t>The three levers that move year 2 from breakeven into profit</w:t>
      </w:r>
      <w:r>
        <w:t>, in order of effect:</w:t>
      </w:r>
    </w:p>
    <w:p>
      <w:pPr>
        <w:pStyle w:val="ListNumber"/>
      </w:pPr>
      <w:r>
        <w:rPr>
          <w:b/>
          <w:sz w:val="21"/>
        </w:rPr>
        <w:t>Advisory retainers.</w:t>
      </w:r>
      <w:r>
        <w:rPr>
          <w:sz w:val="21"/>
        </w:rPr>
        <w:t xml:space="preserve"> Each retainer sold adds ₹1.14 lakh of contribution with no seasonality and no delivery infrastructure. Ten retainers change the year.</w:t>
      </w:r>
    </w:p>
    <w:p>
      <w:pPr>
        <w:pStyle w:val="ListNumber"/>
      </w:pPr>
      <w:r>
        <w:rPr>
          <w:b/>
          <w:sz w:val="21"/>
        </w:rPr>
        <w:t>Coaching.</w:t>
      </w:r>
      <w:r>
        <w:rPr>
          <w:sz w:val="21"/>
        </w:rPr>
        <w:t xml:space="preserve"> At 57.8% margin and deliverable online, this scales without a trainer bench.</w:t>
      </w:r>
    </w:p>
    <w:p>
      <w:pPr>
        <w:pStyle w:val="ListNumber"/>
      </w:pPr>
      <w:r>
        <w:rPr>
          <w:b/>
          <w:sz w:val="21"/>
        </w:rPr>
        <w:t>Local trainer bench density.</w:t>
      </w:r>
      <w:r>
        <w:rPr>
          <w:sz w:val="21"/>
        </w:rPr>
        <w:t xml:space="preserve"> Every city where the bench reaches four certified trainers converts student delivery from 6% margin to 30%.</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Unit Economics &amp; Partnership ROI Framework</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A42520-CDA4-4364-AD7E-CA8C7DE045AC}"/>
</file>

<file path=customXml/itemProps3.xml><?xml version="1.0" encoding="utf-8"?>
<ds:datastoreItem xmlns:ds="http://schemas.openxmlformats.org/officeDocument/2006/customXml" ds:itemID="{96811F4F-7B1E-4961-BF5F-BD9CD4CF3574}"/>
</file>

<file path=customXml/itemProps4.xml><?xml version="1.0" encoding="utf-8"?>
<ds:datastoreItem xmlns:ds="http://schemas.openxmlformats.org/officeDocument/2006/customXml" ds:itemID="{B7F4D5E1-D4DA-49CF-BCC7-D4EAE8847A2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