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shd w:val="clear" w:color="auto" w:fill="10375C"/>
      </w:pPr>
      <w:r>
        <w:rPr>
          <w:rFonts w:ascii="Calibri" w:hAnsi="Calibri"/>
          <w:b/>
          <w:caps/>
          <w:color w:val="FFFFFF"/>
          <w:sz w:val="26"/>
        </w:rPr>
        <w:t xml:space="preserve"> EQUATOR RESOLUTION</w:t>
      </w:r>
    </w:p>
    <w:p>
      <w:pPr>
        <w:spacing w:before="0" w:after="880"/>
        <w:shd w:val="clear" w:color="auto" w:fill="0E7C7B"/>
      </w:pPr>
      <w:r>
        <w:rPr>
          <w:rFonts w:ascii="Calibri" w:hAnsi="Calibri"/>
          <w:color w:val="FFFFFF"/>
          <w:sz w:val="16"/>
        </w:rPr>
        <w:t xml:space="preserve"> An Infrabyx Group venture  ·  www.equatorresolution.com</w:t>
      </w:r>
    </w:p>
    <w:p>
      <w:pPr>
        <w:spacing w:after="40"/>
      </w:pPr>
      <w:r>
        <w:rPr>
          <w:rFonts w:ascii="Calibri" w:hAnsi="Calibri"/>
          <w:b/>
          <w:caps/>
          <w:color w:val="0E7C7B"/>
          <w:sz w:val="19"/>
        </w:rPr>
        <w:t>UNIVERSITY &amp; ACADEMIC PARTNERSHIP PROGRAMME</w:t>
      </w:r>
    </w:p>
    <w:p>
      <w:pPr>
        <w:spacing w:after="120" w:line="240" w:lineRule="auto"/>
      </w:pPr>
      <w:r>
        <w:rPr>
          <w:rFonts w:ascii="Calibri" w:hAnsi="Calibri"/>
          <w:b/>
          <w:color w:val="10375C"/>
          <w:sz w:val="54"/>
        </w:rPr>
        <w:t>Revenue Share, Settlement &amp; Reconciliation SOP</w:t>
      </w:r>
    </w:p>
    <w:p>
      <w:pPr>
        <w:spacing w:after="280" w:line="276" w:lineRule="auto"/>
      </w:pPr>
      <w:r>
        <w:rPr>
          <w:rFonts w:ascii="Calibri" w:hAnsi="Calibri"/>
          <w:i/>
          <w:color w:val="3E6B8A"/>
          <w:sz w:val="25"/>
        </w:rPr>
        <w:t>How participant fees are collected, computed, settled, reconciled and disputed</w:t>
      </w:r>
    </w:p>
    <w:p>
      <w:pPr>
        <w:spacing w:after="520"/>
        <w:pBdr>
          <w:bottom w:val="single" w:sz="18" w:space="1" w:color="0E7C7B"/>
        </w:pBdr>
      </w:pPr>
    </w:p>
    <w:tbl>
      <w:tblPr>
        <w:tblW w:type="auto" w:w="0"/>
        <w:jc w:val="left"/>
        <w:tblLayout w:type="fixed"/>
        <w:tblLook w:firstColumn="1" w:firstRow="1" w:lastColumn="0" w:lastRow="0" w:noHBand="0" w:noVBand="1" w:val="04A0"/>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
      <w:tblGrid>
        <w:gridCol w:w="4734"/>
        <w:gridCol w:w="4734"/>
      </w:tblGrid>
      <w:tr>
        <w:tc>
          <w:tcPr>
            <w:tcW w:type="dxa" w:w="2891"/>
            <w:shd w:val="clear" w:color="auto" w:fill="EAF1F4"/>
          </w:tcPr>
          <w:p>
            <w:pPr>
              <w:spacing w:after="60" w:before="60"/>
            </w:pPr>
            <w:r>
              <w:rPr>
                <w:rFonts w:ascii="Calibri" w:hAnsi="Calibri"/>
                <w:b/>
                <w:color w:val="10375C"/>
                <w:sz w:val="18"/>
              </w:rPr>
              <w:t>Document reference</w:t>
            </w:r>
          </w:p>
        </w:tc>
        <w:tc>
          <w:tcPr>
            <w:tcW w:type="dxa" w:w="6576"/>
          </w:tcPr>
          <w:p>
            <w:pPr>
              <w:spacing w:after="60" w:before="60"/>
            </w:pPr>
            <w:r>
              <w:rPr>
                <w:rFonts w:ascii="Calibri" w:hAnsi="Calibri"/>
                <w:color w:val="333333"/>
                <w:sz w:val="18"/>
              </w:rPr>
              <w:t>EQ-UAP-044</w:t>
            </w:r>
          </w:p>
        </w:tc>
      </w:tr>
      <w:tr>
        <w:tc>
          <w:tcPr>
            <w:tcW w:type="dxa" w:w="2891"/>
            <w:shd w:val="clear" w:color="auto" w:fill="EAF1F4"/>
          </w:tcPr>
          <w:p>
            <w:pPr>
              <w:spacing w:after="60" w:before="60"/>
            </w:pPr>
            <w:r>
              <w:rPr>
                <w:rFonts w:ascii="Calibri" w:hAnsi="Calibri"/>
                <w:b/>
                <w:color w:val="10375C"/>
                <w:sz w:val="18"/>
              </w:rPr>
              <w:t>Document family</w:t>
            </w:r>
          </w:p>
        </w:tc>
        <w:tc>
          <w:tcPr>
            <w:tcW w:type="dxa" w:w="6576"/>
          </w:tcPr>
          <w:p>
            <w:pPr>
              <w:spacing w:after="60" w:before="60"/>
            </w:pPr>
            <w:r>
              <w:rPr>
                <w:rFonts w:ascii="Calibri" w:hAnsi="Calibri"/>
                <w:color w:val="333333"/>
                <w:sz w:val="18"/>
              </w:rPr>
              <w:t>Commercial</w:t>
            </w:r>
          </w:p>
        </w:tc>
      </w:tr>
      <w:tr>
        <w:tc>
          <w:tcPr>
            <w:tcW w:type="dxa" w:w="2891"/>
            <w:shd w:val="clear" w:color="auto" w:fill="EAF1F4"/>
          </w:tcPr>
          <w:p>
            <w:pPr>
              <w:spacing w:after="60" w:before="60"/>
            </w:pPr>
            <w:r>
              <w:rPr>
                <w:rFonts w:ascii="Calibri" w:hAnsi="Calibri"/>
                <w:b/>
                <w:color w:val="10375C"/>
                <w:sz w:val="18"/>
              </w:rPr>
              <w:t>Version</w:t>
            </w:r>
          </w:p>
        </w:tc>
        <w:tc>
          <w:tcPr>
            <w:tcW w:type="dxa" w:w="6576"/>
          </w:tcPr>
          <w:p>
            <w:pPr>
              <w:spacing w:after="60" w:before="60"/>
            </w:pPr>
            <w:r>
              <w:rPr>
                <w:rFonts w:ascii="Calibri" w:hAnsi="Calibri"/>
                <w:color w:val="333333"/>
                <w:sz w:val="18"/>
              </w:rPr>
              <w:t>v1.0   ·   Draft for legal sign-off</w:t>
            </w:r>
          </w:p>
        </w:tc>
      </w:tr>
      <w:tr>
        <w:tc>
          <w:tcPr>
            <w:tcW w:type="dxa" w:w="2891"/>
            <w:shd w:val="clear" w:color="auto" w:fill="EAF1F4"/>
          </w:tcPr>
          <w:p>
            <w:pPr>
              <w:spacing w:after="60" w:before="60"/>
            </w:pPr>
            <w:r>
              <w:rPr>
                <w:rFonts w:ascii="Calibri" w:hAnsi="Calibri"/>
                <w:b/>
                <w:color w:val="10375C"/>
                <w:sz w:val="18"/>
              </w:rPr>
              <w:t>Date of issue</w:t>
            </w:r>
          </w:p>
        </w:tc>
        <w:tc>
          <w:tcPr>
            <w:tcW w:type="dxa" w:w="6576"/>
          </w:tcPr>
          <w:p>
            <w:pPr>
              <w:spacing w:after="60" w:before="60"/>
            </w:pPr>
            <w:r>
              <w:rPr>
                <w:rFonts w:ascii="Calibri" w:hAnsi="Calibri"/>
                <w:color w:val="333333"/>
                <w:sz w:val="18"/>
              </w:rPr>
              <w:t>July 2026</w:t>
            </w:r>
          </w:p>
        </w:tc>
      </w:tr>
      <w:tr>
        <w:tc>
          <w:tcPr>
            <w:tcW w:type="dxa" w:w="2891"/>
            <w:shd w:val="clear" w:color="auto" w:fill="EAF1F4"/>
          </w:tcPr>
          <w:p>
            <w:pPr>
              <w:spacing w:after="60" w:before="60"/>
            </w:pPr>
            <w:r>
              <w:rPr>
                <w:rFonts w:ascii="Calibri" w:hAnsi="Calibri"/>
                <w:b/>
                <w:color w:val="10375C"/>
                <w:sz w:val="18"/>
              </w:rPr>
              <w:t>Law stated as at</w:t>
            </w:r>
          </w:p>
        </w:tc>
        <w:tc>
          <w:tcPr>
            <w:tcW w:type="dxa" w:w="6576"/>
          </w:tcPr>
          <w:p>
            <w:pPr>
              <w:spacing w:after="60" w:before="60"/>
            </w:pPr>
            <w:r>
              <w:rPr>
                <w:rFonts w:ascii="Calibri" w:hAnsi="Calibri"/>
                <w:color w:val="333333"/>
                <w:sz w:val="18"/>
              </w:rPr>
              <w:t>22 July 2026</w:t>
            </w:r>
          </w:p>
        </w:tc>
      </w:tr>
      <w:tr>
        <w:tc>
          <w:tcPr>
            <w:tcW w:type="dxa" w:w="2891"/>
            <w:shd w:val="clear" w:color="auto" w:fill="EAF1F4"/>
          </w:tcPr>
          <w:p>
            <w:pPr>
              <w:spacing w:after="60" w:before="60"/>
            </w:pPr>
            <w:r>
              <w:rPr>
                <w:rFonts w:ascii="Calibri" w:hAnsi="Calibri"/>
                <w:b/>
                <w:color w:val="10375C"/>
                <w:sz w:val="18"/>
              </w:rPr>
              <w:t>Owner</w:t>
            </w:r>
          </w:p>
        </w:tc>
        <w:tc>
          <w:tcPr>
            <w:tcW w:type="dxa" w:w="6576"/>
          </w:tcPr>
          <w:p>
            <w:pPr>
              <w:spacing w:after="60" w:before="60"/>
            </w:pPr>
            <w:r>
              <w:rPr>
                <w:rFonts w:ascii="Calibri" w:hAnsi="Calibri"/>
                <w:color w:val="333333"/>
                <w:sz w:val="18"/>
              </w:rPr>
              <w:t>Director — Academic Partnerships, Equator ADR Institute</w:t>
            </w:r>
          </w:p>
        </w:tc>
      </w:tr>
      <w:tr>
        <w:tc>
          <w:tcPr>
            <w:tcW w:type="dxa" w:w="2891"/>
            <w:shd w:val="clear" w:color="auto" w:fill="EAF1F4"/>
          </w:tcPr>
          <w:p>
            <w:pPr>
              <w:spacing w:after="60" w:before="60"/>
            </w:pPr>
            <w:r>
              <w:rPr>
                <w:rFonts w:ascii="Calibri" w:hAnsi="Calibri"/>
                <w:b/>
                <w:color w:val="10375C"/>
                <w:sz w:val="18"/>
              </w:rPr>
              <w:t>Approver</w:t>
            </w:r>
          </w:p>
        </w:tc>
        <w:tc>
          <w:tcPr>
            <w:tcW w:type="dxa" w:w="6576"/>
          </w:tcPr>
          <w:p>
            <w:pPr>
              <w:spacing w:after="60" w:before="60"/>
            </w:pPr>
            <w:r>
              <w:rPr>
                <w:rFonts w:ascii="Calibri" w:hAnsi="Calibri"/>
                <w:color w:val="333333"/>
                <w:sz w:val="18"/>
              </w:rPr>
              <w:t>Managing Director, Equator Resolution</w:t>
            </w:r>
          </w:p>
        </w:tc>
      </w:tr>
      <w:tr>
        <w:tc>
          <w:tcPr>
            <w:tcW w:type="dxa" w:w="2891"/>
            <w:shd w:val="clear" w:color="auto" w:fill="EAF1F4"/>
          </w:tcPr>
          <w:p>
            <w:pPr>
              <w:spacing w:after="60" w:before="60"/>
            </w:pPr>
            <w:r>
              <w:rPr>
                <w:rFonts w:ascii="Calibri" w:hAnsi="Calibri"/>
                <w:b/>
                <w:color w:val="10375C"/>
                <w:sz w:val="18"/>
              </w:rPr>
              <w:t>Classification</w:t>
            </w:r>
          </w:p>
        </w:tc>
        <w:tc>
          <w:tcPr>
            <w:tcW w:type="dxa" w:w="6576"/>
          </w:tcPr>
          <w:p>
            <w:pPr>
              <w:spacing w:after="60" w:before="60"/>
            </w:pPr>
            <w:r>
              <w:rPr>
                <w:rFonts w:ascii="Calibri" w:hAnsi="Calibri"/>
                <w:color w:val="333333"/>
                <w:sz w:val="18"/>
              </w:rPr>
              <w:t>Confidential — Internal</w:t>
            </w:r>
          </w:p>
        </w:tc>
      </w:tr>
    </w:tbl>
    <w:p>
      <w:pPr>
        <w:spacing w:before="600"/>
        <w:ind w:left="170"/>
        <w:pBdr>
          <w:left w:val="single" w:sz="18" w:space="6" w:color="8A5A00"/>
        </w:pBdr>
        <w:shd w:val="clear" w:color="auto" w:fill="FDF6EC"/>
      </w:pPr>
      <w:r>
        <w:rPr>
          <w:b/>
          <w:color w:val="8A5A00"/>
          <w:sz w:val="17"/>
        </w:rPr>
        <w:t xml:space="preserve">Not legal advice.  </w:t>
      </w:r>
      <w:r>
        <w:rPr>
          <w:color w:val="595959"/>
          <w:sz w:val="17"/>
        </w:rPr>
        <w:t>This document is a working draft prepared for Equator Resolution. Before it is used with any institution, student or party it must be reviewed by qualified counsel and, where personal data is involved, by the Data Protection Officer. Items marked [verify] must be cleared in the Master Legal Sign-off Register.</w:t>
      </w:r>
    </w:p>
    <w:p>
      <w:r>
        <w:br w:type="page"/>
      </w:r>
    </w:p>
    <w:p>
      <w:pPr>
        <w:spacing w:after="200"/>
        <w:pBdr>
          <w:bottom w:val="single" w:sz="10" w:space="4" w:color="0E7C7B"/>
        </w:pBdr>
      </w:pPr>
      <w:r>
        <w:rPr>
          <w:rFonts w:ascii="Calibri" w:hAnsi="Calibri"/>
          <w:b/>
          <w:color w:val="10375C"/>
          <w:sz w:val="31"/>
        </w:rPr>
        <w:t>Document control</w:t>
      </w:r>
    </w:p>
    <w:p>
      <w:pPr>
        <w:spacing w:before="240" w:after="80"/>
        <w:keepNext w:val="1"/>
      </w:pPr>
      <w:r>
        <w:rPr>
          <w:rFonts w:ascii="Calibri" w:hAnsi="Calibri"/>
          <w:b/>
          <w:color w:val="0E7C7B"/>
          <w:sz w:val="22"/>
        </w:rPr>
        <w:t>Version history</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1894"/>
        <w:gridCol w:w="1894"/>
        <w:gridCol w:w="1894"/>
        <w:gridCol w:w="1894"/>
        <w:gridCol w:w="1894"/>
      </w:tblGrid>
      <w:tr>
        <w:trPr>
          <w:tblHeader w:val="true"/>
        </w:trPr>
        <w:tc>
          <w:tcPr>
            <w:tcW w:type="dxa" w:w="964"/>
            <w:shd w:val="clear" w:color="auto" w:fill="10375C"/>
          </w:tcPr>
          <w:p>
            <w:pPr>
              <w:spacing w:after="40" w:before="40"/>
            </w:pPr>
            <w:r>
              <w:rPr>
                <w:rFonts w:ascii="Calibri" w:hAnsi="Calibri"/>
                <w:b/>
                <w:color w:val="FFFFFF"/>
                <w:sz w:val="17"/>
              </w:rPr>
              <w:t>Version</w:t>
            </w:r>
          </w:p>
        </w:tc>
        <w:tc>
          <w:tcPr>
            <w:tcW w:type="dxa" w:w="1304"/>
            <w:shd w:val="clear" w:color="auto" w:fill="10375C"/>
          </w:tcPr>
          <w:p>
            <w:pPr>
              <w:spacing w:after="40" w:before="40"/>
            </w:pPr>
            <w:r>
              <w:rPr>
                <w:rFonts w:ascii="Calibri" w:hAnsi="Calibri"/>
                <w:b/>
                <w:color w:val="FFFFFF"/>
                <w:sz w:val="17"/>
              </w:rPr>
              <w:t>Date</w:t>
            </w:r>
          </w:p>
        </w:tc>
        <w:tc>
          <w:tcPr>
            <w:tcW w:type="dxa" w:w="2041"/>
            <w:shd w:val="clear" w:color="auto" w:fill="10375C"/>
          </w:tcPr>
          <w:p>
            <w:pPr>
              <w:spacing w:after="40" w:before="40"/>
            </w:pPr>
            <w:r>
              <w:rPr>
                <w:rFonts w:ascii="Calibri" w:hAnsi="Calibri"/>
                <w:b/>
                <w:color w:val="FFFFFF"/>
                <w:sz w:val="17"/>
              </w:rPr>
              <w:t>Author</w:t>
            </w:r>
          </w:p>
        </w:tc>
        <w:tc>
          <w:tcPr>
            <w:tcW w:type="dxa" w:w="3742"/>
            <w:shd w:val="clear" w:color="auto" w:fill="10375C"/>
          </w:tcPr>
          <w:p>
            <w:pPr>
              <w:spacing w:after="40" w:before="40"/>
            </w:pPr>
            <w:r>
              <w:rPr>
                <w:rFonts w:ascii="Calibri" w:hAnsi="Calibri"/>
                <w:b/>
                <w:color w:val="FFFFFF"/>
                <w:sz w:val="17"/>
              </w:rPr>
              <w:t>Summary of change</w:t>
            </w:r>
          </w:p>
        </w:tc>
        <w:tc>
          <w:tcPr>
            <w:tcW w:type="dxa" w:w="1417"/>
            <w:shd w:val="clear" w:color="auto" w:fill="10375C"/>
          </w:tcPr>
          <w:p>
            <w:pPr>
              <w:spacing w:after="40" w:before="40"/>
            </w:pPr>
            <w:r>
              <w:rPr>
                <w:rFonts w:ascii="Calibri" w:hAnsi="Calibri"/>
                <w:b/>
                <w:color w:val="FFFFFF"/>
                <w:sz w:val="17"/>
              </w:rPr>
              <w:t>Status</w:t>
            </w:r>
          </w:p>
        </w:tc>
      </w:tr>
      <w:tr>
        <w:tc>
          <w:tcPr>
            <w:tcW w:type="dxa" w:w="964"/>
          </w:tcPr>
          <w:p>
            <w:pPr>
              <w:spacing w:after="40" w:before="40"/>
            </w:pPr>
            <w:r>
              <w:rPr>
                <w:rFonts w:ascii="Calibri" w:hAnsi="Calibri"/>
                <w:sz w:val="17"/>
              </w:rPr>
              <w:t>0.1</w:t>
            </w:r>
          </w:p>
        </w:tc>
        <w:tc>
          <w:tcPr>
            <w:tcW w:type="dxa" w:w="1304"/>
          </w:tcPr>
          <w:p>
            <w:pPr>
              <w:spacing w:after="40" w:before="40"/>
            </w:pPr>
            <w:r>
              <w:rPr>
                <w:rFonts w:ascii="Calibri" w:hAnsi="Calibri"/>
                <w:sz w:val="17"/>
              </w:rPr>
              <w:t>July 2026</w:t>
            </w:r>
          </w:p>
        </w:tc>
        <w:tc>
          <w:tcPr>
            <w:tcW w:type="dxa" w:w="2041"/>
          </w:tcPr>
          <w:p>
            <w:pPr>
              <w:spacing w:after="40" w:before="40"/>
            </w:pPr>
            <w:r>
              <w:rPr>
                <w:rFonts w:ascii="Calibri" w:hAnsi="Calibri"/>
                <w:sz w:val="17"/>
              </w:rPr>
              <w:t>Equator ADR Institute</w:t>
            </w:r>
          </w:p>
        </w:tc>
        <w:tc>
          <w:tcPr>
            <w:tcW w:type="dxa" w:w="3742"/>
          </w:tcPr>
          <w:p>
            <w:pPr>
              <w:spacing w:after="40" w:before="40"/>
            </w:pPr>
            <w:r>
              <w:rPr>
                <w:rFonts w:ascii="Calibri" w:hAnsi="Calibri"/>
                <w:sz w:val="17"/>
              </w:rPr>
              <w:t>Initial drafting</w:t>
            </w:r>
          </w:p>
        </w:tc>
        <w:tc>
          <w:tcPr>
            <w:tcW w:type="dxa" w:w="1417"/>
          </w:tcPr>
          <w:p>
            <w:pPr>
              <w:spacing w:after="40" w:before="40"/>
            </w:pPr>
            <w:r>
              <w:rPr>
                <w:rFonts w:ascii="Calibri" w:hAnsi="Calibri"/>
                <w:sz w:val="17"/>
              </w:rPr>
              <w:t>Superseded</w:t>
            </w:r>
          </w:p>
        </w:tc>
      </w:tr>
      <w:tr>
        <w:tc>
          <w:tcPr>
            <w:tcW w:type="dxa" w:w="964"/>
            <w:shd w:val="clear" w:color="auto" w:fill="EAF1F4"/>
          </w:tcPr>
          <w:p>
            <w:pPr>
              <w:spacing w:after="40" w:before="40"/>
            </w:pPr>
            <w:r>
              <w:rPr>
                <w:rFonts w:ascii="Calibri" w:hAnsi="Calibri"/>
                <w:sz w:val="17"/>
              </w:rPr>
              <w:t>1.0</w:t>
            </w:r>
          </w:p>
        </w:tc>
        <w:tc>
          <w:tcPr>
            <w:tcW w:type="dxa" w:w="1304"/>
            <w:shd w:val="clear" w:color="auto" w:fill="EAF1F4"/>
          </w:tcPr>
          <w:p>
            <w:pPr>
              <w:spacing w:after="40" w:before="40"/>
            </w:pPr>
            <w:r>
              <w:rPr>
                <w:rFonts w:ascii="Calibri" w:hAnsi="Calibri"/>
                <w:sz w:val="17"/>
              </w:rPr>
              <w:t>July 2026</w:t>
            </w:r>
          </w:p>
        </w:tc>
        <w:tc>
          <w:tcPr>
            <w:tcW w:type="dxa" w:w="2041"/>
            <w:shd w:val="clear" w:color="auto" w:fill="EAF1F4"/>
          </w:tcPr>
          <w:p>
            <w:pPr>
              <w:spacing w:after="40" w:before="40"/>
            </w:pPr>
            <w:r>
              <w:rPr>
                <w:rFonts w:ascii="Calibri" w:hAnsi="Calibri"/>
                <w:sz w:val="17"/>
              </w:rPr>
              <w:t>Equator ADR Institute</w:t>
            </w:r>
          </w:p>
        </w:tc>
        <w:tc>
          <w:tcPr>
            <w:tcW w:type="dxa" w:w="3742"/>
            <w:shd w:val="clear" w:color="auto" w:fill="EAF1F4"/>
          </w:tcPr>
          <w:p>
            <w:pPr>
              <w:spacing w:after="40" w:before="40"/>
            </w:pPr>
            <w:r>
              <w:rPr>
                <w:rFonts w:ascii="Calibri" w:hAnsi="Calibri"/>
                <w:sz w:val="17"/>
              </w:rPr>
              <w:t>First complete issue for legal review</w:t>
            </w:r>
          </w:p>
        </w:tc>
        <w:tc>
          <w:tcPr>
            <w:tcW w:type="dxa" w:w="1417"/>
            <w:shd w:val="clear" w:color="auto" w:fill="EAF1F4"/>
          </w:tcPr>
          <w:p>
            <w:pPr>
              <w:spacing w:after="40" w:before="40"/>
            </w:pPr>
            <w:r>
              <w:rPr>
                <w:rFonts w:ascii="Calibri" w:hAnsi="Calibri"/>
                <w:sz w:val="17"/>
              </w:rPr>
              <w:t>Draft for legal sign-off</w:t>
            </w:r>
          </w:p>
        </w:tc>
      </w:tr>
      <w:tr>
        <w:tc>
          <w:tcPr>
            <w:tcW w:type="dxa" w:w="964"/>
          </w:tcPr>
          <w:p>
            <w:pPr>
              <w:spacing w:after="40" w:before="40"/>
            </w:pPr>
            <w:r>
              <w:rPr>
                <w:rFonts w:ascii="Calibri" w:hAnsi="Calibri"/>
                <w:sz w:val="17"/>
              </w:rPr>
            </w:r>
          </w:p>
        </w:tc>
        <w:tc>
          <w:tcPr>
            <w:tcW w:type="dxa" w:w="1304"/>
          </w:tcPr>
          <w:p>
            <w:pPr>
              <w:spacing w:after="40" w:before="40"/>
            </w:pPr>
            <w:r>
              <w:rPr>
                <w:rFonts w:ascii="Calibri" w:hAnsi="Calibri"/>
                <w:sz w:val="17"/>
              </w:rPr>
            </w:r>
          </w:p>
        </w:tc>
        <w:tc>
          <w:tcPr>
            <w:tcW w:type="dxa" w:w="2041"/>
          </w:tcPr>
          <w:p>
            <w:pPr>
              <w:spacing w:after="40" w:before="40"/>
            </w:pPr>
            <w:r>
              <w:rPr>
                <w:rFonts w:ascii="Calibri" w:hAnsi="Calibri"/>
                <w:sz w:val="17"/>
              </w:rPr>
            </w:r>
          </w:p>
        </w:tc>
        <w:tc>
          <w:tcPr>
            <w:tcW w:type="dxa" w:w="3742"/>
          </w:tcPr>
          <w:p>
            <w:pPr>
              <w:spacing w:after="40" w:before="40"/>
            </w:pPr>
            <w:r>
              <w:rPr>
                <w:rFonts w:ascii="Calibri" w:hAnsi="Calibri"/>
                <w:sz w:val="17"/>
              </w:rPr>
            </w:r>
          </w:p>
        </w:tc>
        <w:tc>
          <w:tcPr>
            <w:tcW w:type="dxa" w:w="1417"/>
          </w:tcPr>
          <w:p>
            <w:pPr>
              <w:spacing w:after="40" w:before="40"/>
            </w:pPr>
            <w:r>
              <w:rPr>
                <w:rFonts w:ascii="Calibri" w:hAnsi="Calibri"/>
                <w:sz w:val="17"/>
              </w:rPr>
            </w:r>
          </w:p>
        </w:tc>
      </w:tr>
      <w:tr>
        <w:tc>
          <w:tcPr>
            <w:tcW w:type="dxa" w:w="964"/>
            <w:shd w:val="clear" w:color="auto" w:fill="EAF1F4"/>
          </w:tcPr>
          <w:p>
            <w:pPr>
              <w:spacing w:after="40" w:before="40"/>
            </w:pPr>
            <w:r>
              <w:rPr>
                <w:rFonts w:ascii="Calibri" w:hAnsi="Calibri"/>
                <w:sz w:val="17"/>
              </w:rPr>
            </w:r>
          </w:p>
        </w:tc>
        <w:tc>
          <w:tcPr>
            <w:tcW w:type="dxa" w:w="1304"/>
            <w:shd w:val="clear" w:color="auto" w:fill="EAF1F4"/>
          </w:tcPr>
          <w:p>
            <w:pPr>
              <w:spacing w:after="40" w:before="40"/>
            </w:pPr>
            <w:r>
              <w:rPr>
                <w:rFonts w:ascii="Calibri" w:hAnsi="Calibri"/>
                <w:sz w:val="17"/>
              </w:rPr>
            </w:r>
          </w:p>
        </w:tc>
        <w:tc>
          <w:tcPr>
            <w:tcW w:type="dxa" w:w="2041"/>
            <w:shd w:val="clear" w:color="auto" w:fill="EAF1F4"/>
          </w:tcPr>
          <w:p>
            <w:pPr>
              <w:spacing w:after="40" w:before="40"/>
            </w:pPr>
            <w:r>
              <w:rPr>
                <w:rFonts w:ascii="Calibri" w:hAnsi="Calibri"/>
                <w:sz w:val="17"/>
              </w:rPr>
            </w:r>
          </w:p>
        </w:tc>
        <w:tc>
          <w:tcPr>
            <w:tcW w:type="dxa" w:w="3742"/>
            <w:shd w:val="clear" w:color="auto" w:fill="EAF1F4"/>
          </w:tcPr>
          <w:p>
            <w:pPr>
              <w:spacing w:after="40" w:before="40"/>
            </w:pPr>
            <w:r>
              <w:rPr>
                <w:rFonts w:ascii="Calibri" w:hAnsi="Calibri"/>
                <w:sz w:val="17"/>
              </w:rPr>
            </w:r>
          </w:p>
        </w:tc>
        <w:tc>
          <w:tcPr>
            <w:tcW w:type="dxa" w:w="1417"/>
            <w:shd w:val="clear" w:color="auto" w:fill="EAF1F4"/>
          </w:tcPr>
          <w:p>
            <w:pPr>
              <w:spacing w:after="40" w:before="40"/>
            </w:pPr>
            <w:r>
              <w:rPr>
                <w:rFonts w:ascii="Calibri" w:hAnsi="Calibri"/>
                <w:sz w:val="17"/>
              </w:rPr>
            </w:r>
          </w:p>
        </w:tc>
      </w:tr>
    </w:tbl>
    <w:p>
      <w:pPr>
        <w:spacing w:before="240" w:after="80"/>
        <w:keepNext w:val="1"/>
      </w:pPr>
      <w:r>
        <w:rPr>
          <w:rFonts w:ascii="Calibri" w:hAnsi="Calibri"/>
          <w:b/>
          <w:color w:val="0E7C7B"/>
          <w:sz w:val="22"/>
        </w:rPr>
        <w:t>Review and approval</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2367"/>
        <w:gridCol w:w="2367"/>
        <w:gridCol w:w="2367"/>
        <w:gridCol w:w="2367"/>
      </w:tblGrid>
      <w:tr>
        <w:trPr>
          <w:tblHeader w:val="true"/>
        </w:trPr>
        <w:tc>
          <w:tcPr>
            <w:tcW w:type="dxa" w:w="2098"/>
            <w:shd w:val="clear" w:color="auto" w:fill="10375C"/>
          </w:tcPr>
          <w:p>
            <w:pPr>
              <w:spacing w:after="40" w:before="40"/>
            </w:pPr>
            <w:r>
              <w:rPr>
                <w:rFonts w:ascii="Calibri" w:hAnsi="Calibri"/>
                <w:b/>
                <w:color w:val="FFFFFF"/>
                <w:sz w:val="17"/>
              </w:rPr>
              <w:t>Role</w:t>
            </w:r>
          </w:p>
        </w:tc>
        <w:tc>
          <w:tcPr>
            <w:tcW w:type="dxa" w:w="1928"/>
            <w:shd w:val="clear" w:color="auto" w:fill="10375C"/>
          </w:tcPr>
          <w:p>
            <w:pPr>
              <w:spacing w:after="40" w:before="40"/>
            </w:pPr>
            <w:r>
              <w:rPr>
                <w:rFonts w:ascii="Calibri" w:hAnsi="Calibri"/>
                <w:b/>
                <w:color w:val="FFFFFF"/>
                <w:sz w:val="17"/>
              </w:rPr>
              <w:t>Name</w:t>
            </w:r>
          </w:p>
        </w:tc>
        <w:tc>
          <w:tcPr>
            <w:tcW w:type="dxa" w:w="3628"/>
            <w:shd w:val="clear" w:color="auto" w:fill="10375C"/>
          </w:tcPr>
          <w:p>
            <w:pPr>
              <w:spacing w:after="40" w:before="40"/>
            </w:pPr>
            <w:r>
              <w:rPr>
                <w:rFonts w:ascii="Calibri" w:hAnsi="Calibri"/>
                <w:b/>
                <w:color w:val="FFFFFF"/>
                <w:sz w:val="17"/>
              </w:rPr>
              <w:t>Responsibility</w:t>
            </w:r>
          </w:p>
        </w:tc>
        <w:tc>
          <w:tcPr>
            <w:tcW w:type="dxa" w:w="1814"/>
            <w:shd w:val="clear" w:color="auto" w:fill="10375C"/>
          </w:tcPr>
          <w:p>
            <w:pPr>
              <w:spacing w:after="40" w:before="40"/>
            </w:pPr>
            <w:r>
              <w:rPr>
                <w:rFonts w:ascii="Calibri" w:hAnsi="Calibri"/>
                <w:b/>
                <w:color w:val="FFFFFF"/>
                <w:sz w:val="17"/>
              </w:rPr>
              <w:t>Signature / date</w:t>
            </w:r>
          </w:p>
        </w:tc>
      </w:tr>
      <w:tr>
        <w:tc>
          <w:tcPr>
            <w:tcW w:type="dxa" w:w="2098"/>
          </w:tcPr>
          <w:p>
            <w:pPr>
              <w:spacing w:after="40" w:before="40"/>
            </w:pPr>
            <w:r>
              <w:rPr>
                <w:rFonts w:ascii="Calibri" w:hAnsi="Calibri"/>
                <w:sz w:val="17"/>
              </w:rPr>
              <w:t>Preparer</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Drafting and factual accuracy</w:t>
            </w:r>
          </w:p>
        </w:tc>
        <w:tc>
          <w:tcPr>
            <w:tcW w:type="dxa" w:w="1814"/>
          </w:tcPr>
          <w:p>
            <w:pPr>
              <w:spacing w:after="40" w:before="40"/>
            </w:pPr>
            <w:r>
              <w:rPr>
                <w:rFonts w:ascii="Calibri" w:hAnsi="Calibri"/>
                <w:sz w:val="17"/>
              </w:rPr>
            </w:r>
          </w:p>
        </w:tc>
      </w:tr>
      <w:tr>
        <w:tc>
          <w:tcPr>
            <w:tcW w:type="dxa" w:w="2098"/>
            <w:shd w:val="clear" w:color="auto" w:fill="EAF1F4"/>
          </w:tcPr>
          <w:p>
            <w:pPr>
              <w:spacing w:after="40" w:before="40"/>
            </w:pPr>
            <w:r>
              <w:rPr>
                <w:rFonts w:ascii="Calibri" w:hAnsi="Calibri"/>
                <w:sz w:val="17"/>
              </w:rPr>
              <w:t>Reviewer — Legal</w:t>
            </w:r>
          </w:p>
        </w:tc>
        <w:tc>
          <w:tcPr>
            <w:tcW w:type="dxa" w:w="1928"/>
            <w:shd w:val="clear" w:color="auto" w:fill="EAF1F4"/>
          </w:tcPr>
          <w:p>
            <w:pPr>
              <w:spacing w:after="40" w:before="40"/>
            </w:pPr>
            <w:r>
              <w:rPr>
                <w:rFonts w:ascii="Calibri" w:hAnsi="Calibri"/>
                <w:sz w:val="17"/>
              </w:rPr>
              <w:t>[●]</w:t>
            </w:r>
          </w:p>
        </w:tc>
        <w:tc>
          <w:tcPr>
            <w:tcW w:type="dxa" w:w="3628"/>
            <w:shd w:val="clear" w:color="auto" w:fill="EAF1F4"/>
          </w:tcPr>
          <w:p>
            <w:pPr>
              <w:spacing w:after="40" w:before="40"/>
            </w:pPr>
            <w:r>
              <w:rPr>
                <w:rFonts w:ascii="Calibri" w:hAnsi="Calibri"/>
                <w:sz w:val="17"/>
              </w:rPr>
              <w:t>Statutory compliance; clause risk</w:t>
            </w:r>
          </w:p>
        </w:tc>
        <w:tc>
          <w:tcPr>
            <w:tcW w:type="dxa" w:w="1814"/>
            <w:shd w:val="clear" w:color="auto" w:fill="EAF1F4"/>
          </w:tcPr>
          <w:p>
            <w:pPr>
              <w:spacing w:after="40" w:before="40"/>
            </w:pPr>
            <w:r>
              <w:rPr>
                <w:rFonts w:ascii="Calibri" w:hAnsi="Calibri"/>
                <w:sz w:val="17"/>
              </w:rPr>
            </w:r>
          </w:p>
        </w:tc>
      </w:tr>
      <w:tr>
        <w:tc>
          <w:tcPr>
            <w:tcW w:type="dxa" w:w="2098"/>
          </w:tcPr>
          <w:p>
            <w:pPr>
              <w:spacing w:after="40" w:before="40"/>
            </w:pPr>
            <w:r>
              <w:rPr>
                <w:rFonts w:ascii="Calibri" w:hAnsi="Calibri"/>
                <w:sz w:val="17"/>
              </w:rPr>
              <w:t>Reviewer — Finance</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Pricing, tax and revenue treatment</w:t>
            </w:r>
          </w:p>
        </w:tc>
        <w:tc>
          <w:tcPr>
            <w:tcW w:type="dxa" w:w="1814"/>
          </w:tcPr>
          <w:p>
            <w:pPr>
              <w:spacing w:after="40" w:before="40"/>
            </w:pPr>
            <w:r>
              <w:rPr>
                <w:rFonts w:ascii="Calibri" w:hAnsi="Calibri"/>
                <w:sz w:val="17"/>
              </w:rPr>
            </w:r>
          </w:p>
        </w:tc>
      </w:tr>
      <w:tr>
        <w:tc>
          <w:tcPr>
            <w:tcW w:type="dxa" w:w="2098"/>
            <w:shd w:val="clear" w:color="auto" w:fill="EAF1F4"/>
          </w:tcPr>
          <w:p>
            <w:pPr>
              <w:spacing w:after="40" w:before="40"/>
            </w:pPr>
            <w:r>
              <w:rPr>
                <w:rFonts w:ascii="Calibri" w:hAnsi="Calibri"/>
                <w:sz w:val="17"/>
              </w:rPr>
              <w:t>Data Protection Officer</w:t>
            </w:r>
          </w:p>
        </w:tc>
        <w:tc>
          <w:tcPr>
            <w:tcW w:type="dxa" w:w="1928"/>
            <w:shd w:val="clear" w:color="auto" w:fill="EAF1F4"/>
          </w:tcPr>
          <w:p>
            <w:pPr>
              <w:spacing w:after="40" w:before="40"/>
            </w:pPr>
            <w:r>
              <w:rPr>
                <w:rFonts w:ascii="Calibri" w:hAnsi="Calibri"/>
                <w:sz w:val="17"/>
              </w:rPr>
              <w:t>[●]</w:t>
            </w:r>
          </w:p>
        </w:tc>
        <w:tc>
          <w:tcPr>
            <w:tcW w:type="dxa" w:w="3628"/>
            <w:shd w:val="clear" w:color="auto" w:fill="EAF1F4"/>
          </w:tcPr>
          <w:p>
            <w:pPr>
              <w:spacing w:after="40" w:before="40"/>
            </w:pPr>
            <w:r>
              <w:rPr>
                <w:rFonts w:ascii="Calibri" w:hAnsi="Calibri"/>
                <w:sz w:val="17"/>
              </w:rPr>
              <w:t>DPDP Act 2023 and Rules 2025 compliance</w:t>
            </w:r>
          </w:p>
        </w:tc>
        <w:tc>
          <w:tcPr>
            <w:tcW w:type="dxa" w:w="1814"/>
            <w:shd w:val="clear" w:color="auto" w:fill="EAF1F4"/>
          </w:tcPr>
          <w:p>
            <w:pPr>
              <w:spacing w:after="40" w:before="40"/>
            </w:pPr>
            <w:r>
              <w:rPr>
                <w:rFonts w:ascii="Calibri" w:hAnsi="Calibri"/>
                <w:sz w:val="17"/>
              </w:rPr>
            </w:r>
          </w:p>
        </w:tc>
      </w:tr>
      <w:tr>
        <w:tc>
          <w:tcPr>
            <w:tcW w:type="dxa" w:w="2098"/>
          </w:tcPr>
          <w:p>
            <w:pPr>
              <w:spacing w:after="40" w:before="40"/>
            </w:pPr>
            <w:r>
              <w:rPr>
                <w:rFonts w:ascii="Calibri" w:hAnsi="Calibri"/>
                <w:sz w:val="17"/>
              </w:rPr>
              <w:t>Approver</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Final approval for issue</w:t>
            </w:r>
          </w:p>
        </w:tc>
        <w:tc>
          <w:tcPr>
            <w:tcW w:type="dxa" w:w="1814"/>
          </w:tcPr>
          <w:p>
            <w:pPr>
              <w:spacing w:after="40" w:before="40"/>
            </w:pPr>
            <w:r>
              <w:rPr>
                <w:rFonts w:ascii="Calibri" w:hAnsi="Calibri"/>
                <w:sz w:val="17"/>
              </w:rPr>
            </w:r>
          </w:p>
        </w:tc>
      </w:tr>
    </w:tbl>
    <w:p>
      <w:pPr>
        <w:spacing w:before="240" w:after="80"/>
        <w:keepNext w:val="1"/>
      </w:pPr>
      <w:r>
        <w:rPr>
          <w:rFonts w:ascii="Calibri" w:hAnsi="Calibri"/>
          <w:b/>
          <w:color w:val="0E7C7B"/>
          <w:sz w:val="22"/>
        </w:rPr>
        <w:t>Distribution and related documents</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608"/>
            <w:shd w:val="clear" w:color="auto" w:fill="10375C"/>
          </w:tcPr>
          <w:p>
            <w:pPr>
              <w:spacing w:after="40" w:before="40"/>
            </w:pPr>
            <w:r>
              <w:rPr>
                <w:rFonts w:ascii="Calibri" w:hAnsi="Calibri"/>
                <w:b/>
                <w:color w:val="FFFFFF"/>
                <w:sz w:val="17"/>
              </w:rPr>
              <w:t>Item</w:t>
            </w:r>
          </w:p>
        </w:tc>
        <w:tc>
          <w:tcPr>
            <w:tcW w:type="dxa" w:w="6860"/>
            <w:shd w:val="clear" w:color="auto" w:fill="10375C"/>
          </w:tcPr>
          <w:p>
            <w:pPr>
              <w:spacing w:after="40" w:before="40"/>
            </w:pPr>
            <w:r>
              <w:rPr>
                <w:rFonts w:ascii="Calibri" w:hAnsi="Calibri"/>
                <w:b/>
                <w:color w:val="FFFFFF"/>
                <w:sz w:val="17"/>
              </w:rPr>
              <w:t>Detail</w:t>
            </w:r>
          </w:p>
        </w:tc>
      </w:tr>
      <w:tr>
        <w:tc>
          <w:tcPr>
            <w:tcW w:type="dxa" w:w="2608"/>
          </w:tcPr>
          <w:p>
            <w:pPr>
              <w:spacing w:after="40" w:before="40"/>
            </w:pPr>
            <w:r>
              <w:rPr>
                <w:rFonts w:ascii="Calibri" w:hAnsi="Calibri"/>
                <w:sz w:val="17"/>
              </w:rPr>
              <w:t>Primary distribution</w:t>
            </w:r>
          </w:p>
        </w:tc>
        <w:tc>
          <w:tcPr>
            <w:tcW w:type="dxa" w:w="6860"/>
          </w:tcPr>
          <w:p>
            <w:pPr>
              <w:spacing w:after="40" w:before="40"/>
            </w:pPr>
            <w:r>
              <w:rPr>
                <w:rFonts w:ascii="Calibri" w:hAnsi="Calibri"/>
                <w:sz w:val="17"/>
              </w:rPr>
              <w:t>Managing Director; Director — Academic Partnerships; Legal; Finance</w:t>
            </w:r>
          </w:p>
        </w:tc>
      </w:tr>
      <w:tr>
        <w:tc>
          <w:tcPr>
            <w:tcW w:type="dxa" w:w="2608"/>
            <w:shd w:val="clear" w:color="auto" w:fill="EAF1F4"/>
          </w:tcPr>
          <w:p>
            <w:pPr>
              <w:spacing w:after="40" w:before="40"/>
            </w:pPr>
            <w:r>
              <w:rPr>
                <w:rFonts w:ascii="Calibri" w:hAnsi="Calibri"/>
                <w:sz w:val="17"/>
              </w:rPr>
              <w:t>Counterparty distribution</w:t>
            </w:r>
          </w:p>
        </w:tc>
        <w:tc>
          <w:tcPr>
            <w:tcW w:type="dxa" w:w="6860"/>
            <w:shd w:val="clear" w:color="auto" w:fill="EAF1F4"/>
          </w:tcPr>
          <w:p>
            <w:pPr>
              <w:spacing w:after="40" w:before="40"/>
            </w:pPr>
            <w:r>
              <w:rPr>
                <w:rFonts w:ascii="Calibri" w:hAnsi="Calibri"/>
                <w:sz w:val="17"/>
              </w:rPr>
              <w:t>Not for external release without approval</w:t>
            </w:r>
          </w:p>
        </w:tc>
      </w:tr>
      <w:tr>
        <w:tc>
          <w:tcPr>
            <w:tcW w:type="dxa" w:w="2608"/>
          </w:tcPr>
          <w:p>
            <w:pPr>
              <w:spacing w:after="40" w:before="40"/>
            </w:pPr>
            <w:r>
              <w:rPr>
                <w:rFonts w:ascii="Calibri" w:hAnsi="Calibri"/>
                <w:sz w:val="17"/>
              </w:rPr>
              <w:t>Related documents</w:t>
            </w:r>
          </w:p>
        </w:tc>
        <w:tc>
          <w:tcPr>
            <w:tcW w:type="dxa" w:w="6860"/>
          </w:tcPr>
          <w:p>
            <w:pPr>
              <w:spacing w:after="40" w:before="40"/>
            </w:pPr>
            <w:r>
              <w:rPr>
                <w:rFonts w:ascii="Calibri" w:hAnsi="Calibri"/>
                <w:sz w:val="17"/>
              </w:rPr>
              <w:t>See 00 — READ ME, University Partnership Programme</w:t>
            </w:r>
          </w:p>
        </w:tc>
      </w:tr>
      <w:tr>
        <w:tc>
          <w:tcPr>
            <w:tcW w:type="dxa" w:w="2608"/>
            <w:shd w:val="clear" w:color="auto" w:fill="EAF1F4"/>
          </w:tcPr>
          <w:p>
            <w:pPr>
              <w:spacing w:after="40" w:before="40"/>
            </w:pPr>
            <w:r>
              <w:rPr>
                <w:rFonts w:ascii="Calibri" w:hAnsi="Calibri"/>
                <w:sz w:val="17"/>
              </w:rPr>
              <w:t>Retention</w:t>
            </w:r>
          </w:p>
        </w:tc>
        <w:tc>
          <w:tcPr>
            <w:tcW w:type="dxa" w:w="6860"/>
            <w:shd w:val="clear" w:color="auto" w:fill="EAF1F4"/>
          </w:tcPr>
          <w:p>
            <w:pPr>
              <w:spacing w:after="40" w:before="40"/>
            </w:pPr>
            <w:r>
              <w:rPr>
                <w:rFonts w:ascii="Calibri" w:hAnsi="Calibri"/>
                <w:sz w:val="17"/>
              </w:rPr>
              <w:t>7 years from expiry of the related MOU, unless a longer statutory period applies</w:t>
            </w:r>
          </w:p>
        </w:tc>
      </w:tr>
      <w:tr>
        <w:tc>
          <w:tcPr>
            <w:tcW w:type="dxa" w:w="2608"/>
          </w:tcPr>
          <w:p>
            <w:pPr>
              <w:spacing w:after="40" w:before="40"/>
            </w:pPr>
            <w:r>
              <w:rPr>
                <w:rFonts w:ascii="Calibri" w:hAnsi="Calibri"/>
                <w:sz w:val="17"/>
              </w:rPr>
              <w:t>Review cycle</w:t>
            </w:r>
          </w:p>
        </w:tc>
        <w:tc>
          <w:tcPr>
            <w:tcW w:type="dxa" w:w="6860"/>
          </w:tcPr>
          <w:p>
            <w:pPr>
              <w:spacing w:after="40" w:before="40"/>
            </w:pPr>
            <w:r>
              <w:rPr>
                <w:rFonts w:ascii="Calibri" w:hAnsi="Calibri"/>
                <w:sz w:val="17"/>
              </w:rPr>
              <w:t>Annual, or on any change of law affecting the subject matter</w:t>
            </w:r>
          </w:p>
        </w:tc>
      </w:tr>
    </w:tbl>
    <w:p>
      <w:r>
        <w:br w:type="page"/>
      </w:r>
    </w:p>
    <w:p>
      <w:pPr>
        <w:spacing w:after="160"/>
        <w:pBdr>
          <w:bottom w:val="single" w:sz="10" w:space="4" w:color="0E7C7B"/>
        </w:pBdr>
      </w:pPr>
      <w:r>
        <w:rPr>
          <w:rFonts w:ascii="Calibri" w:hAnsi="Calibri"/>
          <w:b/>
          <w:color w:val="10375C"/>
          <w:sz w:val="31"/>
        </w:rPr>
        <w:t>Contents</w:t>
      </w:r>
    </w:p>
    <w:p>
      <w:r>
        <w:rPr>
          <w:i/>
          <w:color w:val="595959"/>
          <w:sz w:val="16"/>
        </w:rPr>
        <w:t>This table of contents is a live field. Open in Word, select all (Ctrl+A) and press F9 to populate or refresh it.</w:t>
      </w:r>
    </w:p>
    <w:p>
      <w:r>
        <w:fldChar w:fldCharType="begin"/>
      </w:r>
      <w:r>
        <w:instrText xml:space="preserve"> TOC \o "1-3" \h \z \u </w:instrText>
      </w:r>
      <w:r>
        <w:fldChar w:fldCharType="separate"/>
      </w:r>
      <w:r>
        <w:t>…</w:t>
      </w:r>
      <w:r>
        <w:fldChar w:fldCharType="end"/>
      </w:r>
    </w:p>
    <w:p>
      <w:r>
        <w:br w:type="page"/>
      </w:r>
    </w:p>
    <w:p>
      <w:pPr>
        <w:pStyle w:val="Heading1"/>
        <w:pBdr>
          <w:bottom w:val="single" w:sz="8" w:space="4" w:color="C9D6DE"/>
        </w:pBdr>
      </w:pPr>
      <w:r>
        <w:t>1. Scope and principle</w:t>
      </w:r>
    </w:p>
    <w:p>
      <w:r>
        <w:t>This SOP governs every arrangement in which participant fees are shared between Equator and a partner institution.</w:t>
      </w:r>
    </w:p>
    <w:p>
      <w:r>
        <w:rPr>
          <w:b/>
        </w:rPr>
        <w:t>Governing principle: the collecting party is a collecting agent for the other party's share.</w:t>
      </w:r>
      <w:r>
        <w:t xml:space="preserve"> That share is held to the other's account, is not the collecting party's money, and may not be applied in set-off against any other claim. This is stated expressly in Schedule H and repeated here because it is the point on which disputes turn.</w:t>
      </w:r>
    </w:p>
    <w:p>
      <w:pPr>
        <w:spacing w:before="80" w:after="160"/>
        <w:pBdr>
          <w:bottom w:val="single" w:sz="6" w:space="1" w:color="C9D6DE"/>
        </w:pBdr>
      </w:pPr>
    </w:p>
    <w:p>
      <w:pPr>
        <w:pStyle w:val="Heading1"/>
        <w:pBdr>
          <w:bottom w:val="single" w:sz="8" w:space="4" w:color="C9D6DE"/>
        </w:pBdr>
      </w:pPr>
      <w:r>
        <w:t>2. Who collects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2367"/>
        <w:gridCol w:w="2367"/>
        <w:gridCol w:w="2367"/>
        <w:gridCol w:w="2367"/>
      </w:tblGrid>
      <w:tr>
        <w:trPr>
          <w:tblHeader w:val="true"/>
        </w:trPr>
        <w:tc>
          <w:tcPr>
            <w:tcW w:type="dxa" w:w="1408"/>
            <w:shd w:val="clear" w:color="auto" w:fill="10375C"/>
          </w:tcPr>
          <w:p>
            <w:pPr>
              <w:spacing w:after="50" w:before="50"/>
            </w:pPr>
            <w:r>
              <w:rPr>
                <w:b/>
                <w:color w:val="FFFFFF"/>
                <w:sz w:val="17"/>
              </w:rPr>
              <w:t>Model</w:t>
            </w:r>
          </w:p>
        </w:tc>
        <w:tc>
          <w:tcPr>
            <w:tcW w:type="dxa" w:w="2687"/>
            <w:shd w:val="clear" w:color="auto" w:fill="10375C"/>
          </w:tcPr>
          <w:p>
            <w:pPr>
              <w:spacing w:after="50" w:before="50"/>
            </w:pPr>
            <w:r>
              <w:rPr>
                <w:b/>
                <w:color w:val="FFFFFF"/>
                <w:sz w:val="17"/>
              </w:rPr>
              <w:t>When used</w:t>
            </w:r>
          </w:p>
        </w:tc>
        <w:tc>
          <w:tcPr>
            <w:tcW w:type="dxa" w:w="2687"/>
            <w:shd w:val="clear" w:color="auto" w:fill="10375C"/>
          </w:tcPr>
          <w:p>
            <w:pPr>
              <w:spacing w:after="50" w:before="50"/>
            </w:pPr>
            <w:r>
              <w:rPr>
                <w:b/>
                <w:color w:val="FFFFFF"/>
                <w:sz w:val="17"/>
              </w:rPr>
              <w:t>Advantages</w:t>
            </w:r>
          </w:p>
        </w:tc>
        <w:tc>
          <w:tcPr>
            <w:tcW w:type="dxa" w:w="2687"/>
            <w:shd w:val="clear" w:color="auto" w:fill="10375C"/>
          </w:tcPr>
          <w:p>
            <w:pPr>
              <w:spacing w:after="50" w:before="50"/>
            </w:pPr>
            <w:r>
              <w:rPr>
                <w:b/>
                <w:color w:val="FFFFFF"/>
                <w:sz w:val="17"/>
              </w:rPr>
              <w:t>Risks</w:t>
            </w:r>
          </w:p>
        </w:tc>
      </w:tr>
      <w:tr>
        <w:tc>
          <w:tcPr>
            <w:tcW w:type="dxa" w:w="1408"/>
          </w:tcPr>
          <w:p>
            <w:pPr>
              <w:spacing w:after="50" w:before="50" w:line="252" w:lineRule="auto"/>
            </w:pPr>
            <w:r>
              <w:rPr>
                <w:b/>
                <w:sz w:val="17"/>
              </w:rPr>
              <w:t>Equator collects</w:t>
            </w:r>
            <w:r>
              <w:rPr>
                <w:sz w:val="17"/>
              </w:rPr>
              <w:t xml:space="preserve"> — preferred</w:t>
            </w:r>
          </w:p>
        </w:tc>
        <w:tc>
          <w:tcPr>
            <w:tcW w:type="dxa" w:w="2687"/>
          </w:tcPr>
          <w:p>
            <w:pPr>
              <w:spacing w:after="50" w:before="50" w:line="252" w:lineRule="auto"/>
            </w:pPr>
            <w:r>
              <w:rPr>
                <w:sz w:val="17"/>
              </w:rPr>
              <w:t>Default for all programmes</w:t>
            </w:r>
          </w:p>
        </w:tc>
        <w:tc>
          <w:tcPr>
            <w:tcW w:type="dxa" w:w="2687"/>
          </w:tcPr>
          <w:p>
            <w:pPr>
              <w:spacing w:after="50" w:before="50" w:line="252" w:lineRule="auto"/>
            </w:pPr>
            <w:r>
              <w:rPr>
                <w:sz w:val="17"/>
              </w:rPr>
              <w:t>Faster settlement; Equator controls refunds, registration data and the DPDP notice; single reconciliation</w:t>
            </w:r>
          </w:p>
        </w:tc>
        <w:tc>
          <w:tcPr>
            <w:tcW w:type="dxa" w:w="2687"/>
          </w:tcPr>
          <w:p>
            <w:pPr>
              <w:spacing w:after="50" w:before="50" w:line="252" w:lineRule="auto"/>
            </w:pPr>
            <w:r>
              <w:rPr>
                <w:sz w:val="17"/>
              </w:rPr>
              <w:t>Institution may perceive loss of control</w:t>
            </w:r>
          </w:p>
        </w:tc>
      </w:tr>
      <w:tr>
        <w:tc>
          <w:tcPr>
            <w:tcW w:type="dxa" w:w="1408"/>
            <w:shd w:val="clear" w:color="auto" w:fill="EAF1F4"/>
          </w:tcPr>
          <w:p>
            <w:pPr>
              <w:spacing w:after="50" w:before="50" w:line="252" w:lineRule="auto"/>
            </w:pPr>
            <w:r>
              <w:rPr>
                <w:b/>
                <w:sz w:val="17"/>
              </w:rPr>
              <w:t>Institution collects</w:t>
            </w:r>
          </w:p>
        </w:tc>
        <w:tc>
          <w:tcPr>
            <w:tcW w:type="dxa" w:w="2687"/>
            <w:shd w:val="clear" w:color="auto" w:fill="EAF1F4"/>
          </w:tcPr>
          <w:p>
            <w:pPr>
              <w:spacing w:after="50" w:before="50" w:line="252" w:lineRule="auto"/>
            </w:pPr>
            <w:r>
              <w:rPr>
                <w:sz w:val="17"/>
              </w:rPr>
              <w:t>Where the institution's regulations require fees to route through it, or where students pay through the fee portal</w:t>
            </w:r>
          </w:p>
        </w:tc>
        <w:tc>
          <w:tcPr>
            <w:tcW w:type="dxa" w:w="2687"/>
            <w:shd w:val="clear" w:color="auto" w:fill="EAF1F4"/>
          </w:tcPr>
          <w:p>
            <w:pPr>
              <w:spacing w:after="50" w:before="50" w:line="252" w:lineRule="auto"/>
            </w:pPr>
            <w:r>
              <w:rPr>
                <w:sz w:val="17"/>
              </w:rPr>
              <w:t>Removes institutional objection; may improve conversion</w:t>
            </w:r>
          </w:p>
        </w:tc>
        <w:tc>
          <w:tcPr>
            <w:tcW w:type="dxa" w:w="2687"/>
            <w:shd w:val="clear" w:color="auto" w:fill="EAF1F4"/>
          </w:tcPr>
          <w:p>
            <w:pPr>
              <w:spacing w:after="50" w:before="50" w:line="252" w:lineRule="auto"/>
            </w:pPr>
            <w:r>
              <w:rPr>
                <w:sz w:val="17"/>
              </w:rPr>
              <w:t>Settlement delay; reconciliation burden; set-off risk</w:t>
            </w:r>
          </w:p>
        </w:tc>
      </w:tr>
      <w:tr>
        <w:tc>
          <w:tcPr>
            <w:tcW w:type="dxa" w:w="1408"/>
          </w:tcPr>
          <w:p>
            <w:pPr>
              <w:spacing w:after="50" w:before="50" w:line="252" w:lineRule="auto"/>
            </w:pPr>
            <w:r>
              <w:rPr>
                <w:b/>
                <w:sz w:val="17"/>
              </w:rPr>
              <w:t>Split collection</w:t>
            </w:r>
          </w:p>
        </w:tc>
        <w:tc>
          <w:tcPr>
            <w:tcW w:type="dxa" w:w="2687"/>
          </w:tcPr>
          <w:p>
            <w:pPr>
              <w:spacing w:after="50" w:before="50" w:line="252" w:lineRule="auto"/>
            </w:pPr>
            <w:r>
              <w:rPr>
                <w:sz w:val="17"/>
              </w:rPr>
              <w:t>Avoid</w:t>
            </w:r>
          </w:p>
        </w:tc>
        <w:tc>
          <w:tcPr>
            <w:tcW w:type="dxa" w:w="2687"/>
          </w:tcPr>
          <w:p>
            <w:pPr>
              <w:spacing w:after="50" w:before="50" w:line="252" w:lineRule="auto"/>
            </w:pPr>
            <w:r>
              <w:rPr>
                <w:sz w:val="17"/>
              </w:rPr>
              <w:t>—</w:t>
            </w:r>
          </w:p>
        </w:tc>
        <w:tc>
          <w:tcPr>
            <w:tcW w:type="dxa" w:w="2687"/>
          </w:tcPr>
          <w:p>
            <w:pPr>
              <w:spacing w:after="50" w:before="50" w:line="252" w:lineRule="auto"/>
            </w:pPr>
            <w:r>
              <w:rPr>
                <w:sz w:val="17"/>
              </w:rPr>
              <w:t>Two ledgers, two reconciliations, disputes over which fee sat where</w:t>
            </w:r>
          </w:p>
        </w:tc>
      </w:tr>
    </w:tbl>
    <w:p>
      <w:pPr>
        <w:spacing w:after="80" w:before="0"/>
      </w:pPr>
    </w:p>
    <w:p>
      <w:r>
        <w:t>Where the institution collects, Schedule H clause H3.2 and the clause-bank wording at 03.11 section 3.7 must be used without amendment.</w:t>
      </w:r>
    </w:p>
    <w:p>
      <w:pPr>
        <w:spacing w:before="80" w:after="160"/>
        <w:pBdr>
          <w:bottom w:val="single" w:sz="6" w:space="1" w:color="C9D6DE"/>
        </w:pBdr>
      </w:pPr>
    </w:p>
    <w:p>
      <w:pPr>
        <w:pStyle w:val="Heading1"/>
        <w:pBdr>
          <w:bottom w:val="single" w:sz="8" w:space="4" w:color="C9D6DE"/>
        </w:pBdr>
      </w:pPr>
      <w:r>
        <w:t>3. The computation</w:t>
      </w:r>
    </w:p>
    <w:p>
      <w:r>
        <w:rPr>
          <w:b/>
        </w:rPr>
        <w:t>Net Collections</w:t>
      </w:r>
      <w:r>
        <w:t xml:space="preserve"> = Gross Fees Received − Refunds Issued − Payment Gateway Charges Actually Incurred</w:t>
      </w:r>
    </w:p>
    <w:p>
      <w:r>
        <w:rPr>
          <w:b/>
        </w:rPr>
        <w:t>Party Share</w:t>
      </w:r>
      <w:r>
        <w:t xml:space="preserve"> = Net Collections × Applicable Percentage</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542"/>
            <w:shd w:val="clear" w:color="auto" w:fill="10375C"/>
          </w:tcPr>
          <w:p>
            <w:pPr>
              <w:spacing w:after="50" w:before="50"/>
            </w:pPr>
            <w:r>
              <w:rPr>
                <w:b/>
                <w:color w:val="FFFFFF"/>
                <w:sz w:val="17"/>
              </w:rPr>
              <w:t>Element</w:t>
            </w:r>
          </w:p>
        </w:tc>
        <w:tc>
          <w:tcPr>
            <w:tcW w:type="dxa" w:w="6925"/>
            <w:shd w:val="clear" w:color="auto" w:fill="10375C"/>
          </w:tcPr>
          <w:p>
            <w:pPr>
              <w:spacing w:after="50" w:before="50"/>
            </w:pPr>
            <w:r>
              <w:rPr>
                <w:b/>
                <w:color w:val="FFFFFF"/>
                <w:sz w:val="17"/>
              </w:rPr>
              <w:t>Rule</w:t>
            </w:r>
          </w:p>
        </w:tc>
      </w:tr>
      <w:tr>
        <w:tc>
          <w:tcPr>
            <w:tcW w:type="dxa" w:w="2542"/>
          </w:tcPr>
          <w:p>
            <w:pPr>
              <w:spacing w:after="50" w:before="50" w:line="252" w:lineRule="auto"/>
            </w:pPr>
            <w:r>
              <w:rPr>
                <w:sz w:val="17"/>
              </w:rPr>
              <w:t>Gross Fees Received</w:t>
            </w:r>
          </w:p>
        </w:tc>
        <w:tc>
          <w:tcPr>
            <w:tcW w:type="dxa" w:w="6925"/>
          </w:tcPr>
          <w:p>
            <w:pPr>
              <w:spacing w:after="50" w:before="50" w:line="252" w:lineRule="auto"/>
            </w:pPr>
            <w:r>
              <w:rPr>
                <w:sz w:val="17"/>
              </w:rPr>
              <w:t>Fees actually received and cleared, not fees invoiced or promised</w:t>
            </w:r>
          </w:p>
        </w:tc>
      </w:tr>
      <w:tr>
        <w:tc>
          <w:tcPr>
            <w:tcW w:type="dxa" w:w="2542"/>
            <w:shd w:val="clear" w:color="auto" w:fill="EAF1F4"/>
          </w:tcPr>
          <w:p>
            <w:pPr>
              <w:spacing w:after="50" w:before="50" w:line="252" w:lineRule="auto"/>
            </w:pPr>
            <w:r>
              <w:rPr>
                <w:sz w:val="17"/>
              </w:rPr>
              <w:t>Refunds</w:t>
            </w:r>
          </w:p>
        </w:tc>
        <w:tc>
          <w:tcPr>
            <w:tcW w:type="dxa" w:w="6925"/>
            <w:shd w:val="clear" w:color="auto" w:fill="EAF1F4"/>
          </w:tcPr>
          <w:p>
            <w:pPr>
              <w:spacing w:after="50" w:before="50" w:line="252" w:lineRule="auto"/>
            </w:pPr>
            <w:r>
              <w:rPr>
                <w:sz w:val="17"/>
              </w:rPr>
              <w:t>Deducted in the period in which they are issued, per the published refund policy</w:t>
            </w:r>
          </w:p>
        </w:tc>
      </w:tr>
      <w:tr>
        <w:tc>
          <w:tcPr>
            <w:tcW w:type="dxa" w:w="2542"/>
          </w:tcPr>
          <w:p>
            <w:pPr>
              <w:spacing w:after="50" w:before="50" w:line="252" w:lineRule="auto"/>
            </w:pPr>
            <w:r>
              <w:rPr>
                <w:sz w:val="17"/>
              </w:rPr>
              <w:t>Gateway charges</w:t>
            </w:r>
          </w:p>
        </w:tc>
        <w:tc>
          <w:tcPr>
            <w:tcW w:type="dxa" w:w="6925"/>
          </w:tcPr>
          <w:p>
            <w:pPr>
              <w:spacing w:after="50" w:before="50" w:line="252" w:lineRule="auto"/>
            </w:pPr>
            <w:r>
              <w:rPr>
                <w:sz w:val="17"/>
              </w:rPr>
              <w:t>Deducted at actuals only, evidenced by the gateway statement; capped at [●]%</w:t>
            </w:r>
          </w:p>
        </w:tc>
      </w:tr>
      <w:tr>
        <w:tc>
          <w:tcPr>
            <w:tcW w:type="dxa" w:w="2542"/>
            <w:shd w:val="clear" w:color="auto" w:fill="EAF1F4"/>
          </w:tcPr>
          <w:p>
            <w:pPr>
              <w:spacing w:after="50" w:before="50" w:line="252" w:lineRule="auto"/>
            </w:pPr>
            <w:r>
              <w:rPr>
                <w:sz w:val="17"/>
              </w:rPr>
              <w:t>Taxes</w:t>
            </w:r>
          </w:p>
        </w:tc>
        <w:tc>
          <w:tcPr>
            <w:tcW w:type="dxa" w:w="6925"/>
            <w:shd w:val="clear" w:color="auto" w:fill="EAF1F4"/>
          </w:tcPr>
          <w:p>
            <w:pPr>
              <w:spacing w:after="50" w:before="50" w:line="252" w:lineRule="auto"/>
            </w:pPr>
            <w:r>
              <w:rPr>
                <w:sz w:val="17"/>
              </w:rPr>
              <w:t>Excluded from the computation entirely. Tax is collected and remitted by the invoicing party and never forms part of Net Collections</w:t>
            </w:r>
          </w:p>
        </w:tc>
      </w:tr>
      <w:tr>
        <w:tc>
          <w:tcPr>
            <w:tcW w:type="dxa" w:w="2542"/>
          </w:tcPr>
          <w:p>
            <w:pPr>
              <w:spacing w:after="50" w:before="50" w:line="252" w:lineRule="auto"/>
            </w:pPr>
            <w:r>
              <w:rPr>
                <w:sz w:val="17"/>
              </w:rPr>
              <w:t>Scholarships and waivers</w:t>
            </w:r>
          </w:p>
        </w:tc>
        <w:tc>
          <w:tcPr>
            <w:tcW w:type="dxa" w:w="6925"/>
          </w:tcPr>
          <w:p>
            <w:pPr>
              <w:spacing w:after="50" w:before="50" w:line="252" w:lineRule="auto"/>
            </w:pPr>
            <w:r>
              <w:rPr>
                <w:sz w:val="17"/>
              </w:rPr>
              <w:t>A waiver granted by one party is borne by that party alone and does not reduce the other's share</w:t>
            </w:r>
          </w:p>
        </w:tc>
      </w:tr>
      <w:tr>
        <w:tc>
          <w:tcPr>
            <w:tcW w:type="dxa" w:w="2542"/>
            <w:shd w:val="clear" w:color="auto" w:fill="EAF1F4"/>
          </w:tcPr>
          <w:p>
            <w:pPr>
              <w:spacing w:after="50" w:before="50" w:line="252" w:lineRule="auto"/>
            </w:pPr>
            <w:r>
              <w:rPr>
                <w:sz w:val="17"/>
              </w:rPr>
              <w:t>Bad debt</w:t>
            </w:r>
          </w:p>
        </w:tc>
        <w:tc>
          <w:tcPr>
            <w:tcW w:type="dxa" w:w="6925"/>
            <w:shd w:val="clear" w:color="auto" w:fill="EAF1F4"/>
          </w:tcPr>
          <w:p>
            <w:pPr>
              <w:spacing w:after="50" w:before="50" w:line="252" w:lineRule="auto"/>
            </w:pPr>
            <w:r>
              <w:rPr>
                <w:sz w:val="17"/>
              </w:rPr>
              <w:t>Where fees are never received they never enter Net Collections; there is no bad-debt sharing</w:t>
            </w:r>
          </w:p>
        </w:tc>
      </w:tr>
      <w:tr>
        <w:tc>
          <w:tcPr>
            <w:tcW w:type="dxa" w:w="2542"/>
          </w:tcPr>
          <w:p>
            <w:pPr>
              <w:spacing w:after="50" w:before="50" w:line="252" w:lineRule="auto"/>
            </w:pPr>
            <w:r>
              <w:rPr>
                <w:sz w:val="17"/>
              </w:rPr>
              <w:t>Late fees and surcharges</w:t>
            </w:r>
          </w:p>
        </w:tc>
        <w:tc>
          <w:tcPr>
            <w:tcW w:type="dxa" w:w="6925"/>
          </w:tcPr>
          <w:p>
            <w:pPr>
              <w:spacing w:after="50" w:before="50" w:line="252" w:lineRule="auto"/>
            </w:pPr>
            <w:r>
              <w:rPr>
                <w:sz w:val="17"/>
              </w:rPr>
              <w:t>Included in Net Collections</w:t>
            </w:r>
          </w:p>
        </w:tc>
      </w:tr>
    </w:tbl>
    <w:p>
      <w:pPr>
        <w:spacing w:after="80" w:before="0"/>
      </w:pPr>
    </w:p>
    <w:p>
      <w:pPr>
        <w:pStyle w:val="Heading2"/>
      </w:pPr>
      <w:r>
        <w:t>3.1 Worked example</w:t>
      </w:r>
    </w:p>
    <w:p>
      <w:r>
        <w:t>Cohort of 40 at ₹9,500; three withdrawals refunded in full; gateway charges ₹4,200; split 70:30.</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6865"/>
            <w:shd w:val="clear" w:color="auto" w:fill="10375C"/>
          </w:tcPr>
          <w:p>
            <w:pPr>
              <w:spacing w:after="50" w:before="50"/>
            </w:pPr>
            <w:r>
              <w:rPr>
                <w:b/>
                <w:color w:val="FFFFFF"/>
                <w:sz w:val="17"/>
              </w:rPr>
              <w:t>Line</w:t>
            </w:r>
          </w:p>
        </w:tc>
        <w:tc>
          <w:tcPr>
            <w:tcW w:type="dxa" w:w="2602"/>
            <w:shd w:val="clear" w:color="auto" w:fill="10375C"/>
          </w:tcPr>
          <w:p>
            <w:pPr>
              <w:spacing w:after="50" w:before="50"/>
            </w:pPr>
            <w:r>
              <w:rPr>
                <w:b/>
                <w:color w:val="FFFFFF"/>
                <w:sz w:val="17"/>
              </w:rPr>
              <w:t>Amount</w:t>
            </w:r>
          </w:p>
        </w:tc>
      </w:tr>
      <w:tr>
        <w:tc>
          <w:tcPr>
            <w:tcW w:type="dxa" w:w="6865"/>
          </w:tcPr>
          <w:p>
            <w:pPr>
              <w:spacing w:after="50" w:before="50" w:line="252" w:lineRule="auto"/>
            </w:pPr>
            <w:r>
              <w:rPr>
                <w:sz w:val="17"/>
              </w:rPr>
              <w:t>Gross fees received, 40 × 9,500</w:t>
            </w:r>
          </w:p>
        </w:tc>
        <w:tc>
          <w:tcPr>
            <w:tcW w:type="dxa" w:w="2602"/>
          </w:tcPr>
          <w:p>
            <w:pPr>
              <w:spacing w:after="50" w:before="50" w:line="252" w:lineRule="auto"/>
            </w:pPr>
            <w:r>
              <w:rPr>
                <w:sz w:val="17"/>
              </w:rPr>
              <w:t>3,80,000</w:t>
            </w:r>
          </w:p>
        </w:tc>
      </w:tr>
      <w:tr>
        <w:tc>
          <w:tcPr>
            <w:tcW w:type="dxa" w:w="6865"/>
            <w:shd w:val="clear" w:color="auto" w:fill="EAF1F4"/>
          </w:tcPr>
          <w:p>
            <w:pPr>
              <w:spacing w:after="50" w:before="50" w:line="252" w:lineRule="auto"/>
            </w:pPr>
            <w:r>
              <w:rPr>
                <w:sz w:val="17"/>
              </w:rPr>
              <w:t>Less refunds, 3 × 9,500</w:t>
            </w:r>
          </w:p>
        </w:tc>
        <w:tc>
          <w:tcPr>
            <w:tcW w:type="dxa" w:w="2602"/>
            <w:shd w:val="clear" w:color="auto" w:fill="EAF1F4"/>
          </w:tcPr>
          <w:p>
            <w:pPr>
              <w:spacing w:after="50" w:before="50" w:line="252" w:lineRule="auto"/>
            </w:pPr>
            <w:r>
              <w:rPr>
                <w:sz w:val="17"/>
              </w:rPr>
              <w:t>(28,500)</w:t>
            </w:r>
          </w:p>
        </w:tc>
      </w:tr>
      <w:tr>
        <w:tc>
          <w:tcPr>
            <w:tcW w:type="dxa" w:w="6865"/>
          </w:tcPr>
          <w:p>
            <w:pPr>
              <w:spacing w:after="50" w:before="50" w:line="252" w:lineRule="auto"/>
            </w:pPr>
            <w:r>
              <w:rPr>
                <w:sz w:val="17"/>
              </w:rPr>
              <w:t>Less gateway charges at actuals</w:t>
            </w:r>
          </w:p>
        </w:tc>
        <w:tc>
          <w:tcPr>
            <w:tcW w:type="dxa" w:w="2602"/>
          </w:tcPr>
          <w:p>
            <w:pPr>
              <w:spacing w:after="50" w:before="50" w:line="252" w:lineRule="auto"/>
            </w:pPr>
            <w:r>
              <w:rPr>
                <w:sz w:val="17"/>
              </w:rPr>
              <w:t>(4,200)</w:t>
            </w:r>
          </w:p>
        </w:tc>
      </w:tr>
      <w:tr>
        <w:tc>
          <w:tcPr>
            <w:tcW w:type="dxa" w:w="6865"/>
            <w:shd w:val="clear" w:color="auto" w:fill="EAF1F4"/>
          </w:tcPr>
          <w:p>
            <w:pPr>
              <w:spacing w:after="50" w:before="50" w:line="252" w:lineRule="auto"/>
            </w:pPr>
            <w:r>
              <w:rPr>
                <w:b/>
                <w:sz w:val="17"/>
              </w:rPr>
              <w:t>Net Collections</w:t>
            </w:r>
          </w:p>
        </w:tc>
        <w:tc>
          <w:tcPr>
            <w:tcW w:type="dxa" w:w="2602"/>
            <w:shd w:val="clear" w:color="auto" w:fill="EAF1F4"/>
          </w:tcPr>
          <w:p>
            <w:pPr>
              <w:spacing w:after="50" w:before="50" w:line="252" w:lineRule="auto"/>
            </w:pPr>
            <w:r>
              <w:rPr>
                <w:b/>
                <w:sz w:val="17"/>
              </w:rPr>
              <w:t>3,47,300</w:t>
            </w:r>
          </w:p>
        </w:tc>
      </w:tr>
      <w:tr>
        <w:tc>
          <w:tcPr>
            <w:tcW w:type="dxa" w:w="6865"/>
          </w:tcPr>
          <w:p>
            <w:pPr>
              <w:spacing w:after="50" w:before="50" w:line="252" w:lineRule="auto"/>
            </w:pPr>
            <w:r>
              <w:rPr>
                <w:sz w:val="17"/>
              </w:rPr>
              <w:t>Equator share at 70%</w:t>
            </w:r>
          </w:p>
        </w:tc>
        <w:tc>
          <w:tcPr>
            <w:tcW w:type="dxa" w:w="2602"/>
          </w:tcPr>
          <w:p>
            <w:pPr>
              <w:spacing w:after="50" w:before="50" w:line="252" w:lineRule="auto"/>
            </w:pPr>
            <w:r>
              <w:rPr>
                <w:sz w:val="17"/>
              </w:rPr>
              <w:t>2,43,110</w:t>
            </w:r>
          </w:p>
        </w:tc>
      </w:tr>
      <w:tr>
        <w:tc>
          <w:tcPr>
            <w:tcW w:type="dxa" w:w="6865"/>
            <w:shd w:val="clear" w:color="auto" w:fill="EAF1F4"/>
          </w:tcPr>
          <w:p>
            <w:pPr>
              <w:spacing w:after="50" w:before="50" w:line="252" w:lineRule="auto"/>
            </w:pPr>
            <w:r>
              <w:rPr>
                <w:sz w:val="17"/>
              </w:rPr>
              <w:t>Institution share at 30%</w:t>
            </w:r>
          </w:p>
        </w:tc>
        <w:tc>
          <w:tcPr>
            <w:tcW w:type="dxa" w:w="2602"/>
            <w:shd w:val="clear" w:color="auto" w:fill="EAF1F4"/>
          </w:tcPr>
          <w:p>
            <w:pPr>
              <w:spacing w:after="50" w:before="50" w:line="252" w:lineRule="auto"/>
            </w:pPr>
            <w:r>
              <w:rPr>
                <w:sz w:val="17"/>
              </w:rPr>
              <w:t>1,04,190</w:t>
            </w:r>
          </w:p>
        </w:tc>
      </w:tr>
    </w:tbl>
    <w:p>
      <w:pPr>
        <w:spacing w:after="80" w:before="0"/>
      </w:pPr>
    </w:p>
    <w:p>
      <w:pPr>
        <w:spacing w:before="80" w:after="160"/>
        <w:pBdr>
          <w:bottom w:val="single" w:sz="6" w:space="1" w:color="C9D6DE"/>
        </w:pBdr>
      </w:pPr>
    </w:p>
    <w:p>
      <w:pPr>
        <w:pStyle w:val="Heading1"/>
        <w:pBdr>
          <w:bottom w:val="single" w:sz="8" w:space="4" w:color="C9D6DE"/>
        </w:pBdr>
      </w:pPr>
      <w:r>
        <w:t>4. Settlement process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2367"/>
        <w:gridCol w:w="2367"/>
        <w:gridCol w:w="2367"/>
        <w:gridCol w:w="2367"/>
      </w:tblGrid>
      <w:tr>
        <w:trPr>
          <w:tblHeader w:val="true"/>
        </w:trPr>
        <w:tc>
          <w:tcPr>
            <w:tcW w:type="dxa" w:w="850"/>
            <w:shd w:val="clear" w:color="auto" w:fill="10375C"/>
          </w:tcPr>
          <w:p>
            <w:pPr>
              <w:spacing w:after="50" w:before="50"/>
            </w:pPr>
            <w:r>
              <w:rPr>
                <w:b/>
                <w:color w:val="FFFFFF"/>
                <w:sz w:val="17"/>
              </w:rPr>
              <w:t>Step</w:t>
            </w:r>
          </w:p>
        </w:tc>
        <w:tc>
          <w:tcPr>
            <w:tcW w:type="dxa" w:w="5685"/>
            <w:shd w:val="clear" w:color="auto" w:fill="10375C"/>
          </w:tcPr>
          <w:p>
            <w:pPr>
              <w:spacing w:after="50" w:before="50"/>
            </w:pPr>
            <w:r>
              <w:rPr>
                <w:b/>
                <w:color w:val="FFFFFF"/>
                <w:sz w:val="17"/>
              </w:rPr>
              <w:t>Action</w:t>
            </w:r>
          </w:p>
        </w:tc>
        <w:tc>
          <w:tcPr>
            <w:tcW w:type="dxa" w:w="1594"/>
            <w:shd w:val="clear" w:color="auto" w:fill="10375C"/>
          </w:tcPr>
          <w:p>
            <w:pPr>
              <w:spacing w:after="50" w:before="50"/>
            </w:pPr>
            <w:r>
              <w:rPr>
                <w:b/>
                <w:color w:val="FFFFFF"/>
                <w:sz w:val="17"/>
              </w:rPr>
              <w:t>Owner</w:t>
            </w:r>
          </w:p>
        </w:tc>
        <w:tc>
          <w:tcPr>
            <w:tcW w:type="dxa" w:w="1620"/>
            <w:shd w:val="clear" w:color="auto" w:fill="10375C"/>
          </w:tcPr>
          <w:p>
            <w:pPr>
              <w:spacing w:after="50" w:before="50"/>
            </w:pPr>
            <w:r>
              <w:rPr>
                <w:b/>
                <w:color w:val="FFFFFF"/>
                <w:sz w:val="17"/>
              </w:rPr>
              <w:t>Timing</w:t>
            </w:r>
          </w:p>
        </w:tc>
      </w:tr>
      <w:tr>
        <w:tc>
          <w:tcPr>
            <w:tcW w:type="dxa" w:w="850"/>
          </w:tcPr>
          <w:p>
            <w:pPr>
              <w:spacing w:after="50" w:before="50" w:line="252" w:lineRule="auto"/>
            </w:pPr>
            <w:r>
              <w:rPr>
                <w:sz w:val="17"/>
              </w:rPr>
              <w:t>1</w:t>
            </w:r>
          </w:p>
        </w:tc>
        <w:tc>
          <w:tcPr>
            <w:tcW w:type="dxa" w:w="5685"/>
          </w:tcPr>
          <w:p>
            <w:pPr>
              <w:spacing w:after="50" w:before="50" w:line="252" w:lineRule="auto"/>
            </w:pPr>
            <w:r>
              <w:rPr>
                <w:sz w:val="17"/>
              </w:rPr>
              <w:t>Programme completes; final attendance and certification list locked</w:t>
            </w:r>
          </w:p>
        </w:tc>
        <w:tc>
          <w:tcPr>
            <w:tcW w:type="dxa" w:w="1594"/>
          </w:tcPr>
          <w:p>
            <w:pPr>
              <w:spacing w:after="50" w:before="50" w:line="252" w:lineRule="auto"/>
            </w:pPr>
            <w:r>
              <w:rPr>
                <w:sz w:val="17"/>
              </w:rPr>
              <w:t>Operations</w:t>
            </w:r>
          </w:p>
        </w:tc>
        <w:tc>
          <w:tcPr>
            <w:tcW w:type="dxa" w:w="1620"/>
          </w:tcPr>
          <w:p>
            <w:pPr>
              <w:spacing w:after="50" w:before="50" w:line="252" w:lineRule="auto"/>
            </w:pPr>
            <w:r>
              <w:rPr>
                <w:sz w:val="17"/>
              </w:rPr>
              <w:t>Day 0</w:t>
            </w:r>
          </w:p>
        </w:tc>
      </w:tr>
      <w:tr>
        <w:tc>
          <w:tcPr>
            <w:tcW w:type="dxa" w:w="850"/>
            <w:shd w:val="clear" w:color="auto" w:fill="EAF1F4"/>
          </w:tcPr>
          <w:p>
            <w:pPr>
              <w:spacing w:after="50" w:before="50" w:line="252" w:lineRule="auto"/>
            </w:pPr>
            <w:r>
              <w:rPr>
                <w:sz w:val="17"/>
              </w:rPr>
              <w:t>2</w:t>
            </w:r>
          </w:p>
        </w:tc>
        <w:tc>
          <w:tcPr>
            <w:tcW w:type="dxa" w:w="5685"/>
            <w:shd w:val="clear" w:color="auto" w:fill="EAF1F4"/>
          </w:tcPr>
          <w:p>
            <w:pPr>
              <w:spacing w:after="50" w:before="50" w:line="252" w:lineRule="auto"/>
            </w:pPr>
            <w:r>
              <w:rPr>
                <w:sz w:val="17"/>
              </w:rPr>
              <w:t>Refund window closes; no further refunds enter the computation</w:t>
            </w:r>
          </w:p>
        </w:tc>
        <w:tc>
          <w:tcPr>
            <w:tcW w:type="dxa" w:w="1594"/>
            <w:shd w:val="clear" w:color="auto" w:fill="EAF1F4"/>
          </w:tcPr>
          <w:p>
            <w:pPr>
              <w:spacing w:after="50" w:before="50" w:line="252" w:lineRule="auto"/>
            </w:pPr>
            <w:r>
              <w:rPr>
                <w:sz w:val="17"/>
              </w:rPr>
              <w:t>Finance</w:t>
            </w:r>
          </w:p>
        </w:tc>
        <w:tc>
          <w:tcPr>
            <w:tcW w:type="dxa" w:w="1620"/>
            <w:shd w:val="clear" w:color="auto" w:fill="EAF1F4"/>
          </w:tcPr>
          <w:p>
            <w:pPr>
              <w:spacing w:after="50" w:before="50" w:line="252" w:lineRule="auto"/>
            </w:pPr>
            <w:r>
              <w:rPr>
                <w:sz w:val="17"/>
              </w:rPr>
              <w:t>Day 7</w:t>
            </w:r>
          </w:p>
        </w:tc>
      </w:tr>
      <w:tr>
        <w:tc>
          <w:tcPr>
            <w:tcW w:type="dxa" w:w="850"/>
          </w:tcPr>
          <w:p>
            <w:pPr>
              <w:spacing w:after="50" w:before="50" w:line="252" w:lineRule="auto"/>
            </w:pPr>
            <w:r>
              <w:rPr>
                <w:sz w:val="17"/>
              </w:rPr>
              <w:t>3</w:t>
            </w:r>
          </w:p>
        </w:tc>
        <w:tc>
          <w:tcPr>
            <w:tcW w:type="dxa" w:w="5685"/>
          </w:tcPr>
          <w:p>
            <w:pPr>
              <w:spacing w:after="50" w:before="50" w:line="252" w:lineRule="auto"/>
            </w:pPr>
            <w:r>
              <w:rPr>
                <w:sz w:val="17"/>
              </w:rPr>
              <w:t>Collection statement prepared — gross, refunds, gateway, net, computation</w:t>
            </w:r>
          </w:p>
        </w:tc>
        <w:tc>
          <w:tcPr>
            <w:tcW w:type="dxa" w:w="1594"/>
          </w:tcPr>
          <w:p>
            <w:pPr>
              <w:spacing w:after="50" w:before="50" w:line="252" w:lineRule="auto"/>
            </w:pPr>
            <w:r>
              <w:rPr>
                <w:sz w:val="17"/>
              </w:rPr>
              <w:t>Collecting party</w:t>
            </w:r>
          </w:p>
        </w:tc>
        <w:tc>
          <w:tcPr>
            <w:tcW w:type="dxa" w:w="1620"/>
          </w:tcPr>
          <w:p>
            <w:pPr>
              <w:spacing w:after="50" w:before="50" w:line="252" w:lineRule="auto"/>
            </w:pPr>
            <w:r>
              <w:rPr>
                <w:sz w:val="17"/>
              </w:rPr>
              <w:t>Day 10</w:t>
            </w:r>
          </w:p>
        </w:tc>
      </w:tr>
      <w:tr>
        <w:tc>
          <w:tcPr>
            <w:tcW w:type="dxa" w:w="850"/>
            <w:shd w:val="clear" w:color="auto" w:fill="EAF1F4"/>
          </w:tcPr>
          <w:p>
            <w:pPr>
              <w:spacing w:after="50" w:before="50" w:line="252" w:lineRule="auto"/>
            </w:pPr>
            <w:r>
              <w:rPr>
                <w:sz w:val="17"/>
              </w:rPr>
              <w:t>4</w:t>
            </w:r>
          </w:p>
        </w:tc>
        <w:tc>
          <w:tcPr>
            <w:tcW w:type="dxa" w:w="5685"/>
            <w:shd w:val="clear" w:color="auto" w:fill="EAF1F4"/>
          </w:tcPr>
          <w:p>
            <w:pPr>
              <w:spacing w:after="50" w:before="50" w:line="252" w:lineRule="auto"/>
            </w:pPr>
            <w:r>
              <w:rPr>
                <w:sz w:val="17"/>
              </w:rPr>
              <w:t>Statement issued to the other party with supporting schedules</w:t>
            </w:r>
          </w:p>
        </w:tc>
        <w:tc>
          <w:tcPr>
            <w:tcW w:type="dxa" w:w="1594"/>
            <w:shd w:val="clear" w:color="auto" w:fill="EAF1F4"/>
          </w:tcPr>
          <w:p>
            <w:pPr>
              <w:spacing w:after="50" w:before="50" w:line="252" w:lineRule="auto"/>
            </w:pPr>
            <w:r>
              <w:rPr>
                <w:sz w:val="17"/>
              </w:rPr>
              <w:t>Collecting party</w:t>
            </w:r>
          </w:p>
        </w:tc>
        <w:tc>
          <w:tcPr>
            <w:tcW w:type="dxa" w:w="1620"/>
            <w:shd w:val="clear" w:color="auto" w:fill="EAF1F4"/>
          </w:tcPr>
          <w:p>
            <w:pPr>
              <w:spacing w:after="50" w:before="50" w:line="252" w:lineRule="auto"/>
            </w:pPr>
            <w:r>
              <w:rPr>
                <w:sz w:val="17"/>
              </w:rPr>
              <w:t>Day 12</w:t>
            </w:r>
          </w:p>
        </w:tc>
      </w:tr>
      <w:tr>
        <w:tc>
          <w:tcPr>
            <w:tcW w:type="dxa" w:w="850"/>
          </w:tcPr>
          <w:p>
            <w:pPr>
              <w:spacing w:after="50" w:before="50" w:line="252" w:lineRule="auto"/>
            </w:pPr>
            <w:r>
              <w:rPr>
                <w:sz w:val="17"/>
              </w:rPr>
              <w:t>5</w:t>
            </w:r>
          </w:p>
        </w:tc>
        <w:tc>
          <w:tcPr>
            <w:tcW w:type="dxa" w:w="5685"/>
          </w:tcPr>
          <w:p>
            <w:pPr>
              <w:spacing w:after="50" w:before="50" w:line="252" w:lineRule="auto"/>
            </w:pPr>
            <w:r>
              <w:rPr>
                <w:sz w:val="17"/>
              </w:rPr>
              <w:t>Recipient reviews and confirms, or raises a query</w:t>
            </w:r>
          </w:p>
        </w:tc>
        <w:tc>
          <w:tcPr>
            <w:tcW w:type="dxa" w:w="1594"/>
          </w:tcPr>
          <w:p>
            <w:pPr>
              <w:spacing w:after="50" w:before="50" w:line="252" w:lineRule="auto"/>
            </w:pPr>
            <w:r>
              <w:rPr>
                <w:sz w:val="17"/>
              </w:rPr>
              <w:t>Recipient</w:t>
            </w:r>
          </w:p>
        </w:tc>
        <w:tc>
          <w:tcPr>
            <w:tcW w:type="dxa" w:w="1620"/>
          </w:tcPr>
          <w:p>
            <w:pPr>
              <w:spacing w:after="50" w:before="50" w:line="252" w:lineRule="auto"/>
            </w:pPr>
            <w:r>
              <w:rPr>
                <w:sz w:val="17"/>
              </w:rPr>
              <w:t>Day 19</w:t>
            </w:r>
          </w:p>
        </w:tc>
      </w:tr>
      <w:tr>
        <w:tc>
          <w:tcPr>
            <w:tcW w:type="dxa" w:w="850"/>
            <w:shd w:val="clear" w:color="auto" w:fill="EAF1F4"/>
          </w:tcPr>
          <w:p>
            <w:pPr>
              <w:spacing w:after="50" w:before="50" w:line="252" w:lineRule="auto"/>
            </w:pPr>
            <w:r>
              <w:rPr>
                <w:sz w:val="17"/>
              </w:rPr>
              <w:t>6</w:t>
            </w:r>
          </w:p>
        </w:tc>
        <w:tc>
          <w:tcPr>
            <w:tcW w:type="dxa" w:w="5685"/>
            <w:shd w:val="clear" w:color="auto" w:fill="EAF1F4"/>
          </w:tcPr>
          <w:p>
            <w:pPr>
              <w:spacing w:after="50" w:before="50" w:line="252" w:lineRule="auto"/>
            </w:pPr>
            <w:r>
              <w:rPr>
                <w:sz w:val="17"/>
              </w:rPr>
              <w:t>Invoice raised by the receiving party for its share</w:t>
            </w:r>
          </w:p>
        </w:tc>
        <w:tc>
          <w:tcPr>
            <w:tcW w:type="dxa" w:w="1594"/>
            <w:shd w:val="clear" w:color="auto" w:fill="EAF1F4"/>
          </w:tcPr>
          <w:p>
            <w:pPr>
              <w:spacing w:after="50" w:before="50" w:line="252" w:lineRule="auto"/>
            </w:pPr>
            <w:r>
              <w:rPr>
                <w:sz w:val="17"/>
              </w:rPr>
              <w:t>Receiving party</w:t>
            </w:r>
          </w:p>
        </w:tc>
        <w:tc>
          <w:tcPr>
            <w:tcW w:type="dxa" w:w="1620"/>
            <w:shd w:val="clear" w:color="auto" w:fill="EAF1F4"/>
          </w:tcPr>
          <w:p>
            <w:pPr>
              <w:spacing w:after="50" w:before="50" w:line="252" w:lineRule="auto"/>
            </w:pPr>
            <w:r>
              <w:rPr>
                <w:sz w:val="17"/>
              </w:rPr>
              <w:t>Day 21</w:t>
            </w:r>
          </w:p>
        </w:tc>
      </w:tr>
      <w:tr>
        <w:tc>
          <w:tcPr>
            <w:tcW w:type="dxa" w:w="850"/>
          </w:tcPr>
          <w:p>
            <w:pPr>
              <w:spacing w:after="50" w:before="50" w:line="252" w:lineRule="auto"/>
            </w:pPr>
            <w:r>
              <w:rPr>
                <w:sz w:val="17"/>
              </w:rPr>
              <w:t>7</w:t>
            </w:r>
          </w:p>
        </w:tc>
        <w:tc>
          <w:tcPr>
            <w:tcW w:type="dxa" w:w="5685"/>
          </w:tcPr>
          <w:p>
            <w:pPr>
              <w:spacing w:after="50" w:before="50" w:line="252" w:lineRule="auto"/>
            </w:pPr>
            <w:r>
              <w:rPr>
                <w:b/>
                <w:sz w:val="17"/>
              </w:rPr>
              <w:t>Settlement</w:t>
            </w:r>
          </w:p>
        </w:tc>
        <w:tc>
          <w:tcPr>
            <w:tcW w:type="dxa" w:w="1594"/>
          </w:tcPr>
          <w:p>
            <w:pPr>
              <w:spacing w:after="50" w:before="50" w:line="252" w:lineRule="auto"/>
            </w:pPr>
            <w:r>
              <w:rPr>
                <w:sz w:val="17"/>
              </w:rPr>
              <w:t>Collecting party</w:t>
            </w:r>
          </w:p>
        </w:tc>
        <w:tc>
          <w:tcPr>
            <w:tcW w:type="dxa" w:w="1620"/>
          </w:tcPr>
          <w:p>
            <w:pPr>
              <w:spacing w:after="50" w:before="50" w:line="252" w:lineRule="auto"/>
            </w:pPr>
            <w:r>
              <w:rPr>
                <w:b/>
                <w:sz w:val="17"/>
              </w:rPr>
              <w:t>Day 30 from completion</w:t>
            </w:r>
          </w:p>
        </w:tc>
      </w:tr>
      <w:tr>
        <w:tc>
          <w:tcPr>
            <w:tcW w:type="dxa" w:w="850"/>
            <w:shd w:val="clear" w:color="auto" w:fill="EAF1F4"/>
          </w:tcPr>
          <w:p>
            <w:pPr>
              <w:spacing w:after="50" w:before="50" w:line="252" w:lineRule="auto"/>
            </w:pPr>
            <w:r>
              <w:rPr>
                <w:sz w:val="17"/>
              </w:rPr>
              <w:t>8</w:t>
            </w:r>
          </w:p>
        </w:tc>
        <w:tc>
          <w:tcPr>
            <w:tcW w:type="dxa" w:w="5685"/>
            <w:shd w:val="clear" w:color="auto" w:fill="EAF1F4"/>
          </w:tcPr>
          <w:p>
            <w:pPr>
              <w:spacing w:after="50" w:before="50" w:line="252" w:lineRule="auto"/>
            </w:pPr>
            <w:r>
              <w:rPr>
                <w:sz w:val="17"/>
              </w:rPr>
              <w:t>Settlement recorded in the partnership ledger and the scorecard</w:t>
            </w:r>
          </w:p>
        </w:tc>
        <w:tc>
          <w:tcPr>
            <w:tcW w:type="dxa" w:w="1594"/>
            <w:shd w:val="clear" w:color="auto" w:fill="EAF1F4"/>
          </w:tcPr>
          <w:p>
            <w:pPr>
              <w:spacing w:after="50" w:before="50" w:line="252" w:lineRule="auto"/>
            </w:pPr>
            <w:r>
              <w:rPr>
                <w:sz w:val="17"/>
              </w:rPr>
              <w:t>Finance</w:t>
            </w:r>
          </w:p>
        </w:tc>
        <w:tc>
          <w:tcPr>
            <w:tcW w:type="dxa" w:w="1620"/>
            <w:shd w:val="clear" w:color="auto" w:fill="EAF1F4"/>
          </w:tcPr>
          <w:p>
            <w:pPr>
              <w:spacing w:after="50" w:before="50" w:line="252" w:lineRule="auto"/>
            </w:pPr>
            <w:r>
              <w:rPr>
                <w:sz w:val="17"/>
              </w:rPr>
              <w:t>Day 32</w:t>
            </w:r>
          </w:p>
        </w:tc>
      </w:tr>
    </w:tbl>
    <w:p>
      <w:pPr>
        <w:spacing w:after="80" w:before="0"/>
      </w:pPr>
    </w:p>
    <w:p>
      <w:r>
        <w:rPr>
          <w:b/>
        </w:rPr>
        <w:t>Escalation.</w:t>
      </w:r>
      <w:r>
        <w:t xml:space="preserve"> Settlement not received by day 35 — reminder from Finance. Day 45 — Programme Director writes to the Nodal Officer. Day 60 — escalation letter L-22 to the Registrar, and interest accrues. Day 90 — matter referred under MOU clause 18 and no further programmes are scheduled with that institution until resolved.</w:t>
      </w:r>
    </w:p>
    <w:p>
      <w:pPr>
        <w:spacing w:before="80" w:after="160"/>
        <w:pBdr>
          <w:bottom w:val="single" w:sz="6" w:space="1" w:color="C9D6DE"/>
        </w:pBdr>
      </w:pPr>
    </w:p>
    <w:p>
      <w:pPr>
        <w:pStyle w:val="Heading1"/>
        <w:pBdr>
          <w:bottom w:val="single" w:sz="8" w:space="4" w:color="C9D6DE"/>
        </w:pBdr>
      </w:pPr>
      <w:r>
        <w:t>5. The collection statement</w:t>
      </w:r>
    </w:p>
    <w:p>
      <w:r>
        <w:t>Every statement must carry the following, and a statement lacking any of it is returned:</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5532"/>
            <w:shd w:val="clear" w:color="auto" w:fill="10375C"/>
          </w:tcPr>
          <w:p>
            <w:pPr>
              <w:spacing w:after="50" w:before="50"/>
            </w:pPr>
            <w:r>
              <w:rPr>
                <w:b/>
                <w:color w:val="FFFFFF"/>
                <w:sz w:val="17"/>
              </w:rPr>
              <w:t>Field</w:t>
            </w:r>
          </w:p>
        </w:tc>
        <w:tc>
          <w:tcPr>
            <w:tcW w:type="dxa" w:w="3936"/>
            <w:shd w:val="clear" w:color="auto" w:fill="10375C"/>
          </w:tcPr>
          <w:p>
            <w:pPr>
              <w:spacing w:after="50" w:before="50"/>
            </w:pPr>
            <w:r>
              <w:rPr>
                <w:b/>
                <w:color w:val="FFFFFF"/>
                <w:sz w:val="17"/>
              </w:rPr>
              <w:t>Content</w:t>
            </w:r>
          </w:p>
        </w:tc>
      </w:tr>
      <w:tr>
        <w:tc>
          <w:tcPr>
            <w:tcW w:type="dxa" w:w="5532"/>
          </w:tcPr>
          <w:p>
            <w:pPr>
              <w:spacing w:after="50" w:before="50" w:line="252" w:lineRule="auto"/>
            </w:pPr>
            <w:r>
              <w:rPr>
                <w:sz w:val="17"/>
              </w:rPr>
              <w:t>Programme, code, dates, venue</w:t>
            </w:r>
          </w:p>
        </w:tc>
        <w:tc>
          <w:tcPr>
            <w:tcW w:type="dxa" w:w="3936"/>
          </w:tcPr>
          <w:p>
            <w:pPr>
              <w:spacing w:after="50" w:before="50" w:line="252" w:lineRule="auto"/>
            </w:pPr>
            <w:r>
              <w:rPr>
                <w:sz w:val="17"/>
              </w:rPr>
              <w:t>—</w:t>
            </w:r>
          </w:p>
        </w:tc>
      </w:tr>
      <w:tr>
        <w:tc>
          <w:tcPr>
            <w:tcW w:type="dxa" w:w="5532"/>
            <w:shd w:val="clear" w:color="auto" w:fill="EAF1F4"/>
          </w:tcPr>
          <w:p>
            <w:pPr>
              <w:spacing w:after="50" w:before="50" w:line="252" w:lineRule="auto"/>
            </w:pPr>
            <w:r>
              <w:rPr>
                <w:sz w:val="17"/>
              </w:rPr>
              <w:t>Registered, attended, certified</w:t>
            </w:r>
          </w:p>
        </w:tc>
        <w:tc>
          <w:tcPr>
            <w:tcW w:type="dxa" w:w="3936"/>
            <w:shd w:val="clear" w:color="auto" w:fill="EAF1F4"/>
          </w:tcPr>
          <w:p>
            <w:pPr>
              <w:spacing w:after="50" w:before="50" w:line="252" w:lineRule="auto"/>
            </w:pPr>
            <w:r>
              <w:rPr>
                <w:sz w:val="17"/>
              </w:rPr>
              <w:t>Three separate numbers; they will differ</w:t>
            </w:r>
          </w:p>
        </w:tc>
      </w:tr>
      <w:tr>
        <w:tc>
          <w:tcPr>
            <w:tcW w:type="dxa" w:w="5532"/>
          </w:tcPr>
          <w:p>
            <w:pPr>
              <w:spacing w:after="50" w:before="50" w:line="252" w:lineRule="auto"/>
            </w:pPr>
            <w:r>
              <w:rPr>
                <w:sz w:val="17"/>
              </w:rPr>
              <w:t>Fee per participant, and any approved variation</w:t>
            </w:r>
          </w:p>
        </w:tc>
        <w:tc>
          <w:tcPr>
            <w:tcW w:type="dxa" w:w="3936"/>
          </w:tcPr>
          <w:p>
            <w:pPr>
              <w:spacing w:after="50" w:before="50" w:line="252" w:lineRule="auto"/>
            </w:pPr>
            <w:r>
              <w:rPr>
                <w:sz w:val="17"/>
              </w:rPr>
              <w:t>—</w:t>
            </w:r>
          </w:p>
        </w:tc>
      </w:tr>
      <w:tr>
        <w:tc>
          <w:tcPr>
            <w:tcW w:type="dxa" w:w="5532"/>
            <w:shd w:val="clear" w:color="auto" w:fill="EAF1F4"/>
          </w:tcPr>
          <w:p>
            <w:pPr>
              <w:spacing w:after="50" w:before="50" w:line="252" w:lineRule="auto"/>
            </w:pPr>
            <w:r>
              <w:rPr>
                <w:sz w:val="17"/>
              </w:rPr>
              <w:t>Gross fees received</w:t>
            </w:r>
          </w:p>
        </w:tc>
        <w:tc>
          <w:tcPr>
            <w:tcW w:type="dxa" w:w="3936"/>
            <w:shd w:val="clear" w:color="auto" w:fill="EAF1F4"/>
          </w:tcPr>
          <w:p>
            <w:pPr>
              <w:spacing w:after="50" w:before="50" w:line="252" w:lineRule="auto"/>
            </w:pPr>
            <w:r>
              <w:rPr>
                <w:sz w:val="17"/>
              </w:rPr>
              <w:t>With a bank or gateway reference</w:t>
            </w:r>
          </w:p>
        </w:tc>
      </w:tr>
      <w:tr>
        <w:tc>
          <w:tcPr>
            <w:tcW w:type="dxa" w:w="5532"/>
          </w:tcPr>
          <w:p>
            <w:pPr>
              <w:spacing w:after="50" w:before="50" w:line="252" w:lineRule="auto"/>
            </w:pPr>
            <w:r>
              <w:rPr>
                <w:sz w:val="17"/>
              </w:rPr>
              <w:t>Refunds</w:t>
            </w:r>
          </w:p>
        </w:tc>
        <w:tc>
          <w:tcPr>
            <w:tcW w:type="dxa" w:w="3936"/>
          </w:tcPr>
          <w:p>
            <w:pPr>
              <w:spacing w:after="50" w:before="50" w:line="252" w:lineRule="auto"/>
            </w:pPr>
            <w:r>
              <w:rPr>
                <w:sz w:val="17"/>
              </w:rPr>
              <w:t>Itemised: name, date, amount, reason</w:t>
            </w:r>
          </w:p>
        </w:tc>
      </w:tr>
      <w:tr>
        <w:tc>
          <w:tcPr>
            <w:tcW w:type="dxa" w:w="5532"/>
            <w:shd w:val="clear" w:color="auto" w:fill="EAF1F4"/>
          </w:tcPr>
          <w:p>
            <w:pPr>
              <w:spacing w:after="50" w:before="50" w:line="252" w:lineRule="auto"/>
            </w:pPr>
            <w:r>
              <w:rPr>
                <w:sz w:val="17"/>
              </w:rPr>
              <w:t>Gateway charges</w:t>
            </w:r>
          </w:p>
        </w:tc>
        <w:tc>
          <w:tcPr>
            <w:tcW w:type="dxa" w:w="3936"/>
            <w:shd w:val="clear" w:color="auto" w:fill="EAF1F4"/>
          </w:tcPr>
          <w:p>
            <w:pPr>
              <w:spacing w:after="50" w:before="50" w:line="252" w:lineRule="auto"/>
            </w:pPr>
            <w:r>
              <w:rPr>
                <w:sz w:val="17"/>
              </w:rPr>
              <w:t>With the gateway statement attached</w:t>
            </w:r>
          </w:p>
        </w:tc>
      </w:tr>
      <w:tr>
        <w:tc>
          <w:tcPr>
            <w:tcW w:type="dxa" w:w="5532"/>
          </w:tcPr>
          <w:p>
            <w:pPr>
              <w:spacing w:after="50" w:before="50" w:line="252" w:lineRule="auto"/>
            </w:pPr>
            <w:r>
              <w:rPr>
                <w:sz w:val="17"/>
              </w:rPr>
              <w:t>Net Collections</w:t>
            </w:r>
          </w:p>
        </w:tc>
        <w:tc>
          <w:tcPr>
            <w:tcW w:type="dxa" w:w="3936"/>
          </w:tcPr>
          <w:p>
            <w:pPr>
              <w:spacing w:after="50" w:before="50" w:line="252" w:lineRule="auto"/>
            </w:pPr>
            <w:r>
              <w:rPr>
                <w:sz w:val="17"/>
              </w:rPr>
              <w:t>—</w:t>
            </w:r>
          </w:p>
        </w:tc>
      </w:tr>
      <w:tr>
        <w:tc>
          <w:tcPr>
            <w:tcW w:type="dxa" w:w="5532"/>
            <w:shd w:val="clear" w:color="auto" w:fill="EAF1F4"/>
          </w:tcPr>
          <w:p>
            <w:pPr>
              <w:spacing w:after="50" w:before="50" w:line="252" w:lineRule="auto"/>
            </w:pPr>
            <w:r>
              <w:rPr>
                <w:sz w:val="17"/>
              </w:rPr>
              <w:t>Split applied, and the authority for it</w:t>
            </w:r>
          </w:p>
        </w:tc>
        <w:tc>
          <w:tcPr>
            <w:tcW w:type="dxa" w:w="3936"/>
            <w:shd w:val="clear" w:color="auto" w:fill="EAF1F4"/>
          </w:tcPr>
          <w:p>
            <w:pPr>
              <w:spacing w:after="50" w:before="50" w:line="252" w:lineRule="auto"/>
            </w:pPr>
            <w:r>
              <w:rPr>
                <w:sz w:val="17"/>
              </w:rPr>
              <w:t>Schedule H reference</w:t>
            </w:r>
          </w:p>
        </w:tc>
      </w:tr>
      <w:tr>
        <w:tc>
          <w:tcPr>
            <w:tcW w:type="dxa" w:w="5532"/>
          </w:tcPr>
          <w:p>
            <w:pPr>
              <w:spacing w:after="50" w:before="50" w:line="252" w:lineRule="auto"/>
            </w:pPr>
            <w:r>
              <w:rPr>
                <w:sz w:val="17"/>
              </w:rPr>
              <w:t>Each party's share</w:t>
            </w:r>
          </w:p>
        </w:tc>
        <w:tc>
          <w:tcPr>
            <w:tcW w:type="dxa" w:w="3936"/>
          </w:tcPr>
          <w:p>
            <w:pPr>
              <w:spacing w:after="50" w:before="50" w:line="252" w:lineRule="auto"/>
            </w:pPr>
            <w:r>
              <w:rPr>
                <w:sz w:val="17"/>
              </w:rPr>
              <w:t>—</w:t>
            </w:r>
          </w:p>
        </w:tc>
      </w:tr>
      <w:tr>
        <w:tc>
          <w:tcPr>
            <w:tcW w:type="dxa" w:w="5532"/>
            <w:shd w:val="clear" w:color="auto" w:fill="EAF1F4"/>
          </w:tcPr>
          <w:p>
            <w:pPr>
              <w:spacing w:after="50" w:before="50" w:line="252" w:lineRule="auto"/>
            </w:pPr>
            <w:r>
              <w:rPr>
                <w:sz w:val="17"/>
              </w:rPr>
              <w:t>Amount already settled, if any</w:t>
            </w:r>
          </w:p>
        </w:tc>
        <w:tc>
          <w:tcPr>
            <w:tcW w:type="dxa" w:w="3936"/>
            <w:shd w:val="clear" w:color="auto" w:fill="EAF1F4"/>
          </w:tcPr>
          <w:p>
            <w:pPr>
              <w:spacing w:after="50" w:before="50" w:line="252" w:lineRule="auto"/>
            </w:pPr>
            <w:r>
              <w:rPr>
                <w:sz w:val="17"/>
              </w:rPr>
              <w:t>—</w:t>
            </w:r>
          </w:p>
        </w:tc>
      </w:tr>
      <w:tr>
        <w:tc>
          <w:tcPr>
            <w:tcW w:type="dxa" w:w="5532"/>
          </w:tcPr>
          <w:p>
            <w:pPr>
              <w:spacing w:after="50" w:before="50" w:line="252" w:lineRule="auto"/>
            </w:pPr>
            <w:r>
              <w:rPr>
                <w:b/>
                <w:sz w:val="17"/>
              </w:rPr>
              <w:t>Amount now due</w:t>
            </w:r>
          </w:p>
        </w:tc>
        <w:tc>
          <w:tcPr>
            <w:tcW w:type="dxa" w:w="3936"/>
          </w:tcPr>
          <w:p>
            <w:pPr>
              <w:spacing w:after="50" w:before="50" w:line="252" w:lineRule="auto"/>
            </w:pPr>
            <w:r>
              <w:rPr>
                <w:sz w:val="17"/>
              </w:rPr>
              <w:t>—</w:t>
            </w:r>
          </w:p>
        </w:tc>
      </w:tr>
      <w:tr>
        <w:tc>
          <w:tcPr>
            <w:tcW w:type="dxa" w:w="5532"/>
            <w:shd w:val="clear" w:color="auto" w:fill="EAF1F4"/>
          </w:tcPr>
          <w:p>
            <w:pPr>
              <w:spacing w:after="50" w:before="50" w:line="252" w:lineRule="auto"/>
            </w:pPr>
            <w:r>
              <w:rPr>
                <w:sz w:val="17"/>
              </w:rPr>
              <w:t>Prepared by, checked by, date</w:t>
            </w:r>
          </w:p>
        </w:tc>
        <w:tc>
          <w:tcPr>
            <w:tcW w:type="dxa" w:w="3936"/>
            <w:shd w:val="clear" w:color="auto" w:fill="EAF1F4"/>
          </w:tcPr>
          <w:p>
            <w:pPr>
              <w:spacing w:after="50" w:before="50" w:line="252" w:lineRule="auto"/>
            </w:pPr>
            <w:r>
              <w:rPr>
                <w:sz w:val="17"/>
              </w:rPr>
              <w:t>Two names</w:t>
            </w:r>
          </w:p>
        </w:tc>
      </w:tr>
    </w:tbl>
    <w:p>
      <w:pPr>
        <w:spacing w:after="80" w:before="0"/>
      </w:pPr>
    </w:p>
    <w:p>
      <w:pPr>
        <w:spacing w:before="80" w:after="160"/>
        <w:pBdr>
          <w:bottom w:val="single" w:sz="6" w:space="1" w:color="C9D6DE"/>
        </w:pBdr>
      </w:pPr>
    </w:p>
    <w:p>
      <w:pPr>
        <w:pStyle w:val="Heading1"/>
        <w:pBdr>
          <w:bottom w:val="single" w:sz="8" w:space="4" w:color="C9D6DE"/>
        </w:pBdr>
      </w:pPr>
      <w:r>
        <w:t>6. Reconciliation</w:t>
      </w:r>
    </w:p>
    <w:p>
      <w:pPr>
        <w:pStyle w:val="Heading2"/>
      </w:pPr>
      <w:r>
        <w:t>6.1 Routine</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1765"/>
            <w:shd w:val="clear" w:color="auto" w:fill="10375C"/>
          </w:tcPr>
          <w:p>
            <w:pPr>
              <w:spacing w:after="50" w:before="50"/>
            </w:pPr>
            <w:r>
              <w:rPr>
                <w:b/>
                <w:color w:val="FFFFFF"/>
                <w:sz w:val="17"/>
              </w:rPr>
              <w:t>Frequency</w:t>
            </w:r>
          </w:p>
        </w:tc>
        <w:tc>
          <w:tcPr>
            <w:tcW w:type="dxa" w:w="7703"/>
            <w:shd w:val="clear" w:color="auto" w:fill="10375C"/>
          </w:tcPr>
          <w:p>
            <w:pPr>
              <w:spacing w:after="50" w:before="50"/>
            </w:pPr>
            <w:r>
              <w:rPr>
                <w:b/>
                <w:color w:val="FFFFFF"/>
                <w:sz w:val="17"/>
              </w:rPr>
              <w:t>Check</w:t>
            </w:r>
          </w:p>
        </w:tc>
      </w:tr>
      <w:tr>
        <w:tc>
          <w:tcPr>
            <w:tcW w:type="dxa" w:w="1765"/>
          </w:tcPr>
          <w:p>
            <w:pPr>
              <w:spacing w:after="50" w:before="50" w:line="252" w:lineRule="auto"/>
            </w:pPr>
            <w:r>
              <w:rPr>
                <w:sz w:val="17"/>
              </w:rPr>
              <w:t>Per programme</w:t>
            </w:r>
          </w:p>
        </w:tc>
        <w:tc>
          <w:tcPr>
            <w:tcW w:type="dxa" w:w="7703"/>
          </w:tcPr>
          <w:p>
            <w:pPr>
              <w:spacing w:after="50" w:before="50" w:line="252" w:lineRule="auto"/>
            </w:pPr>
            <w:r>
              <w:rPr>
                <w:sz w:val="17"/>
              </w:rPr>
              <w:t>Registration list against attendance against certification register against fee receipts</w:t>
            </w:r>
          </w:p>
        </w:tc>
      </w:tr>
      <w:tr>
        <w:tc>
          <w:tcPr>
            <w:tcW w:type="dxa" w:w="1765"/>
            <w:shd w:val="clear" w:color="auto" w:fill="EAF1F4"/>
          </w:tcPr>
          <w:p>
            <w:pPr>
              <w:spacing w:after="50" w:before="50" w:line="252" w:lineRule="auto"/>
            </w:pPr>
            <w:r>
              <w:rPr>
                <w:sz w:val="17"/>
              </w:rPr>
              <w:t>Monthly</w:t>
            </w:r>
          </w:p>
        </w:tc>
        <w:tc>
          <w:tcPr>
            <w:tcW w:type="dxa" w:w="7703"/>
            <w:shd w:val="clear" w:color="auto" w:fill="EAF1F4"/>
          </w:tcPr>
          <w:p>
            <w:pPr>
              <w:spacing w:after="50" w:before="50" w:line="252" w:lineRule="auto"/>
            </w:pPr>
            <w:r>
              <w:rPr>
                <w:sz w:val="17"/>
              </w:rPr>
              <w:t>Partnership ledger against bank; ageing of amounts due</w:t>
            </w:r>
          </w:p>
        </w:tc>
      </w:tr>
      <w:tr>
        <w:tc>
          <w:tcPr>
            <w:tcW w:type="dxa" w:w="1765"/>
          </w:tcPr>
          <w:p>
            <w:pPr>
              <w:spacing w:after="50" w:before="50" w:line="252" w:lineRule="auto"/>
            </w:pPr>
            <w:r>
              <w:rPr>
                <w:sz w:val="17"/>
              </w:rPr>
              <w:t>Quarterly</w:t>
            </w:r>
          </w:p>
        </w:tc>
        <w:tc>
          <w:tcPr>
            <w:tcW w:type="dxa" w:w="7703"/>
          </w:tcPr>
          <w:p>
            <w:pPr>
              <w:spacing w:after="50" w:before="50" w:line="252" w:lineRule="auto"/>
            </w:pPr>
            <w:r>
              <w:rPr>
                <w:sz w:val="17"/>
              </w:rPr>
              <w:t>Revenue-share settlements against Schedule H percentages; exceptions reported to the Programme Board</w:t>
            </w:r>
          </w:p>
        </w:tc>
      </w:tr>
      <w:tr>
        <w:tc>
          <w:tcPr>
            <w:tcW w:type="dxa" w:w="1765"/>
            <w:shd w:val="clear" w:color="auto" w:fill="EAF1F4"/>
          </w:tcPr>
          <w:p>
            <w:pPr>
              <w:spacing w:after="50" w:before="50" w:line="252" w:lineRule="auto"/>
            </w:pPr>
            <w:r>
              <w:rPr>
                <w:sz w:val="17"/>
              </w:rPr>
              <w:t>Annually</w:t>
            </w:r>
          </w:p>
        </w:tc>
        <w:tc>
          <w:tcPr>
            <w:tcW w:type="dxa" w:w="7703"/>
            <w:shd w:val="clear" w:color="auto" w:fill="EAF1F4"/>
          </w:tcPr>
          <w:p>
            <w:pPr>
              <w:spacing w:after="50" w:before="50" w:line="252" w:lineRule="auto"/>
            </w:pPr>
            <w:r>
              <w:rPr>
                <w:sz w:val="17"/>
              </w:rPr>
              <w:t>Full partnership reconciliation as part of the annual review</w:t>
            </w:r>
          </w:p>
        </w:tc>
      </w:tr>
    </w:tbl>
    <w:p>
      <w:pPr>
        <w:spacing w:after="80" w:before="0"/>
      </w:pPr>
    </w:p>
    <w:p>
      <w:pPr>
        <w:pStyle w:val="Heading2"/>
      </w:pPr>
      <w:r>
        <w:t>6.2 The four discrepancies that actually occur</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3156"/>
        <w:gridCol w:w="3156"/>
        <w:gridCol w:w="3156"/>
      </w:tblGrid>
      <w:tr>
        <w:trPr>
          <w:tblHeader w:val="true"/>
        </w:trPr>
        <w:tc>
          <w:tcPr>
            <w:tcW w:type="dxa" w:w="2418"/>
            <w:shd w:val="clear" w:color="auto" w:fill="10375C"/>
          </w:tcPr>
          <w:p>
            <w:pPr>
              <w:spacing w:after="50" w:before="50"/>
            </w:pPr>
            <w:r>
              <w:rPr>
                <w:b/>
                <w:color w:val="FFFFFF"/>
                <w:sz w:val="17"/>
              </w:rPr>
              <w:t>Discrepancy</w:t>
            </w:r>
          </w:p>
        </w:tc>
        <w:tc>
          <w:tcPr>
            <w:tcW w:type="dxa" w:w="3525"/>
            <w:shd w:val="clear" w:color="auto" w:fill="10375C"/>
          </w:tcPr>
          <w:p>
            <w:pPr>
              <w:spacing w:after="50" w:before="50"/>
            </w:pPr>
            <w:r>
              <w:rPr>
                <w:b/>
                <w:color w:val="FFFFFF"/>
                <w:sz w:val="17"/>
              </w:rPr>
              <w:t>Cause</w:t>
            </w:r>
          </w:p>
        </w:tc>
        <w:tc>
          <w:tcPr>
            <w:tcW w:type="dxa" w:w="3525"/>
            <w:shd w:val="clear" w:color="auto" w:fill="10375C"/>
          </w:tcPr>
          <w:p>
            <w:pPr>
              <w:spacing w:after="50" w:before="50"/>
            </w:pPr>
            <w:r>
              <w:rPr>
                <w:b/>
                <w:color w:val="FFFFFF"/>
                <w:sz w:val="17"/>
              </w:rPr>
              <w:t>Resolution</w:t>
            </w:r>
          </w:p>
        </w:tc>
      </w:tr>
      <w:tr>
        <w:tc>
          <w:tcPr>
            <w:tcW w:type="dxa" w:w="2418"/>
          </w:tcPr>
          <w:p>
            <w:pPr>
              <w:spacing w:after="50" w:before="50" w:line="252" w:lineRule="auto"/>
            </w:pPr>
            <w:r>
              <w:rPr>
                <w:sz w:val="17"/>
              </w:rPr>
              <w:t>Attendance exceeds registrations</w:t>
            </w:r>
          </w:p>
        </w:tc>
        <w:tc>
          <w:tcPr>
            <w:tcW w:type="dxa" w:w="3525"/>
          </w:tcPr>
          <w:p>
            <w:pPr>
              <w:spacing w:after="50" w:before="50" w:line="252" w:lineRule="auto"/>
            </w:pPr>
            <w:r>
              <w:rPr>
                <w:sz w:val="17"/>
              </w:rPr>
              <w:t>Walk-in participants admitted by the institution without registration</w:t>
            </w:r>
          </w:p>
        </w:tc>
        <w:tc>
          <w:tcPr>
            <w:tcW w:type="dxa" w:w="3525"/>
          </w:tcPr>
          <w:p>
            <w:pPr>
              <w:spacing w:after="50" w:before="50" w:line="252" w:lineRule="auto"/>
            </w:pPr>
            <w:r>
              <w:rPr>
                <w:sz w:val="17"/>
              </w:rPr>
              <w:t>Charge at list rate; tighten the door; require pre-registration</w:t>
            </w:r>
          </w:p>
        </w:tc>
      </w:tr>
      <w:tr>
        <w:tc>
          <w:tcPr>
            <w:tcW w:type="dxa" w:w="2418"/>
            <w:shd w:val="clear" w:color="auto" w:fill="EAF1F4"/>
          </w:tcPr>
          <w:p>
            <w:pPr>
              <w:spacing w:after="50" w:before="50" w:line="252" w:lineRule="auto"/>
            </w:pPr>
            <w:r>
              <w:rPr>
                <w:sz w:val="17"/>
              </w:rPr>
              <w:t>Fees received are less than registrations</w:t>
            </w:r>
          </w:p>
        </w:tc>
        <w:tc>
          <w:tcPr>
            <w:tcW w:type="dxa" w:w="3525"/>
            <w:shd w:val="clear" w:color="auto" w:fill="EAF1F4"/>
          </w:tcPr>
          <w:p>
            <w:pPr>
              <w:spacing w:after="50" w:before="50" w:line="252" w:lineRule="auto"/>
            </w:pPr>
            <w:r>
              <w:rPr>
                <w:sz w:val="17"/>
              </w:rPr>
              <w:t>Unpaid registrations admitted</w:t>
            </w:r>
          </w:p>
        </w:tc>
        <w:tc>
          <w:tcPr>
            <w:tcW w:type="dxa" w:w="3525"/>
            <w:shd w:val="clear" w:color="auto" w:fill="EAF1F4"/>
          </w:tcPr>
          <w:p>
            <w:pPr>
              <w:spacing w:after="50" w:before="50" w:line="252" w:lineRule="auto"/>
            </w:pPr>
            <w:r>
              <w:rPr>
                <w:sz w:val="17"/>
              </w:rPr>
              <w:t>Institution bears the shortfall where it admitted them</w:t>
            </w:r>
          </w:p>
        </w:tc>
      </w:tr>
      <w:tr>
        <w:tc>
          <w:tcPr>
            <w:tcW w:type="dxa" w:w="2418"/>
          </w:tcPr>
          <w:p>
            <w:pPr>
              <w:spacing w:after="50" w:before="50" w:line="252" w:lineRule="auto"/>
            </w:pPr>
            <w:r>
              <w:rPr>
                <w:sz w:val="17"/>
              </w:rPr>
              <w:t>Refunds exceed the policy</w:t>
            </w:r>
          </w:p>
        </w:tc>
        <w:tc>
          <w:tcPr>
            <w:tcW w:type="dxa" w:w="3525"/>
          </w:tcPr>
          <w:p>
            <w:pPr>
              <w:spacing w:after="50" w:before="50" w:line="252" w:lineRule="auto"/>
            </w:pPr>
            <w:r>
              <w:rPr>
                <w:sz w:val="17"/>
              </w:rPr>
              <w:t>Refunds granted informally by institutional staff</w:t>
            </w:r>
          </w:p>
        </w:tc>
        <w:tc>
          <w:tcPr>
            <w:tcW w:type="dxa" w:w="3525"/>
          </w:tcPr>
          <w:p>
            <w:pPr>
              <w:spacing w:after="50" w:before="50" w:line="252" w:lineRule="auto"/>
            </w:pPr>
            <w:r>
              <w:rPr>
                <w:sz w:val="17"/>
              </w:rPr>
              <w:t>Excess borne by the party that granted it</w:t>
            </w:r>
          </w:p>
        </w:tc>
      </w:tr>
      <w:tr>
        <w:tc>
          <w:tcPr>
            <w:tcW w:type="dxa" w:w="2418"/>
            <w:shd w:val="clear" w:color="auto" w:fill="EAF1F4"/>
          </w:tcPr>
          <w:p>
            <w:pPr>
              <w:spacing w:after="50" w:before="50" w:line="252" w:lineRule="auto"/>
            </w:pPr>
            <w:r>
              <w:rPr>
                <w:sz w:val="17"/>
              </w:rPr>
              <w:t>Gateway charges above cap</w:t>
            </w:r>
          </w:p>
        </w:tc>
        <w:tc>
          <w:tcPr>
            <w:tcW w:type="dxa" w:w="3525"/>
            <w:shd w:val="clear" w:color="auto" w:fill="EAF1F4"/>
          </w:tcPr>
          <w:p>
            <w:pPr>
              <w:spacing w:after="50" w:before="50" w:line="252" w:lineRule="auto"/>
            </w:pPr>
            <w:r>
              <w:rPr>
                <w:sz w:val="17"/>
              </w:rPr>
              <w:t>Wrong payment instrument used</w:t>
            </w:r>
          </w:p>
        </w:tc>
        <w:tc>
          <w:tcPr>
            <w:tcW w:type="dxa" w:w="3525"/>
            <w:shd w:val="clear" w:color="auto" w:fill="EAF1F4"/>
          </w:tcPr>
          <w:p>
            <w:pPr>
              <w:spacing w:after="50" w:before="50" w:line="252" w:lineRule="auto"/>
            </w:pPr>
            <w:r>
              <w:rPr>
                <w:sz w:val="17"/>
              </w:rPr>
              <w:t>Excess borne by the collecting party</w:t>
            </w:r>
          </w:p>
        </w:tc>
      </w:tr>
    </w:tbl>
    <w:p>
      <w:pPr>
        <w:spacing w:after="80" w:before="0"/>
      </w:pPr>
    </w:p>
    <w:p>
      <w:pPr>
        <w:pStyle w:val="Heading2"/>
      </w:pPr>
      <w:r>
        <w:t>6.3 Inspection rights</w:t>
      </w:r>
    </w:p>
    <w:p>
      <w:r>
        <w:t xml:space="preserve">Either party may inspect the other's records relating to collections, on fourteen days' notice, not more than twice in an Academic Year, at its own cost. Where the inspection reveals a shortfall exceeding </w:t>
      </w:r>
      <w:r>
        <w:rPr>
          <w:b/>
        </w:rPr>
        <w:t>5%</w:t>
      </w:r>
      <w:r>
        <w:t>, the inspecting party's reasonable costs are borne by the other, and the shortfall is settled within fifteen days with interest.</w:t>
      </w:r>
    </w:p>
    <w:p>
      <w:pPr>
        <w:spacing w:before="80" w:after="160"/>
        <w:pBdr>
          <w:bottom w:val="single" w:sz="6" w:space="1" w:color="C9D6DE"/>
        </w:pBdr>
      </w:pPr>
    </w:p>
    <w:p>
      <w:pPr>
        <w:pStyle w:val="Heading1"/>
        <w:pBdr>
          <w:bottom w:val="single" w:sz="8" w:space="4" w:color="C9D6DE"/>
        </w:pBdr>
      </w:pPr>
      <w:r>
        <w:t>7. Refund policy</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4900"/>
            <w:shd w:val="clear" w:color="auto" w:fill="10375C"/>
          </w:tcPr>
          <w:p>
            <w:pPr>
              <w:spacing w:after="50" w:before="50"/>
            </w:pPr>
            <w:r>
              <w:rPr>
                <w:b/>
                <w:color w:val="FFFFFF"/>
                <w:sz w:val="17"/>
              </w:rPr>
              <w:t>Circumstance</w:t>
            </w:r>
          </w:p>
        </w:tc>
        <w:tc>
          <w:tcPr>
            <w:tcW w:type="dxa" w:w="4567"/>
            <w:shd w:val="clear" w:color="auto" w:fill="10375C"/>
          </w:tcPr>
          <w:p>
            <w:pPr>
              <w:spacing w:after="50" w:before="50"/>
            </w:pPr>
            <w:r>
              <w:rPr>
                <w:b/>
                <w:color w:val="FFFFFF"/>
                <w:sz w:val="17"/>
              </w:rPr>
              <w:t>Refund</w:t>
            </w:r>
          </w:p>
        </w:tc>
      </w:tr>
      <w:tr>
        <w:tc>
          <w:tcPr>
            <w:tcW w:type="dxa" w:w="4900"/>
          </w:tcPr>
          <w:p>
            <w:pPr>
              <w:spacing w:after="50" w:before="50" w:line="252" w:lineRule="auto"/>
            </w:pPr>
            <w:r>
              <w:rPr>
                <w:sz w:val="17"/>
              </w:rPr>
              <w:t>Withdrawal more than 21 days before start</w:t>
            </w:r>
          </w:p>
        </w:tc>
        <w:tc>
          <w:tcPr>
            <w:tcW w:type="dxa" w:w="4567"/>
          </w:tcPr>
          <w:p>
            <w:pPr>
              <w:spacing w:after="50" w:before="50" w:line="252" w:lineRule="auto"/>
            </w:pPr>
            <w:r>
              <w:rPr>
                <w:sz w:val="17"/>
              </w:rPr>
              <w:t>90% of fee</w:t>
            </w:r>
          </w:p>
        </w:tc>
      </w:tr>
      <w:tr>
        <w:tc>
          <w:tcPr>
            <w:tcW w:type="dxa" w:w="4900"/>
            <w:shd w:val="clear" w:color="auto" w:fill="EAF1F4"/>
          </w:tcPr>
          <w:p>
            <w:pPr>
              <w:spacing w:after="50" w:before="50" w:line="252" w:lineRule="auto"/>
            </w:pPr>
            <w:r>
              <w:rPr>
                <w:sz w:val="17"/>
              </w:rPr>
              <w:t>Withdrawal 8 to 21 days before start</w:t>
            </w:r>
          </w:p>
        </w:tc>
        <w:tc>
          <w:tcPr>
            <w:tcW w:type="dxa" w:w="4567"/>
            <w:shd w:val="clear" w:color="auto" w:fill="EAF1F4"/>
          </w:tcPr>
          <w:p>
            <w:pPr>
              <w:spacing w:after="50" w:before="50" w:line="252" w:lineRule="auto"/>
            </w:pPr>
            <w:r>
              <w:rPr>
                <w:sz w:val="17"/>
              </w:rPr>
              <w:t>50%</w:t>
            </w:r>
          </w:p>
        </w:tc>
      </w:tr>
      <w:tr>
        <w:tc>
          <w:tcPr>
            <w:tcW w:type="dxa" w:w="4900"/>
          </w:tcPr>
          <w:p>
            <w:pPr>
              <w:spacing w:after="50" w:before="50" w:line="252" w:lineRule="auto"/>
            </w:pPr>
            <w:r>
              <w:rPr>
                <w:sz w:val="17"/>
              </w:rPr>
              <w:t>Withdrawal 7 days or fewer before start</w:t>
            </w:r>
          </w:p>
        </w:tc>
        <w:tc>
          <w:tcPr>
            <w:tcW w:type="dxa" w:w="4567"/>
          </w:tcPr>
          <w:p>
            <w:pPr>
              <w:spacing w:after="50" w:before="50" w:line="252" w:lineRule="auto"/>
            </w:pPr>
            <w:r>
              <w:rPr>
                <w:sz w:val="17"/>
              </w:rPr>
              <w:t>Nil</w:t>
            </w:r>
          </w:p>
        </w:tc>
      </w:tr>
      <w:tr>
        <w:tc>
          <w:tcPr>
            <w:tcW w:type="dxa" w:w="4900"/>
            <w:shd w:val="clear" w:color="auto" w:fill="EAF1F4"/>
          </w:tcPr>
          <w:p>
            <w:pPr>
              <w:spacing w:after="50" w:before="50" w:line="252" w:lineRule="auto"/>
            </w:pPr>
            <w:r>
              <w:rPr>
                <w:sz w:val="17"/>
              </w:rPr>
              <w:t>Withdrawal after commencement</w:t>
            </w:r>
          </w:p>
        </w:tc>
        <w:tc>
          <w:tcPr>
            <w:tcW w:type="dxa" w:w="4567"/>
            <w:shd w:val="clear" w:color="auto" w:fill="EAF1F4"/>
          </w:tcPr>
          <w:p>
            <w:pPr>
              <w:spacing w:after="50" w:before="50" w:line="252" w:lineRule="auto"/>
            </w:pPr>
            <w:r>
              <w:rPr>
                <w:sz w:val="17"/>
              </w:rPr>
              <w:t>Nil</w:t>
            </w:r>
          </w:p>
        </w:tc>
      </w:tr>
      <w:tr>
        <w:tc>
          <w:tcPr>
            <w:tcW w:type="dxa" w:w="4900"/>
          </w:tcPr>
          <w:p>
            <w:pPr>
              <w:spacing w:after="50" w:before="50" w:line="252" w:lineRule="auto"/>
            </w:pPr>
            <w:r>
              <w:rPr>
                <w:sz w:val="17"/>
              </w:rPr>
              <w:t>Programme cancelled by Equator</w:t>
            </w:r>
          </w:p>
        </w:tc>
        <w:tc>
          <w:tcPr>
            <w:tcW w:type="dxa" w:w="4567"/>
          </w:tcPr>
          <w:p>
            <w:pPr>
              <w:spacing w:after="50" w:before="50" w:line="252" w:lineRule="auto"/>
            </w:pPr>
            <w:r>
              <w:rPr>
                <w:sz w:val="17"/>
              </w:rPr>
              <w:t>100%, or transfer to the next cohort at the participant's option</w:t>
            </w:r>
          </w:p>
        </w:tc>
      </w:tr>
      <w:tr>
        <w:tc>
          <w:tcPr>
            <w:tcW w:type="dxa" w:w="4900"/>
            <w:shd w:val="clear" w:color="auto" w:fill="EAF1F4"/>
          </w:tcPr>
          <w:p>
            <w:pPr>
              <w:spacing w:after="50" w:before="50" w:line="252" w:lineRule="auto"/>
            </w:pPr>
            <w:r>
              <w:rPr>
                <w:sz w:val="17"/>
              </w:rPr>
              <w:t>Programme postponed by Equator</w:t>
            </w:r>
          </w:p>
        </w:tc>
        <w:tc>
          <w:tcPr>
            <w:tcW w:type="dxa" w:w="4567"/>
            <w:shd w:val="clear" w:color="auto" w:fill="EAF1F4"/>
          </w:tcPr>
          <w:p>
            <w:pPr>
              <w:spacing w:after="50" w:before="50" w:line="252" w:lineRule="auto"/>
            </w:pPr>
            <w:r>
              <w:rPr>
                <w:sz w:val="17"/>
              </w:rPr>
              <w:t>Transfer to the new dates, or 100% refund if the participant cannot attend</w:t>
            </w:r>
          </w:p>
        </w:tc>
      </w:tr>
      <w:tr>
        <w:tc>
          <w:tcPr>
            <w:tcW w:type="dxa" w:w="4900"/>
          </w:tcPr>
          <w:p>
            <w:pPr>
              <w:spacing w:after="50" w:before="50" w:line="252" w:lineRule="auto"/>
            </w:pPr>
            <w:r>
              <w:rPr>
                <w:sz w:val="17"/>
              </w:rPr>
              <w:t>Participant excluded for misconduct</w:t>
            </w:r>
          </w:p>
        </w:tc>
        <w:tc>
          <w:tcPr>
            <w:tcW w:type="dxa" w:w="4567"/>
          </w:tcPr>
          <w:p>
            <w:pPr>
              <w:spacing w:after="50" w:before="50" w:line="252" w:lineRule="auto"/>
            </w:pPr>
            <w:r>
              <w:rPr>
                <w:sz w:val="17"/>
              </w:rPr>
              <w:t>Nil</w:t>
            </w:r>
          </w:p>
        </w:tc>
      </w:tr>
      <w:tr>
        <w:tc>
          <w:tcPr>
            <w:tcW w:type="dxa" w:w="4900"/>
            <w:shd w:val="clear" w:color="auto" w:fill="EAF1F4"/>
          </w:tcPr>
          <w:p>
            <w:pPr>
              <w:spacing w:after="50" w:before="50" w:line="252" w:lineRule="auto"/>
            </w:pPr>
            <w:r>
              <w:rPr>
                <w:sz w:val="17"/>
              </w:rPr>
              <w:t>Participant unable to attend for documented medical reasons</w:t>
            </w:r>
          </w:p>
        </w:tc>
        <w:tc>
          <w:tcPr>
            <w:tcW w:type="dxa" w:w="4567"/>
            <w:shd w:val="clear" w:color="auto" w:fill="EAF1F4"/>
          </w:tcPr>
          <w:p>
            <w:pPr>
              <w:spacing w:after="50" w:before="50" w:line="252" w:lineRule="auto"/>
            </w:pPr>
            <w:r>
              <w:rPr>
                <w:sz w:val="17"/>
              </w:rPr>
              <w:t>Transfer to the next cohort within twelve months; no cash refund</w:t>
            </w:r>
          </w:p>
        </w:tc>
      </w:tr>
    </w:tbl>
    <w:p>
      <w:pPr>
        <w:spacing w:after="80" w:before="0"/>
      </w:pPr>
    </w:p>
    <w:p>
      <w:r>
        <w:t xml:space="preserve">Refunds are processed within twenty-one days to the original payment instrument. </w:t>
      </w:r>
      <w:r>
        <w:rPr>
          <w:b/>
        </w:rPr>
        <w:t>No refund is granted informally by any person; every refund is approved by Finance and recorded.</w:t>
      </w:r>
    </w:p>
    <w:p>
      <w:pPr>
        <w:spacing w:before="80" w:after="160"/>
        <w:pBdr>
          <w:bottom w:val="single" w:sz="6" w:space="1" w:color="C9D6DE"/>
        </w:pBdr>
      </w:pPr>
    </w:p>
    <w:p>
      <w:pPr>
        <w:pStyle w:val="Heading1"/>
        <w:pBdr>
          <w:bottom w:val="single" w:sz="8" w:space="4" w:color="C9D6DE"/>
        </w:pBdr>
      </w:pPr>
      <w:r>
        <w:t>8. Controls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2367"/>
        <w:gridCol w:w="2367"/>
        <w:gridCol w:w="2367"/>
        <w:gridCol w:w="2367"/>
      </w:tblGrid>
      <w:tr>
        <w:trPr>
          <w:tblHeader w:val="true"/>
        </w:trPr>
        <w:tc>
          <w:tcPr>
            <w:tcW w:type="dxa" w:w="850"/>
            <w:shd w:val="clear" w:color="auto" w:fill="10375C"/>
          </w:tcPr>
          <w:p>
            <w:pPr>
              <w:spacing w:after="50" w:before="50"/>
            </w:pPr>
            <w:r>
              <w:rPr>
                <w:b/>
                <w:color w:val="FFFFFF"/>
                <w:sz w:val="17"/>
              </w:rPr>
              <w:t>#</w:t>
            </w:r>
          </w:p>
        </w:tc>
        <w:tc>
          <w:tcPr>
            <w:tcW w:type="dxa" w:w="5886"/>
            <w:shd w:val="clear" w:color="auto" w:fill="10375C"/>
          </w:tcPr>
          <w:p>
            <w:pPr>
              <w:spacing w:after="50" w:before="50"/>
            </w:pPr>
            <w:r>
              <w:rPr>
                <w:b/>
                <w:color w:val="FFFFFF"/>
                <w:sz w:val="17"/>
              </w:rPr>
              <w:t>Control</w:t>
            </w:r>
          </w:p>
        </w:tc>
        <w:tc>
          <w:tcPr>
            <w:tcW w:type="dxa" w:w="1438"/>
            <w:shd w:val="clear" w:color="auto" w:fill="10375C"/>
          </w:tcPr>
          <w:p>
            <w:pPr>
              <w:spacing w:after="50" w:before="50"/>
            </w:pPr>
            <w:r>
              <w:rPr>
                <w:b/>
                <w:color w:val="FFFFFF"/>
                <w:sz w:val="17"/>
              </w:rPr>
              <w:t>Frequency</w:t>
            </w:r>
          </w:p>
        </w:tc>
        <w:tc>
          <w:tcPr>
            <w:tcW w:type="dxa" w:w="1555"/>
            <w:shd w:val="clear" w:color="auto" w:fill="10375C"/>
          </w:tcPr>
          <w:p>
            <w:pPr>
              <w:spacing w:after="50" w:before="50"/>
            </w:pPr>
            <w:r>
              <w:rPr>
                <w:b/>
                <w:color w:val="FFFFFF"/>
                <w:sz w:val="17"/>
              </w:rPr>
              <w:t>Owner</w:t>
            </w:r>
          </w:p>
        </w:tc>
      </w:tr>
      <w:tr>
        <w:tc>
          <w:tcPr>
            <w:tcW w:type="dxa" w:w="850"/>
          </w:tcPr>
          <w:p>
            <w:pPr>
              <w:spacing w:after="50" w:before="50" w:line="252" w:lineRule="auto"/>
            </w:pPr>
            <w:r>
              <w:rPr>
                <w:sz w:val="17"/>
              </w:rPr>
              <w:t>C1</w:t>
            </w:r>
          </w:p>
        </w:tc>
        <w:tc>
          <w:tcPr>
            <w:tcW w:type="dxa" w:w="5886"/>
          </w:tcPr>
          <w:p>
            <w:pPr>
              <w:spacing w:after="50" w:before="50" w:line="252" w:lineRule="auto"/>
            </w:pPr>
            <w:r>
              <w:rPr>
                <w:sz w:val="17"/>
              </w:rPr>
              <w:t xml:space="preserve">Fee collection only through approved accounts and gateways; </w:t>
            </w:r>
            <w:r>
              <w:rPr>
                <w:b/>
                <w:sz w:val="17"/>
              </w:rPr>
              <w:t>no cash collection in any circumstance</w:t>
            </w:r>
          </w:p>
        </w:tc>
        <w:tc>
          <w:tcPr>
            <w:tcW w:type="dxa" w:w="1438"/>
          </w:tcPr>
          <w:p>
            <w:pPr>
              <w:spacing w:after="50" w:before="50" w:line="252" w:lineRule="auto"/>
            </w:pPr>
            <w:r>
              <w:rPr>
                <w:sz w:val="17"/>
              </w:rPr>
              <w:t>Continuous</w:t>
            </w:r>
          </w:p>
        </w:tc>
        <w:tc>
          <w:tcPr>
            <w:tcW w:type="dxa" w:w="1555"/>
          </w:tcPr>
          <w:p>
            <w:pPr>
              <w:spacing w:after="50" w:before="50" w:line="252" w:lineRule="auto"/>
            </w:pPr>
            <w:r>
              <w:rPr>
                <w:sz w:val="17"/>
              </w:rPr>
              <w:t>Finance</w:t>
            </w:r>
          </w:p>
        </w:tc>
      </w:tr>
      <w:tr>
        <w:tc>
          <w:tcPr>
            <w:tcW w:type="dxa" w:w="850"/>
            <w:shd w:val="clear" w:color="auto" w:fill="EAF1F4"/>
          </w:tcPr>
          <w:p>
            <w:pPr>
              <w:spacing w:after="50" w:before="50" w:line="252" w:lineRule="auto"/>
            </w:pPr>
            <w:r>
              <w:rPr>
                <w:sz w:val="17"/>
              </w:rPr>
              <w:t>C2</w:t>
            </w:r>
          </w:p>
        </w:tc>
        <w:tc>
          <w:tcPr>
            <w:tcW w:type="dxa" w:w="5886"/>
            <w:shd w:val="clear" w:color="auto" w:fill="EAF1F4"/>
          </w:tcPr>
          <w:p>
            <w:pPr>
              <w:spacing w:after="50" w:before="50" w:line="252" w:lineRule="auto"/>
            </w:pPr>
            <w:r>
              <w:rPr>
                <w:sz w:val="17"/>
              </w:rPr>
              <w:t>Registration system is the single source of truth for participant numbers</w:t>
            </w:r>
          </w:p>
        </w:tc>
        <w:tc>
          <w:tcPr>
            <w:tcW w:type="dxa" w:w="1438"/>
            <w:shd w:val="clear" w:color="auto" w:fill="EAF1F4"/>
          </w:tcPr>
          <w:p>
            <w:pPr>
              <w:spacing w:after="50" w:before="50" w:line="252" w:lineRule="auto"/>
            </w:pPr>
            <w:r>
              <w:rPr>
                <w:sz w:val="17"/>
              </w:rPr>
              <w:t>Continuous</w:t>
            </w:r>
          </w:p>
        </w:tc>
        <w:tc>
          <w:tcPr>
            <w:tcW w:type="dxa" w:w="1555"/>
            <w:shd w:val="clear" w:color="auto" w:fill="EAF1F4"/>
          </w:tcPr>
          <w:p>
            <w:pPr>
              <w:spacing w:after="50" w:before="50" w:line="252" w:lineRule="auto"/>
            </w:pPr>
            <w:r>
              <w:rPr>
                <w:sz w:val="17"/>
              </w:rPr>
              <w:t>Operations</w:t>
            </w:r>
          </w:p>
        </w:tc>
      </w:tr>
      <w:tr>
        <w:tc>
          <w:tcPr>
            <w:tcW w:type="dxa" w:w="850"/>
          </w:tcPr>
          <w:p>
            <w:pPr>
              <w:spacing w:after="50" w:before="50" w:line="252" w:lineRule="auto"/>
            </w:pPr>
            <w:r>
              <w:rPr>
                <w:sz w:val="17"/>
              </w:rPr>
              <w:t>C3</w:t>
            </w:r>
          </w:p>
        </w:tc>
        <w:tc>
          <w:tcPr>
            <w:tcW w:type="dxa" w:w="5886"/>
          </w:tcPr>
          <w:p>
            <w:pPr>
              <w:spacing w:after="50" w:before="50" w:line="252" w:lineRule="auto"/>
            </w:pPr>
            <w:r>
              <w:rPr>
                <w:sz w:val="17"/>
              </w:rPr>
              <w:t>Segregation — the person collecting is not the person reconciling</w:t>
            </w:r>
          </w:p>
        </w:tc>
        <w:tc>
          <w:tcPr>
            <w:tcW w:type="dxa" w:w="1438"/>
          </w:tcPr>
          <w:p>
            <w:pPr>
              <w:spacing w:after="50" w:before="50" w:line="252" w:lineRule="auto"/>
            </w:pPr>
            <w:r>
              <w:rPr>
                <w:sz w:val="17"/>
              </w:rPr>
              <w:t>Continuous</w:t>
            </w:r>
          </w:p>
        </w:tc>
        <w:tc>
          <w:tcPr>
            <w:tcW w:type="dxa" w:w="1555"/>
          </w:tcPr>
          <w:p>
            <w:pPr>
              <w:spacing w:after="50" w:before="50" w:line="252" w:lineRule="auto"/>
            </w:pPr>
            <w:r>
              <w:rPr>
                <w:sz w:val="17"/>
              </w:rPr>
              <w:t>Finance</w:t>
            </w:r>
          </w:p>
        </w:tc>
      </w:tr>
      <w:tr>
        <w:tc>
          <w:tcPr>
            <w:tcW w:type="dxa" w:w="850"/>
            <w:shd w:val="clear" w:color="auto" w:fill="EAF1F4"/>
          </w:tcPr>
          <w:p>
            <w:pPr>
              <w:spacing w:after="50" w:before="50" w:line="252" w:lineRule="auto"/>
            </w:pPr>
            <w:r>
              <w:rPr>
                <w:sz w:val="17"/>
              </w:rPr>
              <w:t>C4</w:t>
            </w:r>
          </w:p>
        </w:tc>
        <w:tc>
          <w:tcPr>
            <w:tcW w:type="dxa" w:w="5886"/>
            <w:shd w:val="clear" w:color="auto" w:fill="EAF1F4"/>
          </w:tcPr>
          <w:p>
            <w:pPr>
              <w:spacing w:after="50" w:before="50" w:line="252" w:lineRule="auto"/>
            </w:pPr>
            <w:r>
              <w:rPr>
                <w:sz w:val="17"/>
              </w:rPr>
              <w:t>Every refund approved by Finance against the policy</w:t>
            </w:r>
          </w:p>
        </w:tc>
        <w:tc>
          <w:tcPr>
            <w:tcW w:type="dxa" w:w="1438"/>
            <w:shd w:val="clear" w:color="auto" w:fill="EAF1F4"/>
          </w:tcPr>
          <w:p>
            <w:pPr>
              <w:spacing w:after="50" w:before="50" w:line="252" w:lineRule="auto"/>
            </w:pPr>
            <w:r>
              <w:rPr>
                <w:sz w:val="17"/>
              </w:rPr>
              <w:t>Per refund</w:t>
            </w:r>
          </w:p>
        </w:tc>
        <w:tc>
          <w:tcPr>
            <w:tcW w:type="dxa" w:w="1555"/>
            <w:shd w:val="clear" w:color="auto" w:fill="EAF1F4"/>
          </w:tcPr>
          <w:p>
            <w:pPr>
              <w:spacing w:after="50" w:before="50" w:line="252" w:lineRule="auto"/>
            </w:pPr>
            <w:r>
              <w:rPr>
                <w:sz w:val="17"/>
              </w:rPr>
              <w:t>Finance</w:t>
            </w:r>
          </w:p>
        </w:tc>
      </w:tr>
      <w:tr>
        <w:tc>
          <w:tcPr>
            <w:tcW w:type="dxa" w:w="850"/>
          </w:tcPr>
          <w:p>
            <w:pPr>
              <w:spacing w:after="50" w:before="50" w:line="252" w:lineRule="auto"/>
            </w:pPr>
            <w:r>
              <w:rPr>
                <w:sz w:val="17"/>
              </w:rPr>
              <w:t>C5</w:t>
            </w:r>
          </w:p>
        </w:tc>
        <w:tc>
          <w:tcPr>
            <w:tcW w:type="dxa" w:w="5886"/>
          </w:tcPr>
          <w:p>
            <w:pPr>
              <w:spacing w:after="50" w:before="50" w:line="252" w:lineRule="auto"/>
            </w:pPr>
            <w:r>
              <w:rPr>
                <w:sz w:val="17"/>
              </w:rPr>
              <w:t>Every discount evidenced by written approval at the correct level</w:t>
            </w:r>
          </w:p>
        </w:tc>
        <w:tc>
          <w:tcPr>
            <w:tcW w:type="dxa" w:w="1438"/>
          </w:tcPr>
          <w:p>
            <w:pPr>
              <w:spacing w:after="50" w:before="50" w:line="252" w:lineRule="auto"/>
            </w:pPr>
            <w:r>
              <w:rPr>
                <w:sz w:val="17"/>
              </w:rPr>
              <w:t>Per quotation</w:t>
            </w:r>
          </w:p>
        </w:tc>
        <w:tc>
          <w:tcPr>
            <w:tcW w:type="dxa" w:w="1555"/>
          </w:tcPr>
          <w:p>
            <w:pPr>
              <w:spacing w:after="50" w:before="50" w:line="252" w:lineRule="auto"/>
            </w:pPr>
            <w:r>
              <w:rPr>
                <w:sz w:val="17"/>
              </w:rPr>
              <w:t>Finance</w:t>
            </w:r>
          </w:p>
        </w:tc>
      </w:tr>
      <w:tr>
        <w:tc>
          <w:tcPr>
            <w:tcW w:type="dxa" w:w="850"/>
            <w:shd w:val="clear" w:color="auto" w:fill="EAF1F4"/>
          </w:tcPr>
          <w:p>
            <w:pPr>
              <w:spacing w:after="50" w:before="50" w:line="252" w:lineRule="auto"/>
            </w:pPr>
            <w:r>
              <w:rPr>
                <w:sz w:val="17"/>
              </w:rPr>
              <w:t>C6</w:t>
            </w:r>
          </w:p>
        </w:tc>
        <w:tc>
          <w:tcPr>
            <w:tcW w:type="dxa" w:w="5886"/>
            <w:shd w:val="clear" w:color="auto" w:fill="EAF1F4"/>
          </w:tcPr>
          <w:p>
            <w:pPr>
              <w:spacing w:after="50" w:before="50" w:line="252" w:lineRule="auto"/>
            </w:pPr>
            <w:r>
              <w:rPr>
                <w:sz w:val="17"/>
              </w:rPr>
              <w:t>Statements checked by a second person before issue</w:t>
            </w:r>
          </w:p>
        </w:tc>
        <w:tc>
          <w:tcPr>
            <w:tcW w:type="dxa" w:w="1438"/>
            <w:shd w:val="clear" w:color="auto" w:fill="EAF1F4"/>
          </w:tcPr>
          <w:p>
            <w:pPr>
              <w:spacing w:after="50" w:before="50" w:line="252" w:lineRule="auto"/>
            </w:pPr>
            <w:r>
              <w:rPr>
                <w:sz w:val="17"/>
              </w:rPr>
              <w:t>Per statement</w:t>
            </w:r>
          </w:p>
        </w:tc>
        <w:tc>
          <w:tcPr>
            <w:tcW w:type="dxa" w:w="1555"/>
            <w:shd w:val="clear" w:color="auto" w:fill="EAF1F4"/>
          </w:tcPr>
          <w:p>
            <w:pPr>
              <w:spacing w:after="50" w:before="50" w:line="252" w:lineRule="auto"/>
            </w:pPr>
            <w:r>
              <w:rPr>
                <w:sz w:val="17"/>
              </w:rPr>
              <w:t>Finance</w:t>
            </w:r>
          </w:p>
        </w:tc>
      </w:tr>
      <w:tr>
        <w:tc>
          <w:tcPr>
            <w:tcW w:type="dxa" w:w="850"/>
          </w:tcPr>
          <w:p>
            <w:pPr>
              <w:spacing w:after="50" w:before="50" w:line="252" w:lineRule="auto"/>
            </w:pPr>
            <w:r>
              <w:rPr>
                <w:sz w:val="17"/>
              </w:rPr>
              <w:t>C7</w:t>
            </w:r>
          </w:p>
        </w:tc>
        <w:tc>
          <w:tcPr>
            <w:tcW w:type="dxa" w:w="5886"/>
          </w:tcPr>
          <w:p>
            <w:pPr>
              <w:spacing w:after="50" w:before="50" w:line="252" w:lineRule="auto"/>
            </w:pPr>
            <w:r>
              <w:rPr>
                <w:sz w:val="17"/>
              </w:rPr>
              <w:t>Ageing report of unsettled shares reviewed</w:t>
            </w:r>
          </w:p>
        </w:tc>
        <w:tc>
          <w:tcPr>
            <w:tcW w:type="dxa" w:w="1438"/>
          </w:tcPr>
          <w:p>
            <w:pPr>
              <w:spacing w:after="50" w:before="50" w:line="252" w:lineRule="auto"/>
            </w:pPr>
            <w:r>
              <w:rPr>
                <w:sz w:val="17"/>
              </w:rPr>
              <w:t>Monthly</w:t>
            </w:r>
          </w:p>
        </w:tc>
        <w:tc>
          <w:tcPr>
            <w:tcW w:type="dxa" w:w="1555"/>
          </w:tcPr>
          <w:p>
            <w:pPr>
              <w:spacing w:after="50" w:before="50" w:line="252" w:lineRule="auto"/>
            </w:pPr>
            <w:r>
              <w:rPr>
                <w:sz w:val="17"/>
              </w:rPr>
              <w:t>Finance Controller</w:t>
            </w:r>
          </w:p>
        </w:tc>
      </w:tr>
      <w:tr>
        <w:tc>
          <w:tcPr>
            <w:tcW w:type="dxa" w:w="850"/>
            <w:shd w:val="clear" w:color="auto" w:fill="EAF1F4"/>
          </w:tcPr>
          <w:p>
            <w:pPr>
              <w:spacing w:after="50" w:before="50" w:line="252" w:lineRule="auto"/>
            </w:pPr>
            <w:r>
              <w:rPr>
                <w:sz w:val="17"/>
              </w:rPr>
              <w:t>C8</w:t>
            </w:r>
          </w:p>
        </w:tc>
        <w:tc>
          <w:tcPr>
            <w:tcW w:type="dxa" w:w="5886"/>
            <w:shd w:val="clear" w:color="auto" w:fill="EAF1F4"/>
          </w:tcPr>
          <w:p>
            <w:pPr>
              <w:spacing w:after="50" w:before="50" w:line="252" w:lineRule="auto"/>
            </w:pPr>
            <w:r>
              <w:rPr>
                <w:sz w:val="17"/>
              </w:rPr>
              <w:t>Exceptions register of all non-standard splits</w:t>
            </w:r>
          </w:p>
        </w:tc>
        <w:tc>
          <w:tcPr>
            <w:tcW w:type="dxa" w:w="1438"/>
            <w:shd w:val="clear" w:color="auto" w:fill="EAF1F4"/>
          </w:tcPr>
          <w:p>
            <w:pPr>
              <w:spacing w:after="50" w:before="50" w:line="252" w:lineRule="auto"/>
            </w:pPr>
            <w:r>
              <w:rPr>
                <w:sz w:val="17"/>
              </w:rPr>
              <w:t>Quarterly</w:t>
            </w:r>
          </w:p>
        </w:tc>
        <w:tc>
          <w:tcPr>
            <w:tcW w:type="dxa" w:w="1555"/>
            <w:shd w:val="clear" w:color="auto" w:fill="EAF1F4"/>
          </w:tcPr>
          <w:p>
            <w:pPr>
              <w:spacing w:after="50" w:before="50" w:line="252" w:lineRule="auto"/>
            </w:pPr>
            <w:r>
              <w:rPr>
                <w:sz w:val="17"/>
              </w:rPr>
              <w:t>Finance Controller</w:t>
            </w:r>
          </w:p>
        </w:tc>
      </w:tr>
    </w:tbl>
    <w:p>
      <w:pPr>
        <w:spacing w:after="80" w:before="0"/>
      </w:pPr>
    </w:p>
    <w:p>
      <w:pPr>
        <w:spacing w:before="80" w:after="160"/>
        <w:pBdr>
          <w:bottom w:val="single" w:sz="6" w:space="1" w:color="C9D6DE"/>
        </w:pBdr>
      </w:pPr>
    </w:p>
    <w:p>
      <w:pPr>
        <w:pStyle w:val="Heading1"/>
        <w:pBdr>
          <w:bottom w:val="single" w:sz="8" w:space="4" w:color="C9D6DE"/>
        </w:pBdr>
      </w:pPr>
      <w:r>
        <w:t>9. Records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6502"/>
            <w:shd w:val="clear" w:color="auto" w:fill="10375C"/>
          </w:tcPr>
          <w:p>
            <w:pPr>
              <w:spacing w:after="50" w:before="50"/>
            </w:pPr>
            <w:r>
              <w:rPr>
                <w:b/>
                <w:color w:val="FFFFFF"/>
                <w:sz w:val="17"/>
              </w:rPr>
              <w:t>Record</w:t>
            </w:r>
          </w:p>
        </w:tc>
        <w:tc>
          <w:tcPr>
            <w:tcW w:type="dxa" w:w="2965"/>
            <w:shd w:val="clear" w:color="auto" w:fill="10375C"/>
          </w:tcPr>
          <w:p>
            <w:pPr>
              <w:spacing w:after="50" w:before="50"/>
            </w:pPr>
            <w:r>
              <w:rPr>
                <w:b/>
                <w:color w:val="FFFFFF"/>
                <w:sz w:val="17"/>
              </w:rPr>
              <w:t>Retention</w:t>
            </w:r>
          </w:p>
        </w:tc>
      </w:tr>
      <w:tr>
        <w:tc>
          <w:tcPr>
            <w:tcW w:type="dxa" w:w="6502"/>
          </w:tcPr>
          <w:p>
            <w:pPr>
              <w:spacing w:after="50" w:before="50" w:line="252" w:lineRule="auto"/>
            </w:pPr>
            <w:r>
              <w:rPr>
                <w:sz w:val="17"/>
              </w:rPr>
              <w:t>Collection statements and supporting schedules</w:t>
            </w:r>
          </w:p>
        </w:tc>
        <w:tc>
          <w:tcPr>
            <w:tcW w:type="dxa" w:w="2965"/>
          </w:tcPr>
          <w:p>
            <w:pPr>
              <w:spacing w:after="50" w:before="50" w:line="252" w:lineRule="auto"/>
            </w:pPr>
            <w:r>
              <w:rPr>
                <w:sz w:val="17"/>
              </w:rPr>
              <w:t>8 years</w:t>
            </w:r>
          </w:p>
        </w:tc>
      </w:tr>
      <w:tr>
        <w:tc>
          <w:tcPr>
            <w:tcW w:type="dxa" w:w="6502"/>
            <w:shd w:val="clear" w:color="auto" w:fill="EAF1F4"/>
          </w:tcPr>
          <w:p>
            <w:pPr>
              <w:spacing w:after="50" w:before="50" w:line="252" w:lineRule="auto"/>
            </w:pPr>
            <w:r>
              <w:rPr>
                <w:sz w:val="17"/>
              </w:rPr>
              <w:t>Bank and gateway statements</w:t>
            </w:r>
          </w:p>
        </w:tc>
        <w:tc>
          <w:tcPr>
            <w:tcW w:type="dxa" w:w="2965"/>
            <w:shd w:val="clear" w:color="auto" w:fill="EAF1F4"/>
          </w:tcPr>
          <w:p>
            <w:pPr>
              <w:spacing w:after="50" w:before="50" w:line="252" w:lineRule="auto"/>
            </w:pPr>
            <w:r>
              <w:rPr>
                <w:sz w:val="17"/>
              </w:rPr>
              <w:t>8 years</w:t>
            </w:r>
          </w:p>
        </w:tc>
      </w:tr>
      <w:tr>
        <w:tc>
          <w:tcPr>
            <w:tcW w:type="dxa" w:w="6502"/>
          </w:tcPr>
          <w:p>
            <w:pPr>
              <w:spacing w:after="50" w:before="50" w:line="252" w:lineRule="auto"/>
            </w:pPr>
            <w:r>
              <w:rPr>
                <w:sz w:val="17"/>
              </w:rPr>
              <w:t>Refund approvals</w:t>
            </w:r>
          </w:p>
        </w:tc>
        <w:tc>
          <w:tcPr>
            <w:tcW w:type="dxa" w:w="2965"/>
          </w:tcPr>
          <w:p>
            <w:pPr>
              <w:spacing w:after="50" w:before="50" w:line="252" w:lineRule="auto"/>
            </w:pPr>
            <w:r>
              <w:rPr>
                <w:sz w:val="17"/>
              </w:rPr>
              <w:t>8 years</w:t>
            </w:r>
          </w:p>
        </w:tc>
      </w:tr>
      <w:tr>
        <w:tc>
          <w:tcPr>
            <w:tcW w:type="dxa" w:w="6502"/>
            <w:shd w:val="clear" w:color="auto" w:fill="EAF1F4"/>
          </w:tcPr>
          <w:p>
            <w:pPr>
              <w:spacing w:after="50" w:before="50" w:line="252" w:lineRule="auto"/>
            </w:pPr>
            <w:r>
              <w:rPr>
                <w:sz w:val="17"/>
              </w:rPr>
              <w:t>Registration and attendance records</w:t>
            </w:r>
          </w:p>
        </w:tc>
        <w:tc>
          <w:tcPr>
            <w:tcW w:type="dxa" w:w="2965"/>
            <w:shd w:val="clear" w:color="auto" w:fill="EAF1F4"/>
          </w:tcPr>
          <w:p>
            <w:pPr>
              <w:spacing w:after="50" w:before="50" w:line="252" w:lineRule="auto"/>
            </w:pPr>
            <w:r>
              <w:rPr>
                <w:sz w:val="17"/>
              </w:rPr>
              <w:t>7 years</w:t>
            </w:r>
          </w:p>
        </w:tc>
      </w:tr>
      <w:tr>
        <w:tc>
          <w:tcPr>
            <w:tcW w:type="dxa" w:w="6502"/>
          </w:tcPr>
          <w:p>
            <w:pPr>
              <w:spacing w:after="50" w:before="50" w:line="252" w:lineRule="auto"/>
            </w:pPr>
            <w:r>
              <w:rPr>
                <w:sz w:val="17"/>
              </w:rPr>
              <w:t>Certification register</w:t>
            </w:r>
          </w:p>
        </w:tc>
        <w:tc>
          <w:tcPr>
            <w:tcW w:type="dxa" w:w="2965"/>
          </w:tcPr>
          <w:p>
            <w:pPr>
              <w:spacing w:after="50" w:before="50" w:line="252" w:lineRule="auto"/>
            </w:pPr>
            <w:r>
              <w:rPr>
                <w:sz w:val="17"/>
              </w:rPr>
              <w:t>Permanent, minimum data set</w:t>
            </w:r>
          </w:p>
        </w:tc>
      </w:tr>
      <w:tr>
        <w:tc>
          <w:tcPr>
            <w:tcW w:type="dxa" w:w="6502"/>
            <w:shd w:val="clear" w:color="auto" w:fill="EAF1F4"/>
          </w:tcPr>
          <w:p>
            <w:pPr>
              <w:spacing w:after="50" w:before="50" w:line="252" w:lineRule="auto"/>
            </w:pPr>
            <w:r>
              <w:rPr>
                <w:sz w:val="17"/>
              </w:rPr>
              <w:t>Inspection reports</w:t>
            </w:r>
          </w:p>
        </w:tc>
        <w:tc>
          <w:tcPr>
            <w:tcW w:type="dxa" w:w="2965"/>
            <w:shd w:val="clear" w:color="auto" w:fill="EAF1F4"/>
          </w:tcPr>
          <w:p>
            <w:pPr>
              <w:spacing w:after="50" w:before="50" w:line="252" w:lineRule="auto"/>
            </w:pPr>
            <w:r>
              <w:rPr>
                <w:sz w:val="17"/>
              </w:rPr>
              <w:t>8 years</w:t>
            </w:r>
          </w:p>
        </w:tc>
      </w:tr>
      <w:tr>
        <w:tc>
          <w:tcPr>
            <w:tcW w:type="dxa" w:w="6502"/>
          </w:tcPr>
          <w:p>
            <w:pPr>
              <w:spacing w:after="50" w:before="50" w:line="252" w:lineRule="auto"/>
            </w:pPr>
            <w:r>
              <w:rPr>
                <w:sz w:val="17"/>
              </w:rPr>
              <w:t>Correspondence on disputed settlements</w:t>
            </w:r>
          </w:p>
        </w:tc>
        <w:tc>
          <w:tcPr>
            <w:tcW w:type="dxa" w:w="2965"/>
          </w:tcPr>
          <w:p>
            <w:pPr>
              <w:spacing w:after="50" w:before="50" w:line="252" w:lineRule="auto"/>
            </w:pPr>
            <w:r>
              <w:rPr>
                <w:sz w:val="17"/>
              </w:rPr>
              <w:t>8 years</w:t>
            </w:r>
          </w:p>
        </w:tc>
      </w:tr>
    </w:tbl>
    <w:p>
      <w:pPr>
        <w:spacing w:after="80" w:before="0"/>
      </w:pPr>
    </w:p>
    <w:sectPr w:rsidR="00FC693F" w:rsidRPr="0006063C" w:rsidSect="00034616">
      <w:headerReference w:type="default" r:id="rId9"/>
      <w:footerReference w:type="default" r:id="rId10"/>
      <w:pgSz w:w="11906" w:h="16838"/>
      <w:pgMar w:top="1134" w:right="1134" w:bottom="1020" w:left="130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734" w:val="center"/>
        <w:tab w:pos="9468" w:val="right"/>
      </w:tabs>
      <w:pBdr>
        <w:top w:val="single" w:sz="6" w:space="3" w:color="C9D6DE"/>
      </w:pBdr>
    </w:pPr>
    <w:r/>
    <w:r>
      <w:rPr>
        <w:color w:val="595959"/>
        <w:sz w:val="15"/>
      </w:rPr>
      <w:t>EQ-UAP-044  ·  v1.0</w:t>
    </w:r>
    <w:r>
      <w:tab/>
    </w:r>
    <w:r>
      <w:rPr>
        <w:b/>
        <w:color w:val="595959"/>
        <w:sz w:val="15"/>
      </w:rPr>
      <w:t>EQUATOR RESOLUTION</w:t>
    </w:r>
    <w:r>
      <w:tab/>
    </w:r>
    <w:r>
      <w:rPr>
        <w:color w:val="595959"/>
        <w:sz w:val="15"/>
      </w:rPr>
      <w:t xml:space="preserve">Page </w:t>
    </w:r>
    <w:r>
      <w:fldChar w:fldCharType="begin"/>
    </w:r>
    <w:r>
      <w:instrText xml:space="preserve"> PAGE </w:instrText>
    </w:r>
    <w:r>
      <w:fldChar w:fldCharType="separate"/>
    </w:r>
    <w:r>
      <w:rPr>
        <w:color w:val="595959"/>
        <w:sz w:val="15"/>
      </w:rPr>
      <w:t>…</w:t>
    </w:r>
    <w:r>
      <w:fldChar w:fldCharType="end"/>
    </w:r>
    <w:r>
      <w:rPr>
        <w:color w:val="595959"/>
        <w:sz w:val="15"/>
      </w:rPr>
      <w:t xml:space="preserve"> of </w:t>
    </w:r>
    <w:r>
      <w:fldChar w:fldCharType="begin"/>
    </w:r>
    <w:r>
      <w:instrText xml:space="preserve"> NUMPAGES </w:instrText>
    </w:r>
    <w:r>
      <w:fldChar w:fldCharType="separate"/>
    </w:r>
    <w:r>
      <w:rPr>
        <w:color w:val="595959"/>
        <w:sz w:val="15"/>
      </w:rPr>
      <w:t>…</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468" w:val="right"/>
      </w:tabs>
      <w:pBdr>
        <w:bottom w:val="single" w:sz="6" w:space="3" w:color="C9D6DE"/>
      </w:pBdr>
    </w:pPr>
    <w:r/>
    <w:r>
      <w:rPr>
        <w:rFonts w:ascii="Calibri" w:hAnsi="Calibri"/>
        <w:b/>
        <w:color w:val="10375C"/>
        <w:sz w:val="16"/>
      </w:rPr>
      <w:t>Revenue Share, Settlement &amp; Reconciliation SOP</w:t>
    </w:r>
    <w:r>
      <w:rPr>
        <w:rFonts w:ascii="Calibri" w:hAnsi="Calibri"/>
        <w:color w:val="595959"/>
        <w:sz w:val="16"/>
      </w:rPr>
      <w:tab/>
      <w:t>Confidential — Internal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before="0" w:lineRule="auto" w:line="271"/>
    </w:pPr>
    <w:rPr>
      <w:rFonts w:ascii="Calibri" w:hAnsi="Calibri" w:eastAsia="Calibri"/>
      <w:color w:val="2626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60" w:lineRule="auto" w:line="240"/>
      <w:outlineLvl w:val="0"/>
    </w:pPr>
    <w:rPr>
      <w:rFonts w:asciiTheme="majorHAnsi" w:eastAsiaTheme="majorEastAsia" w:hAnsiTheme="majorHAnsi" w:cstheme="majorBidi" w:ascii="Calibri" w:hAnsi="Calibri" w:eastAsia="Calibri"/>
      <w:b/>
      <w:bCs/>
      <w:i w:val="0"/>
      <w:caps w:val="0"/>
      <w:color w:val="10375C"/>
      <w:sz w:val="31"/>
      <w:szCs w:val="28"/>
    </w:rPr>
  </w:style>
  <w:style w:type="paragraph" w:styleId="Heading2">
    <w:name w:val="heading 2"/>
    <w:basedOn w:val="Normal"/>
    <w:next w:val="Normal"/>
    <w:link w:val="Heading2Char"/>
    <w:uiPriority w:val="9"/>
    <w:unhideWhenUsed/>
    <w:qFormat/>
    <w:rsid w:val="00FC693F"/>
    <w:pPr>
      <w:keepNext/>
      <w:keepLines/>
      <w:spacing w:before="320" w:after="100" w:lineRule="auto" w:line="240"/>
      <w:outlineLvl w:val="1"/>
    </w:pPr>
    <w:rPr>
      <w:rFonts w:asciiTheme="majorHAnsi" w:eastAsiaTheme="majorEastAsia" w:hAnsiTheme="majorHAnsi" w:cstheme="majorBidi" w:ascii="Calibri" w:hAnsi="Calibri" w:eastAsia="Calibri"/>
      <w:b/>
      <w:bCs/>
      <w:i w:val="0"/>
      <w:caps w:val="0"/>
      <w:color w:val="0E7C7B"/>
      <w:sz w:val="25"/>
      <w:szCs w:val="26"/>
    </w:rPr>
  </w:style>
  <w:style w:type="paragraph" w:styleId="Heading3">
    <w:name w:val="heading 3"/>
    <w:basedOn w:val="Normal"/>
    <w:next w:val="Normal"/>
    <w:link w:val="Heading3Char"/>
    <w:uiPriority w:val="9"/>
    <w:unhideWhenUsed/>
    <w:qFormat/>
    <w:rsid w:val="00FC693F"/>
    <w:pPr>
      <w:keepNext/>
      <w:keepLines/>
      <w:spacing w:before="260" w:after="80" w:lineRule="auto" w:line="240"/>
      <w:outlineLvl w:val="2"/>
    </w:pPr>
    <w:rPr>
      <w:rFonts w:asciiTheme="majorHAnsi" w:eastAsiaTheme="majorEastAsia" w:hAnsiTheme="majorHAnsi" w:cstheme="majorBidi" w:ascii="Calibri" w:hAnsi="Calibri" w:eastAsia="Calibri"/>
      <w:b/>
      <w:bCs/>
      <w:i w:val="0"/>
      <w:caps w:val="0"/>
      <w:color w:val="10375C"/>
      <w:sz w:val="22"/>
    </w:rPr>
  </w:style>
  <w:style w:type="paragraph" w:styleId="Heading4">
    <w:name w:val="heading 4"/>
    <w:basedOn w:val="Normal"/>
    <w:next w:val="Normal"/>
    <w:link w:val="Heading4Char"/>
    <w:uiPriority w:val="9"/>
    <w:semiHidden/>
    <w:unhideWhenUsed/>
    <w:qFormat/>
    <w:rsid w:val="00FC693F"/>
    <w:pPr>
      <w:keepNext/>
      <w:keepLines/>
      <w:spacing w:before="220" w:after="60" w:lineRule="auto" w:line="240"/>
      <w:outlineLvl w:val="3"/>
    </w:pPr>
    <w:rPr>
      <w:rFonts w:asciiTheme="majorHAnsi" w:eastAsiaTheme="majorEastAsia" w:hAnsiTheme="majorHAnsi" w:cstheme="majorBidi" w:ascii="Calibri" w:hAnsi="Calibri" w:eastAsia="Calibri"/>
      <w:b/>
      <w:bCs/>
      <w:i/>
      <w:iCs/>
      <w:caps w:val="0"/>
      <w:color w:val="595959"/>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contextualSpacing/>
    </w:pPr>
    <w:rPr>
      <w:rFonts w:ascii="Calibri" w:hAnsi="Calibri"/>
      <w:color w:val="262626"/>
      <w:sz w:val="21"/>
    </w:rPr>
  </w:style>
  <w:style w:type="paragraph" w:styleId="ListBullet2">
    <w:name w:val="List Bullet 2"/>
    <w:basedOn w:val="Normal"/>
    <w:uiPriority w:val="99"/>
    <w:unhideWhenUsed/>
    <w:rsid w:val="00326F90"/>
    <w:pPr>
      <w:numPr>
        <w:numId w:val="2"/>
      </w:numPr>
      <w:spacing w:after="40"/>
      <w:contextualSpacing/>
    </w:pPr>
    <w:rPr>
      <w:rFonts w:ascii="Calibri" w:hAnsi="Calibri"/>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4" w:lineRule="auto"/>
      <w:contextualSpacing/>
    </w:pPr>
    <w:rPr>
      <w:rFonts w:ascii="Calibri" w:hAnsi="Calibri"/>
      <w:color w:val="262626"/>
      <w:sz w:val="21"/>
    </w:rPr>
  </w:style>
  <w:style w:type="paragraph" w:styleId="ListNumber2">
    <w:name w:val="List Number 2"/>
    <w:basedOn w:val="Normal"/>
    <w:uiPriority w:val="99"/>
    <w:unhideWhenUsed/>
    <w:rsid w:val="0029639D"/>
    <w:pPr>
      <w:numPr>
        <w:numId w:val="6"/>
      </w:numPr>
      <w:spacing w:after="40"/>
      <w:contextualSpacing/>
    </w:pPr>
    <w:rPr>
      <w:rFonts w:ascii="Calibri" w:hAnsi="Calibri"/>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3D5D88ED318E546B0BAD9611B3061C9" ma:contentTypeVersion="9" ma:contentTypeDescription="Create a new document." ma:contentTypeScope="" ma:versionID="d50db782a5ec69b02a0131a0f200a05c">
  <xsd:schema xmlns:xsd="http://www.w3.org/2001/XMLSchema" xmlns:xs="http://www.w3.org/2001/XMLSchema" xmlns:p="http://schemas.microsoft.com/office/2006/metadata/properties" xmlns:ns2="30dddea4-ca15-4972-99ca-320a89f10386" targetNamespace="http://schemas.microsoft.com/office/2006/metadata/properties" ma:root="true" ma:fieldsID="2e09d9990d161d2f2733b865e15bb167" ns2:_="">
    <xsd:import namespace="30dddea4-ca15-4972-99ca-320a89f103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ddea4-ca15-4972-99ca-320a89f103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dddea4-ca15-4972-99ca-320a89f103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93EB4D4F-426B-4542-939F-B590A199D01C}"/>
</file>

<file path=customXml/itemProps3.xml><?xml version="1.0" encoding="utf-8"?>
<ds:datastoreItem xmlns:ds="http://schemas.openxmlformats.org/officeDocument/2006/customXml" ds:itemID="{B30DC877-60D8-4189-86AF-263E8A8D306F}"/>
</file>

<file path=customXml/itemProps4.xml><?xml version="1.0" encoding="utf-8"?>
<ds:datastoreItem xmlns:ds="http://schemas.openxmlformats.org/officeDocument/2006/customXml" ds:itemID="{0B1F1114-5659-4689-A422-782EB2008A28}"/>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0x01010053D5D88ED318E546B0BAD9611B3061C9</vt:lpwstr>
  </property>
</Properties>
</file>