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Event Budgeting &amp; Cost-Split Matrix</w:t>
      </w:r>
    </w:p>
    <w:p>
      <w:pPr>
        <w:spacing w:after="280" w:line="276" w:lineRule="auto"/>
      </w:pPr>
      <w:r>
        <w:rPr>
          <w:rFonts w:ascii="Calibri" w:hAnsi="Calibri"/>
          <w:i/>
          <w:color w:val="3E6B8A"/>
          <w:sz w:val="25"/>
        </w:rPr>
        <w:t>Budget templates, the standard allocation of cost between Equator and the host institution, and the approval thresholds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Rules</w:t>
      </w:r>
    </w:p>
    <w:p>
      <w:pPr>
        <w:pStyle w:val="ListNumber"/>
      </w:pPr>
      <w:r>
        <w:rPr>
          <w:b/>
          <w:sz w:val="21"/>
        </w:rPr>
        <w:t>No event is announced before its budget is approved.</w:t>
      </w:r>
      <w:r>
        <w:rPr>
          <w:sz w:val="21"/>
        </w:rPr>
        <w:t xml:space="preserve"> This is the most frequently broken rule and the most expensive.</w:t>
      </w:r>
    </w:p>
    <w:p>
      <w:pPr>
        <w:pStyle w:val="ListNumber"/>
      </w:pPr>
      <w:r>
        <w:rPr>
          <w:sz w:val="21"/>
        </w:rPr>
        <w:t>Every event has a single named budget owner.</w:t>
      </w:r>
    </w:p>
    <w:p>
      <w:pPr>
        <w:pStyle w:val="ListNumber"/>
      </w:pPr>
      <w:r>
        <w:rPr>
          <w:sz w:val="21"/>
        </w:rPr>
        <w:t>The cost-split is agreed in writing before any commitment is made to a third party.</w:t>
      </w:r>
    </w:p>
    <w:p>
      <w:pPr>
        <w:pStyle w:val="ListNumber"/>
      </w:pPr>
      <w:r>
        <w:rPr>
          <w:sz w:val="21"/>
        </w:rPr>
        <w:t>Contingency of 10% is included in every budget and is not spent without the budget owner's approval.</w:t>
      </w:r>
    </w:p>
    <w:p>
      <w:pPr>
        <w:pStyle w:val="ListNumber"/>
      </w:pPr>
      <w:r>
        <w:rPr>
          <w:sz w:val="21"/>
        </w:rPr>
        <w:t>Sponsorship is recognised only when contracted in writing, never when indicated.</w:t>
      </w:r>
    </w:p>
    <w:p>
      <w:pPr>
        <w:pStyle w:val="ListNumber"/>
      </w:pPr>
      <w:r>
        <w:rPr>
          <w:sz w:val="21"/>
        </w:rPr>
        <w:t>Actuals are reconciled against budget within thirty days, and the variance is reported.</w:t>
      </w:r>
    </w:p>
    <w:p>
      <w:pPr>
        <w:spacing w:before="80" w:after="160"/>
        <w:pBdr>
          <w:bottom w:val="single" w:sz="6" w:space="1" w:color="C9D6DE"/>
        </w:pBdr>
      </w:pPr>
    </w:p>
    <w:p>
      <w:pPr>
        <w:pStyle w:val="Heading1"/>
        <w:pBdr>
          <w:bottom w:val="single" w:sz="8" w:space="4" w:color="C9D6DE"/>
        </w:pBdr>
      </w:pPr>
      <w:r>
        <w:t>2. Standard cost-split matrix</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319"/>
            <w:shd w:val="clear" w:color="auto" w:fill="10375C"/>
          </w:tcPr>
          <w:p>
            <w:pPr>
              <w:spacing w:after="50" w:before="50"/>
            </w:pPr>
            <w:r>
              <w:rPr>
                <w:b/>
                <w:color w:val="FFFFFF"/>
                <w:sz w:val="17"/>
              </w:rPr>
              <w:t>Cost line</w:t>
            </w:r>
          </w:p>
        </w:tc>
        <w:tc>
          <w:tcPr>
            <w:tcW w:type="dxa" w:w="1625"/>
            <w:shd w:val="clear" w:color="auto" w:fill="10375C"/>
          </w:tcPr>
          <w:p>
            <w:pPr>
              <w:spacing w:after="50" w:before="50"/>
            </w:pPr>
            <w:r>
              <w:rPr>
                <w:b/>
                <w:color w:val="FFFFFF"/>
                <w:sz w:val="17"/>
              </w:rPr>
              <w:t>Host institution</w:t>
            </w:r>
          </w:p>
        </w:tc>
        <w:tc>
          <w:tcPr>
            <w:tcW w:type="dxa" w:w="850"/>
            <w:shd w:val="clear" w:color="auto" w:fill="10375C"/>
          </w:tcPr>
          <w:p>
            <w:pPr>
              <w:spacing w:after="50" w:before="50"/>
            </w:pPr>
            <w:r>
              <w:rPr>
                <w:b/>
                <w:color w:val="FFFFFF"/>
                <w:sz w:val="17"/>
              </w:rPr>
              <w:t>Equator</w:t>
            </w:r>
          </w:p>
        </w:tc>
        <w:tc>
          <w:tcPr>
            <w:tcW w:type="dxa" w:w="2970"/>
            <w:shd w:val="clear" w:color="auto" w:fill="10375C"/>
          </w:tcPr>
          <w:p>
            <w:pPr>
              <w:spacing w:after="50" w:before="50"/>
            </w:pPr>
            <w:r>
              <w:rPr>
                <w:b/>
                <w:color w:val="FFFFFF"/>
                <w:sz w:val="17"/>
              </w:rPr>
              <w:t>Notes</w:t>
            </w:r>
          </w:p>
        </w:tc>
      </w:tr>
      <w:tr>
        <w:tc>
          <w:tcPr>
            <w:tcW w:type="dxa" w:w="4319"/>
          </w:tcPr>
          <w:p>
            <w:pPr>
              <w:spacing w:after="50" w:before="50" w:line="252" w:lineRule="auto"/>
            </w:pPr>
            <w:r>
              <w:rPr>
                <w:sz w:val="17"/>
              </w:rPr>
              <w:t>Venue, halls, breakout rooms</w:t>
            </w:r>
          </w:p>
        </w:tc>
        <w:tc>
          <w:tcPr>
            <w:tcW w:type="dxa" w:w="1625"/>
          </w:tcPr>
          <w:p>
            <w:pPr>
              <w:spacing w:after="50" w:before="50" w:line="252" w:lineRule="auto"/>
            </w:pPr>
            <w:r>
              <w:rPr>
                <w:sz w:val="17"/>
              </w:rPr>
              <w:t>✔</w:t>
            </w:r>
          </w:p>
        </w:tc>
        <w:tc>
          <w:tcPr>
            <w:tcW w:type="dxa" w:w="850"/>
          </w:tcPr>
          <w:p>
            <w:pPr>
              <w:spacing w:after="50" w:before="50" w:line="252" w:lineRule="auto"/>
            </w:pPr>
          </w:p>
        </w:tc>
        <w:tc>
          <w:tcPr>
            <w:tcW w:type="dxa" w:w="2970"/>
          </w:tcPr>
          <w:p>
            <w:pPr>
              <w:spacing w:after="50" w:before="50" w:line="252" w:lineRule="auto"/>
            </w:pPr>
            <w:r>
              <w:rPr>
                <w:sz w:val="17"/>
              </w:rPr>
              <w:t>The principal institutional contribution</w:t>
            </w:r>
          </w:p>
        </w:tc>
      </w:tr>
      <w:tr>
        <w:tc>
          <w:tcPr>
            <w:tcW w:type="dxa" w:w="4319"/>
            <w:shd w:val="clear" w:color="auto" w:fill="EAF1F4"/>
          </w:tcPr>
          <w:p>
            <w:pPr>
              <w:spacing w:after="50" w:before="50" w:line="252" w:lineRule="auto"/>
            </w:pPr>
            <w:r>
              <w:rPr>
                <w:sz w:val="17"/>
              </w:rPr>
              <w:t>Power, air conditioning, lighting</w:t>
            </w:r>
          </w:p>
        </w:tc>
        <w:tc>
          <w:tcPr>
            <w:tcW w:type="dxa" w:w="1625"/>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Audio-visual, projection, public address</w:t>
            </w:r>
          </w:p>
        </w:tc>
        <w:tc>
          <w:tcPr>
            <w:tcW w:type="dxa" w:w="1625"/>
          </w:tcPr>
          <w:p>
            <w:pPr>
              <w:spacing w:after="50" w:before="50" w:line="252" w:lineRule="auto"/>
            </w:pPr>
            <w:r>
              <w:rPr>
                <w:sz w:val="17"/>
              </w:rPr>
              <w:t>✔</w:t>
            </w:r>
          </w:p>
        </w:tc>
        <w:tc>
          <w:tcPr>
            <w:tcW w:type="dxa" w:w="850"/>
          </w:tcPr>
          <w:p>
            <w:pPr>
              <w:spacing w:after="50" w:before="50" w:line="252" w:lineRule="auto"/>
            </w:pPr>
          </w:p>
        </w:tc>
        <w:tc>
          <w:tcPr>
            <w:tcW w:type="dxa" w:w="2970"/>
          </w:tcPr>
          <w:p>
            <w:pPr>
              <w:spacing w:after="50" w:before="50" w:line="252" w:lineRule="auto"/>
            </w:pPr>
            <w:r>
              <w:rPr>
                <w:sz w:val="17"/>
              </w:rPr>
              <w:t>Equator supplies specialist equipment if required</w:t>
            </w:r>
          </w:p>
        </w:tc>
      </w:tr>
      <w:tr>
        <w:tc>
          <w:tcPr>
            <w:tcW w:type="dxa" w:w="4319"/>
            <w:shd w:val="clear" w:color="auto" w:fill="EAF1F4"/>
          </w:tcPr>
          <w:p>
            <w:pPr>
              <w:spacing w:after="50" w:before="50" w:line="252" w:lineRule="auto"/>
            </w:pPr>
            <w:r>
              <w:rPr>
                <w:sz w:val="17"/>
              </w:rPr>
              <w:t>Housekeeping, security, first aid</w:t>
            </w:r>
          </w:p>
        </w:tc>
        <w:tc>
          <w:tcPr>
            <w:tcW w:type="dxa" w:w="1625"/>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2970"/>
            <w:shd w:val="clear" w:color="auto" w:fill="EAF1F4"/>
          </w:tcPr>
          <w:p>
            <w:pPr>
              <w:spacing w:after="50" w:before="50" w:line="252" w:lineRule="auto"/>
            </w:pPr>
            <w:r>
              <w:rPr>
                <w:sz w:val="17"/>
              </w:rPr>
              <w:t>Institutional statutory responsibility</w:t>
            </w:r>
          </w:p>
        </w:tc>
      </w:tr>
      <w:tr>
        <w:tc>
          <w:tcPr>
            <w:tcW w:type="dxa" w:w="4319"/>
          </w:tcPr>
          <w:p>
            <w:pPr>
              <w:spacing w:after="50" w:before="50" w:line="252" w:lineRule="auto"/>
            </w:pPr>
            <w:r>
              <w:rPr>
                <w:sz w:val="17"/>
              </w:rPr>
              <w:t>Student volunteers</w:t>
            </w:r>
          </w:p>
        </w:tc>
        <w:tc>
          <w:tcPr>
            <w:tcW w:type="dxa" w:w="1625"/>
          </w:tcPr>
          <w:p>
            <w:pPr>
              <w:spacing w:after="50" w:before="50" w:line="252" w:lineRule="auto"/>
            </w:pPr>
            <w:r>
              <w:rPr>
                <w:sz w:val="17"/>
              </w:rPr>
              <w:t>✔</w:t>
            </w:r>
          </w:p>
        </w:tc>
        <w:tc>
          <w:tcPr>
            <w:tcW w:type="dxa" w:w="850"/>
          </w:tcPr>
          <w:p>
            <w:pPr>
              <w:spacing w:after="50" w:before="50" w:line="252" w:lineRule="auto"/>
            </w:pPr>
          </w:p>
        </w:tc>
        <w:tc>
          <w:tcPr>
            <w:tcW w:type="dxa" w:w="2970"/>
          </w:tcPr>
          <w:p>
            <w:pPr>
              <w:spacing w:after="50" w:before="50" w:line="252" w:lineRule="auto"/>
            </w:pPr>
            <w:r>
              <w:rPr>
                <w:sz w:val="17"/>
              </w:rPr>
              <w:t>Briefed and supervised by Equator</w:t>
            </w:r>
          </w:p>
        </w:tc>
      </w:tr>
      <w:tr>
        <w:tc>
          <w:tcPr>
            <w:tcW w:type="dxa" w:w="4319"/>
            <w:shd w:val="clear" w:color="auto" w:fill="EAF1F4"/>
          </w:tcPr>
          <w:p>
            <w:pPr>
              <w:spacing w:after="50" w:before="50" w:line="252" w:lineRule="auto"/>
            </w:pPr>
            <w:r>
              <w:rPr>
                <w:sz w:val="17"/>
              </w:rPr>
              <w:t>Hostel accommodation for teams</w:t>
            </w:r>
          </w:p>
        </w:tc>
        <w:tc>
          <w:tcPr>
            <w:tcW w:type="dxa" w:w="1625"/>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2970"/>
            <w:shd w:val="clear" w:color="auto" w:fill="EAF1F4"/>
          </w:tcPr>
          <w:p>
            <w:pPr>
              <w:spacing w:after="50" w:before="50" w:line="252" w:lineRule="auto"/>
            </w:pPr>
            <w:r>
              <w:rPr>
                <w:sz w:val="17"/>
              </w:rPr>
              <w:t>At the rate in Schedule H</w:t>
            </w:r>
          </w:p>
        </w:tc>
      </w:tr>
      <w:tr>
        <w:tc>
          <w:tcPr>
            <w:tcW w:type="dxa" w:w="4319"/>
          </w:tcPr>
          <w:p>
            <w:pPr>
              <w:spacing w:after="50" w:before="50" w:line="252" w:lineRule="auto"/>
            </w:pPr>
            <w:r>
              <w:rPr>
                <w:sz w:val="17"/>
              </w:rPr>
              <w:t>Local transport for guests within the city</w:t>
            </w:r>
          </w:p>
        </w:tc>
        <w:tc>
          <w:tcPr>
            <w:tcW w:type="dxa" w:w="1625"/>
          </w:tcPr>
          <w:p>
            <w:pPr>
              <w:spacing w:after="50" w:before="50" w:line="252" w:lineRule="auto"/>
            </w:pPr>
            <w:r>
              <w:rPr>
                <w:sz w:val="17"/>
              </w:rPr>
              <w:t>✔</w:t>
            </w:r>
          </w:p>
        </w:tc>
        <w:tc>
          <w:tcPr>
            <w:tcW w:type="dxa" w:w="850"/>
          </w:tcPr>
          <w:p>
            <w:pPr>
              <w:spacing w:after="50" w:before="50" w:line="252" w:lineRule="auto"/>
            </w:pP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Internal permissions and clearances</w:t>
            </w:r>
          </w:p>
        </w:tc>
        <w:tc>
          <w:tcPr>
            <w:tcW w:type="dxa" w:w="1625"/>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Programme design and content</w:t>
            </w:r>
          </w:p>
        </w:tc>
        <w:tc>
          <w:tcPr>
            <w:tcW w:type="dxa" w:w="1625"/>
          </w:tcPr>
          <w:p>
            <w:pPr>
              <w:spacing w:after="50" w:before="50" w:line="252" w:lineRule="auto"/>
            </w:pPr>
          </w:p>
        </w:tc>
        <w:tc>
          <w:tcPr>
            <w:tcW w:type="dxa" w:w="850"/>
          </w:tcPr>
          <w:p>
            <w:pPr>
              <w:spacing w:after="50" w:before="50" w:line="252" w:lineRule="auto"/>
            </w:pPr>
            <w:r>
              <w:rPr>
                <w:sz w:val="17"/>
              </w:rPr>
              <w:t>✔</w:t>
            </w: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Competition problem and materials</w:t>
            </w:r>
          </w:p>
        </w:tc>
        <w:tc>
          <w:tcPr>
            <w:tcW w:type="dxa" w:w="1625"/>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Speakers, judges, trainers and their fees</w:t>
            </w:r>
          </w:p>
        </w:tc>
        <w:tc>
          <w:tcPr>
            <w:tcW w:type="dxa" w:w="1625"/>
          </w:tcPr>
          <w:p>
            <w:pPr>
              <w:spacing w:after="50" w:before="50" w:line="252" w:lineRule="auto"/>
            </w:pPr>
          </w:p>
        </w:tc>
        <w:tc>
          <w:tcPr>
            <w:tcW w:type="dxa" w:w="850"/>
          </w:tcPr>
          <w:p>
            <w:pPr>
              <w:spacing w:after="50" w:before="50" w:line="252" w:lineRule="auto"/>
            </w:pPr>
            <w:r>
              <w:rPr>
                <w:sz w:val="17"/>
              </w:rPr>
              <w:t>✔</w:t>
            </w: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Speaker and judge outstation travel</w:t>
            </w:r>
          </w:p>
        </w:tc>
        <w:tc>
          <w:tcPr>
            <w:tcW w:type="dxa" w:w="1625"/>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Outstation accommodation for Equator personnel</w:t>
            </w:r>
          </w:p>
        </w:tc>
        <w:tc>
          <w:tcPr>
            <w:tcW w:type="dxa" w:w="1625"/>
          </w:tcPr>
          <w:p>
            <w:pPr>
              <w:spacing w:after="50" w:before="50" w:line="252" w:lineRule="auto"/>
            </w:pPr>
          </w:p>
        </w:tc>
        <w:tc>
          <w:tcPr>
            <w:tcW w:type="dxa" w:w="850"/>
          </w:tcPr>
          <w:p>
            <w:pPr>
              <w:spacing w:after="50" w:before="50" w:line="252" w:lineRule="auto"/>
            </w:pPr>
            <w:r>
              <w:rPr>
                <w:sz w:val="17"/>
              </w:rPr>
              <w:t>✔</w:t>
            </w: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Participant materials, badges, certificates</w:t>
            </w:r>
          </w:p>
        </w:tc>
        <w:tc>
          <w:tcPr>
            <w:tcW w:type="dxa" w:w="1625"/>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Registration and scoring systems</w:t>
            </w:r>
          </w:p>
        </w:tc>
        <w:tc>
          <w:tcPr>
            <w:tcW w:type="dxa" w:w="1625"/>
          </w:tcPr>
          <w:p>
            <w:pPr>
              <w:spacing w:after="50" w:before="50" w:line="252" w:lineRule="auto"/>
            </w:pPr>
          </w:p>
        </w:tc>
        <w:tc>
          <w:tcPr>
            <w:tcW w:type="dxa" w:w="850"/>
          </w:tcPr>
          <w:p>
            <w:pPr>
              <w:spacing w:after="50" w:before="50" w:line="252" w:lineRule="auto"/>
            </w:pPr>
            <w:r>
              <w:rPr>
                <w:sz w:val="17"/>
              </w:rPr>
              <w:t>✔</w:t>
            </w: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Branding, backdrop, standees, signage</w:t>
            </w:r>
          </w:p>
        </w:tc>
        <w:tc>
          <w:tcPr>
            <w:tcW w:type="dxa" w:w="1625"/>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Photography and videography</w:t>
            </w:r>
          </w:p>
        </w:tc>
        <w:tc>
          <w:tcPr>
            <w:tcW w:type="dxa" w:w="1625"/>
          </w:tcPr>
          <w:p>
            <w:pPr>
              <w:spacing w:after="50" w:before="50" w:line="252" w:lineRule="auto"/>
            </w:pPr>
          </w:p>
        </w:tc>
        <w:tc>
          <w:tcPr>
            <w:tcW w:type="dxa" w:w="850"/>
          </w:tcPr>
          <w:p>
            <w:pPr>
              <w:spacing w:after="50" w:before="50" w:line="252" w:lineRule="auto"/>
            </w:pPr>
            <w:r>
              <w:rPr>
                <w:sz w:val="17"/>
              </w:rPr>
              <w:t>✔</w:t>
            </w: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Trophies and prize money</w:t>
            </w:r>
          </w:p>
        </w:tc>
        <w:tc>
          <w:tcPr>
            <w:tcW w:type="dxa" w:w="1625"/>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c>
          <w:tcPr>
            <w:tcW w:type="dxa" w:w="2970"/>
            <w:shd w:val="clear" w:color="auto" w:fill="EAF1F4"/>
          </w:tcPr>
          <w:p>
            <w:pPr>
              <w:spacing w:after="50" w:before="50" w:line="252" w:lineRule="auto"/>
            </w:pPr>
          </w:p>
        </w:tc>
      </w:tr>
      <w:tr>
        <w:tc>
          <w:tcPr>
            <w:tcW w:type="dxa" w:w="4319"/>
          </w:tcPr>
          <w:p>
            <w:pPr>
              <w:spacing w:after="50" w:before="50" w:line="252" w:lineRule="auto"/>
            </w:pPr>
            <w:r>
              <w:rPr>
                <w:sz w:val="17"/>
              </w:rPr>
              <w:t>Post-event report</w:t>
            </w:r>
          </w:p>
        </w:tc>
        <w:tc>
          <w:tcPr>
            <w:tcW w:type="dxa" w:w="1625"/>
          </w:tcPr>
          <w:p>
            <w:pPr>
              <w:spacing w:after="50" w:before="50" w:line="252" w:lineRule="auto"/>
            </w:pPr>
          </w:p>
        </w:tc>
        <w:tc>
          <w:tcPr>
            <w:tcW w:type="dxa" w:w="850"/>
          </w:tcPr>
          <w:p>
            <w:pPr>
              <w:spacing w:after="50" w:before="50" w:line="252" w:lineRule="auto"/>
            </w:pPr>
            <w:r>
              <w:rPr>
                <w:sz w:val="17"/>
              </w:rPr>
              <w:t>✔</w:t>
            </w:r>
          </w:p>
        </w:tc>
        <w:tc>
          <w:tcPr>
            <w:tcW w:type="dxa" w:w="2970"/>
          </w:tcPr>
          <w:p>
            <w:pPr>
              <w:spacing w:after="50" w:before="50" w:line="252" w:lineRule="auto"/>
            </w:pPr>
          </w:p>
        </w:tc>
      </w:tr>
      <w:tr>
        <w:tc>
          <w:tcPr>
            <w:tcW w:type="dxa" w:w="4319"/>
            <w:shd w:val="clear" w:color="auto" w:fill="EAF1F4"/>
          </w:tcPr>
          <w:p>
            <w:pPr>
              <w:spacing w:after="50" w:before="50" w:line="252" w:lineRule="auto"/>
            </w:pPr>
            <w:r>
              <w:rPr>
                <w:sz w:val="17"/>
              </w:rPr>
              <w:t>Refreshments and meals</w:t>
            </w:r>
          </w:p>
        </w:tc>
        <w:tc>
          <w:tcPr>
            <w:tcW w:type="dxa" w:w="1625"/>
            <w:shd w:val="clear" w:color="auto" w:fill="EAF1F4"/>
          </w:tcPr>
          <w:p>
            <w:pPr>
              <w:spacing w:after="50" w:before="50" w:line="252" w:lineRule="auto"/>
            </w:pPr>
            <w:r>
              <w:rPr>
                <w:sz w:val="17"/>
              </w:rPr>
              <w:t>Agreed per event, recorded in the budget</w:t>
            </w:r>
          </w:p>
        </w:tc>
        <w:tc>
          <w:tcPr>
            <w:tcW w:type="dxa" w:w="850"/>
            <w:shd w:val="clear" w:color="auto" w:fill="EAF1F4"/>
          </w:tcPr>
          <w:p>
            <w:pPr>
              <w:spacing w:after="50" w:before="50" w:line="252" w:lineRule="auto"/>
            </w:pPr>
          </w:p>
        </w:tc>
        <w:tc>
          <w:tcPr>
            <w:tcW w:type="dxa" w:w="2970"/>
            <w:shd w:val="clear" w:color="auto" w:fill="EAF1F4"/>
          </w:tcPr>
          <w:p>
            <w:pPr>
              <w:spacing w:after="50" w:before="50" w:line="252" w:lineRule="auto"/>
            </w:pPr>
            <w:r>
              <w:rPr>
                <w:sz w:val="17"/>
              </w:rPr>
              <w:t>Most commonly split by headcount</w:t>
            </w:r>
          </w:p>
        </w:tc>
      </w:tr>
      <w:tr>
        <w:tc>
          <w:tcPr>
            <w:tcW w:type="dxa" w:w="4319"/>
          </w:tcPr>
          <w:p>
            <w:pPr>
              <w:spacing w:after="50" w:before="50" w:line="252" w:lineRule="auto"/>
            </w:pPr>
            <w:r>
              <w:rPr>
                <w:sz w:val="17"/>
              </w:rPr>
              <w:t>Sponsorship solicitation</w:t>
            </w:r>
          </w:p>
        </w:tc>
        <w:tc>
          <w:tcPr>
            <w:tcW w:type="dxa" w:w="1625"/>
          </w:tcPr>
          <w:p>
            <w:pPr>
              <w:spacing w:after="50" w:before="50" w:line="252" w:lineRule="auto"/>
            </w:pPr>
            <w:r>
              <w:rPr>
                <w:sz w:val="17"/>
              </w:rPr>
              <w:t>Agreed per event</w:t>
            </w:r>
          </w:p>
        </w:tc>
        <w:tc>
          <w:tcPr>
            <w:tcW w:type="dxa" w:w="850"/>
          </w:tcPr>
          <w:p>
            <w:pPr>
              <w:spacing w:after="50" w:before="50" w:line="252" w:lineRule="auto"/>
            </w:pPr>
          </w:p>
        </w:tc>
        <w:tc>
          <w:tcPr>
            <w:tcW w:type="dxa" w:w="2970"/>
          </w:tcPr>
          <w:p>
            <w:pPr>
              <w:spacing w:after="50" w:before="50" w:line="252" w:lineRule="auto"/>
            </w:pPr>
            <w:r>
              <w:rPr>
                <w:sz w:val="17"/>
              </w:rPr>
              <w:t>Neither approaches a sponsor without notice to the other</w:t>
            </w:r>
          </w:p>
        </w:tc>
      </w:tr>
    </w:tbl>
    <w:p>
      <w:pPr>
        <w:spacing w:after="80" w:before="0"/>
      </w:pPr>
    </w:p>
    <w:p>
      <w:pPr>
        <w:spacing w:before="80" w:after="160"/>
        <w:pBdr>
          <w:bottom w:val="single" w:sz="6" w:space="1" w:color="C9D6DE"/>
        </w:pBdr>
      </w:pPr>
    </w:p>
    <w:p>
      <w:pPr>
        <w:pStyle w:val="Heading1"/>
        <w:pBdr>
          <w:bottom w:val="single" w:sz="8" w:space="4" w:color="C9D6DE"/>
        </w:pBdr>
      </w:pPr>
      <w:r>
        <w:t>3. Budget template — competition, national edition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81"/>
            <w:shd w:val="clear" w:color="auto" w:fill="10375C"/>
          </w:tcPr>
          <w:p>
            <w:pPr>
              <w:spacing w:after="50" w:before="50"/>
            </w:pPr>
            <w:r>
              <w:rPr>
                <w:b/>
                <w:color w:val="FFFFFF"/>
                <w:sz w:val="17"/>
              </w:rPr>
              <w:t>#</w:t>
            </w:r>
          </w:p>
        </w:tc>
        <w:tc>
          <w:tcPr>
            <w:tcW w:type="dxa" w:w="4501"/>
            <w:shd w:val="clear" w:color="auto" w:fill="10375C"/>
          </w:tcPr>
          <w:p>
            <w:pPr>
              <w:spacing w:after="50" w:before="50"/>
            </w:pPr>
            <w:r>
              <w:rPr>
                <w:b/>
                <w:color w:val="FFFFFF"/>
                <w:sz w:val="17"/>
              </w:rPr>
              <w:t>Line</w:t>
            </w:r>
          </w:p>
        </w:tc>
        <w:tc>
          <w:tcPr>
            <w:tcW w:type="dxa" w:w="995"/>
            <w:shd w:val="clear" w:color="auto" w:fill="10375C"/>
          </w:tcPr>
          <w:p>
            <w:pPr>
              <w:spacing w:after="50" w:before="50"/>
            </w:pPr>
            <w:r>
              <w:rPr>
                <w:b/>
                <w:color w:val="FFFFFF"/>
                <w:sz w:val="17"/>
              </w:rPr>
              <w:t>Basis</w:t>
            </w:r>
          </w:p>
        </w:tc>
        <w:tc>
          <w:tcPr>
            <w:tcW w:type="dxa" w:w="850"/>
            <w:shd w:val="clear" w:color="auto" w:fill="10375C"/>
          </w:tcPr>
          <w:p>
            <w:pPr>
              <w:spacing w:after="50" w:before="50"/>
            </w:pPr>
            <w:r>
              <w:rPr>
                <w:b/>
                <w:color w:val="FFFFFF"/>
                <w:sz w:val="17"/>
              </w:rPr>
              <w:t>Budget</w:t>
            </w:r>
          </w:p>
        </w:tc>
        <w:tc>
          <w:tcPr>
            <w:tcW w:type="dxa" w:w="850"/>
            <w:shd w:val="clear" w:color="auto" w:fill="10375C"/>
          </w:tcPr>
          <w:p>
            <w:pPr>
              <w:spacing w:after="50" w:before="50"/>
            </w:pPr>
            <w:r>
              <w:rPr>
                <w:b/>
                <w:color w:val="FFFFFF"/>
                <w:sz w:val="17"/>
              </w:rPr>
              <w:t>Actual</w:t>
            </w:r>
          </w:p>
        </w:tc>
        <w:tc>
          <w:tcPr>
            <w:tcW w:type="dxa" w:w="850"/>
            <w:shd w:val="clear" w:color="auto" w:fill="10375C"/>
          </w:tcPr>
          <w:p>
            <w:pPr>
              <w:spacing w:after="50" w:before="50"/>
            </w:pPr>
            <w:r>
              <w:rPr>
                <w:b/>
                <w:color w:val="FFFFFF"/>
                <w:sz w:val="17"/>
              </w:rPr>
              <w:t>Variance</w:t>
            </w:r>
          </w:p>
        </w:tc>
        <w:tc>
          <w:tcPr>
            <w:tcW w:type="dxa" w:w="913"/>
            <w:shd w:val="clear" w:color="auto" w:fill="10375C"/>
          </w:tcPr>
          <w:p>
            <w:pPr>
              <w:spacing w:after="50" w:before="50"/>
            </w:pPr>
            <w:r>
              <w:rPr>
                <w:b/>
                <w:color w:val="FFFFFF"/>
                <w:sz w:val="17"/>
              </w:rPr>
              <w:t>Owner</w:t>
            </w:r>
          </w:p>
        </w:tc>
      </w:tr>
      <w:tr>
        <w:tc>
          <w:tcPr>
            <w:tcW w:type="dxa" w:w="881"/>
          </w:tcPr>
          <w:p>
            <w:pPr>
              <w:spacing w:after="50" w:before="50" w:line="252" w:lineRule="auto"/>
            </w:pPr>
            <w:r>
              <w:rPr>
                <w:b/>
                <w:sz w:val="17"/>
              </w:rPr>
              <w:t>INCOME</w:t>
            </w:r>
          </w:p>
        </w:tc>
        <w:tc>
          <w:tcPr>
            <w:tcW w:type="dxa" w:w="4501"/>
          </w:tcPr>
          <w:p>
            <w:pPr>
              <w:spacing w:after="50" w:before="50" w:line="252" w:lineRule="auto"/>
            </w:pP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p>
        </w:tc>
      </w:tr>
      <w:tr>
        <w:tc>
          <w:tcPr>
            <w:tcW w:type="dxa" w:w="881"/>
            <w:shd w:val="clear" w:color="auto" w:fill="EAF1F4"/>
          </w:tcPr>
          <w:p>
            <w:pPr>
              <w:spacing w:after="50" w:before="50" w:line="252" w:lineRule="auto"/>
            </w:pPr>
            <w:r>
              <w:rPr>
                <w:sz w:val="17"/>
              </w:rPr>
              <w:t>1</w:t>
            </w:r>
          </w:p>
        </w:tc>
        <w:tc>
          <w:tcPr>
            <w:tcW w:type="dxa" w:w="4501"/>
            <w:shd w:val="clear" w:color="auto" w:fill="EAF1F4"/>
          </w:tcPr>
          <w:p>
            <w:pPr>
              <w:spacing w:after="50" w:before="50" w:line="252" w:lineRule="auto"/>
            </w:pPr>
            <w:r>
              <w:rPr>
                <w:sz w:val="17"/>
              </w:rPr>
              <w:t>Team registration</w:t>
            </w:r>
          </w:p>
        </w:tc>
        <w:tc>
          <w:tcPr>
            <w:tcW w:type="dxa" w:w="995"/>
            <w:shd w:val="clear" w:color="auto" w:fill="EAF1F4"/>
          </w:tcPr>
          <w:p>
            <w:pPr>
              <w:spacing w:after="50" w:before="50" w:line="252" w:lineRule="auto"/>
            </w:pPr>
            <w:r>
              <w:rPr>
                <w:sz w:val="17"/>
              </w:rPr>
              <w:t>[●] teams × ₹[●]</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Ops</w:t>
            </w:r>
          </w:p>
        </w:tc>
      </w:tr>
      <w:tr>
        <w:tc>
          <w:tcPr>
            <w:tcW w:type="dxa" w:w="881"/>
          </w:tcPr>
          <w:p>
            <w:pPr>
              <w:spacing w:after="50" w:before="50" w:line="252" w:lineRule="auto"/>
            </w:pPr>
            <w:r>
              <w:rPr>
                <w:sz w:val="17"/>
              </w:rPr>
              <w:t>2</w:t>
            </w:r>
          </w:p>
        </w:tc>
        <w:tc>
          <w:tcPr>
            <w:tcW w:type="dxa" w:w="4501"/>
          </w:tcPr>
          <w:p>
            <w:pPr>
              <w:spacing w:after="50" w:before="50" w:line="252" w:lineRule="auto"/>
            </w:pPr>
            <w:r>
              <w:rPr>
                <w:sz w:val="17"/>
              </w:rPr>
              <w:t>Late registration surcharge</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3</w:t>
            </w:r>
          </w:p>
        </w:tc>
        <w:tc>
          <w:tcPr>
            <w:tcW w:type="dxa" w:w="4501"/>
            <w:shd w:val="clear" w:color="auto" w:fill="EAF1F4"/>
          </w:tcPr>
          <w:p>
            <w:pPr>
              <w:spacing w:after="50" w:before="50" w:line="252" w:lineRule="auto"/>
            </w:pPr>
            <w:r>
              <w:rPr>
                <w:sz w:val="17"/>
              </w:rPr>
              <w:t>Delegate and observer passes</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Ops</w:t>
            </w:r>
          </w:p>
        </w:tc>
      </w:tr>
      <w:tr>
        <w:tc>
          <w:tcPr>
            <w:tcW w:type="dxa" w:w="881"/>
          </w:tcPr>
          <w:p>
            <w:pPr>
              <w:spacing w:after="50" w:before="50" w:line="252" w:lineRule="auto"/>
            </w:pPr>
            <w:r>
              <w:rPr>
                <w:sz w:val="17"/>
              </w:rPr>
              <w:t>4</w:t>
            </w:r>
          </w:p>
        </w:tc>
        <w:tc>
          <w:tcPr>
            <w:tcW w:type="dxa" w:w="4501"/>
          </w:tcPr>
          <w:p>
            <w:pPr>
              <w:spacing w:after="50" w:before="50" w:line="252" w:lineRule="auto"/>
            </w:pPr>
            <w:r>
              <w:rPr>
                <w:sz w:val="17"/>
              </w:rPr>
              <w:t>Title sponsorship</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Director</w:t>
            </w:r>
          </w:p>
        </w:tc>
      </w:tr>
      <w:tr>
        <w:tc>
          <w:tcPr>
            <w:tcW w:type="dxa" w:w="881"/>
            <w:shd w:val="clear" w:color="auto" w:fill="EAF1F4"/>
          </w:tcPr>
          <w:p>
            <w:pPr>
              <w:spacing w:after="50" w:before="50" w:line="252" w:lineRule="auto"/>
            </w:pPr>
            <w:r>
              <w:rPr>
                <w:sz w:val="17"/>
              </w:rPr>
              <w:t>5</w:t>
            </w:r>
          </w:p>
        </w:tc>
        <w:tc>
          <w:tcPr>
            <w:tcW w:type="dxa" w:w="4501"/>
            <w:shd w:val="clear" w:color="auto" w:fill="EAF1F4"/>
          </w:tcPr>
          <w:p>
            <w:pPr>
              <w:spacing w:after="50" w:before="50" w:line="252" w:lineRule="auto"/>
            </w:pPr>
            <w:r>
              <w:rPr>
                <w:sz w:val="17"/>
              </w:rPr>
              <w:t>Associate sponsorship</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Director</w:t>
            </w:r>
          </w:p>
        </w:tc>
      </w:tr>
      <w:tr>
        <w:tc>
          <w:tcPr>
            <w:tcW w:type="dxa" w:w="881"/>
          </w:tcPr>
          <w:p>
            <w:pPr>
              <w:spacing w:after="50" w:before="50" w:line="252" w:lineRule="auto"/>
            </w:pPr>
            <w:r>
              <w:rPr>
                <w:sz w:val="17"/>
              </w:rPr>
              <w:t>6</w:t>
            </w:r>
          </w:p>
        </w:tc>
        <w:tc>
          <w:tcPr>
            <w:tcW w:type="dxa" w:w="4501"/>
          </w:tcPr>
          <w:p>
            <w:pPr>
              <w:spacing w:after="50" w:before="50" w:line="252" w:lineRule="auto"/>
            </w:pPr>
            <w:r>
              <w:rPr>
                <w:sz w:val="17"/>
              </w:rPr>
              <w:t>Round sponsorship</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Director</w:t>
            </w:r>
          </w:p>
        </w:tc>
      </w:tr>
      <w:tr>
        <w:tc>
          <w:tcPr>
            <w:tcW w:type="dxa" w:w="881"/>
            <w:shd w:val="clear" w:color="auto" w:fill="EAF1F4"/>
          </w:tcPr>
          <w:p>
            <w:pPr>
              <w:spacing w:after="50" w:before="50" w:line="252" w:lineRule="auto"/>
            </w:pPr>
            <w:r>
              <w:rPr>
                <w:sz w:val="17"/>
              </w:rPr>
              <w:t>7</w:t>
            </w:r>
          </w:p>
        </w:tc>
        <w:tc>
          <w:tcPr>
            <w:tcW w:type="dxa" w:w="4501"/>
            <w:shd w:val="clear" w:color="auto" w:fill="EAF1F4"/>
          </w:tcPr>
          <w:p>
            <w:pPr>
              <w:spacing w:after="50" w:before="50" w:line="252" w:lineRule="auto"/>
            </w:pPr>
            <w:r>
              <w:rPr>
                <w:sz w:val="17"/>
              </w:rPr>
              <w:t>Award sponsorship</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Director</w:t>
            </w:r>
          </w:p>
        </w:tc>
      </w:tr>
      <w:tr>
        <w:tc>
          <w:tcPr>
            <w:tcW w:type="dxa" w:w="881"/>
          </w:tcPr>
          <w:p>
            <w:pPr>
              <w:spacing w:after="50" w:before="50" w:line="252" w:lineRule="auto"/>
            </w:pPr>
            <w:r>
              <w:rPr>
                <w:sz w:val="17"/>
              </w:rPr>
              <w:t>8</w:t>
            </w:r>
          </w:p>
        </w:tc>
        <w:tc>
          <w:tcPr>
            <w:tcW w:type="dxa" w:w="4501"/>
          </w:tcPr>
          <w:p>
            <w:pPr>
              <w:spacing w:after="50" w:before="50" w:line="252" w:lineRule="auto"/>
            </w:pPr>
            <w:r>
              <w:rPr>
                <w:sz w:val="17"/>
              </w:rPr>
              <w:t>Value in kind</w:t>
            </w:r>
          </w:p>
        </w:tc>
        <w:tc>
          <w:tcPr>
            <w:tcW w:type="dxa" w:w="995"/>
          </w:tcPr>
          <w:p>
            <w:pPr>
              <w:spacing w:after="50" w:before="50" w:line="252" w:lineRule="auto"/>
            </w:pPr>
            <w:r>
              <w:rPr>
                <w:sz w:val="17"/>
              </w:rPr>
              <w:t>Non-cash, memo only</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Director</w:t>
            </w:r>
          </w:p>
        </w:tc>
      </w:tr>
      <w:tr>
        <w:tc>
          <w:tcPr>
            <w:tcW w:type="dxa" w:w="881"/>
            <w:shd w:val="clear" w:color="auto" w:fill="EAF1F4"/>
          </w:tcPr>
          <w:p>
            <w:pPr>
              <w:spacing w:after="50" w:before="50" w:line="252" w:lineRule="auto"/>
            </w:pPr>
          </w:p>
        </w:tc>
        <w:tc>
          <w:tcPr>
            <w:tcW w:type="dxa" w:w="4501"/>
            <w:shd w:val="clear" w:color="auto" w:fill="EAF1F4"/>
          </w:tcPr>
          <w:p>
            <w:pPr>
              <w:spacing w:after="50" w:before="50" w:line="252" w:lineRule="auto"/>
            </w:pPr>
            <w:r>
              <w:rPr>
                <w:b/>
                <w:sz w:val="17"/>
              </w:rPr>
              <w:t>Total income</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p>
        </w:tc>
      </w:tr>
      <w:tr>
        <w:tc>
          <w:tcPr>
            <w:tcW w:type="dxa" w:w="881"/>
          </w:tcPr>
          <w:p>
            <w:pPr>
              <w:spacing w:after="50" w:before="50" w:line="252" w:lineRule="auto"/>
            </w:pPr>
            <w:r>
              <w:rPr>
                <w:b/>
                <w:sz w:val="17"/>
              </w:rPr>
              <w:t>EXPENDITURE</w:t>
            </w:r>
          </w:p>
        </w:tc>
        <w:tc>
          <w:tcPr>
            <w:tcW w:type="dxa" w:w="4501"/>
          </w:tcPr>
          <w:p>
            <w:pPr>
              <w:spacing w:after="50" w:before="50" w:line="252" w:lineRule="auto"/>
            </w:pP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p>
        </w:tc>
      </w:tr>
      <w:tr>
        <w:tc>
          <w:tcPr>
            <w:tcW w:type="dxa" w:w="881"/>
            <w:shd w:val="clear" w:color="auto" w:fill="EAF1F4"/>
          </w:tcPr>
          <w:p>
            <w:pPr>
              <w:spacing w:after="50" w:before="50" w:line="252" w:lineRule="auto"/>
            </w:pPr>
            <w:r>
              <w:rPr>
                <w:sz w:val="17"/>
              </w:rPr>
              <w:t>9</w:t>
            </w:r>
          </w:p>
        </w:tc>
        <w:tc>
          <w:tcPr>
            <w:tcW w:type="dxa" w:w="4501"/>
            <w:shd w:val="clear" w:color="auto" w:fill="EAF1F4"/>
          </w:tcPr>
          <w:p>
            <w:pPr>
              <w:spacing w:after="50" w:before="50" w:line="252" w:lineRule="auto"/>
            </w:pPr>
            <w:r>
              <w:rPr>
                <w:sz w:val="17"/>
              </w:rPr>
              <w:t>Problem development and review</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Convenor</w:t>
            </w:r>
          </w:p>
        </w:tc>
      </w:tr>
      <w:tr>
        <w:tc>
          <w:tcPr>
            <w:tcW w:type="dxa" w:w="881"/>
          </w:tcPr>
          <w:p>
            <w:pPr>
              <w:spacing w:after="50" w:before="50" w:line="252" w:lineRule="auto"/>
            </w:pPr>
            <w:r>
              <w:rPr>
                <w:sz w:val="17"/>
              </w:rPr>
              <w:t>10</w:t>
            </w:r>
          </w:p>
        </w:tc>
        <w:tc>
          <w:tcPr>
            <w:tcW w:type="dxa" w:w="4501"/>
          </w:tcPr>
          <w:p>
            <w:pPr>
              <w:spacing w:after="50" w:before="50" w:line="252" w:lineRule="auto"/>
            </w:pPr>
            <w:r>
              <w:rPr>
                <w:sz w:val="17"/>
              </w:rPr>
              <w:t>Judge honoraria</w:t>
            </w:r>
          </w:p>
        </w:tc>
        <w:tc>
          <w:tcPr>
            <w:tcW w:type="dxa" w:w="995"/>
          </w:tcPr>
          <w:p>
            <w:pPr>
              <w:spacing w:after="50" w:before="50" w:line="252" w:lineRule="auto"/>
            </w:pPr>
            <w:r>
              <w:rPr>
                <w:sz w:val="17"/>
              </w:rPr>
              <w:t>[●] × ₹5,000</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Convenor</w:t>
            </w:r>
          </w:p>
        </w:tc>
      </w:tr>
      <w:tr>
        <w:tc>
          <w:tcPr>
            <w:tcW w:type="dxa" w:w="881"/>
            <w:shd w:val="clear" w:color="auto" w:fill="EAF1F4"/>
          </w:tcPr>
          <w:p>
            <w:pPr>
              <w:spacing w:after="50" w:before="50" w:line="252" w:lineRule="auto"/>
            </w:pPr>
            <w:r>
              <w:rPr>
                <w:sz w:val="17"/>
              </w:rPr>
              <w:t>11</w:t>
            </w:r>
          </w:p>
        </w:tc>
        <w:tc>
          <w:tcPr>
            <w:tcW w:type="dxa" w:w="4501"/>
            <w:shd w:val="clear" w:color="auto" w:fill="EAF1F4"/>
          </w:tcPr>
          <w:p>
            <w:pPr>
              <w:spacing w:after="50" w:before="50" w:line="252" w:lineRule="auto"/>
            </w:pPr>
            <w:r>
              <w:rPr>
                <w:sz w:val="17"/>
              </w:rPr>
              <w:t>Judge travel</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Ops</w:t>
            </w:r>
          </w:p>
        </w:tc>
      </w:tr>
      <w:tr>
        <w:tc>
          <w:tcPr>
            <w:tcW w:type="dxa" w:w="881"/>
          </w:tcPr>
          <w:p>
            <w:pPr>
              <w:spacing w:after="50" w:before="50" w:line="252" w:lineRule="auto"/>
            </w:pPr>
            <w:r>
              <w:rPr>
                <w:sz w:val="17"/>
              </w:rPr>
              <w:t>12</w:t>
            </w:r>
          </w:p>
        </w:tc>
        <w:tc>
          <w:tcPr>
            <w:tcW w:type="dxa" w:w="4501"/>
          </w:tcPr>
          <w:p>
            <w:pPr>
              <w:spacing w:after="50" w:before="50" w:line="252" w:lineRule="auto"/>
            </w:pPr>
            <w:r>
              <w:rPr>
                <w:sz w:val="17"/>
              </w:rPr>
              <w:t>Judge accommodation and hospitality</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13</w:t>
            </w:r>
          </w:p>
        </w:tc>
        <w:tc>
          <w:tcPr>
            <w:tcW w:type="dxa" w:w="4501"/>
            <w:shd w:val="clear" w:color="auto" w:fill="EAF1F4"/>
          </w:tcPr>
          <w:p>
            <w:pPr>
              <w:spacing w:after="50" w:before="50" w:line="252" w:lineRule="auto"/>
            </w:pPr>
            <w:r>
              <w:rPr>
                <w:sz w:val="17"/>
              </w:rPr>
              <w:t>Prize money</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Convenor</w:t>
            </w:r>
          </w:p>
        </w:tc>
      </w:tr>
      <w:tr>
        <w:tc>
          <w:tcPr>
            <w:tcW w:type="dxa" w:w="881"/>
          </w:tcPr>
          <w:p>
            <w:pPr>
              <w:spacing w:after="50" w:before="50" w:line="252" w:lineRule="auto"/>
            </w:pPr>
            <w:r>
              <w:rPr>
                <w:sz w:val="17"/>
              </w:rPr>
              <w:t>14</w:t>
            </w:r>
          </w:p>
        </w:tc>
        <w:tc>
          <w:tcPr>
            <w:tcW w:type="dxa" w:w="4501"/>
          </w:tcPr>
          <w:p>
            <w:pPr>
              <w:spacing w:after="50" w:before="50" w:line="252" w:lineRule="auto"/>
            </w:pPr>
            <w:r>
              <w:rPr>
                <w:sz w:val="17"/>
              </w:rPr>
              <w:t>Trophies, medals, certificates</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15</w:t>
            </w:r>
          </w:p>
        </w:tc>
        <w:tc>
          <w:tcPr>
            <w:tcW w:type="dxa" w:w="4501"/>
            <w:shd w:val="clear" w:color="auto" w:fill="EAF1F4"/>
          </w:tcPr>
          <w:p>
            <w:pPr>
              <w:spacing w:after="50" w:before="50" w:line="252" w:lineRule="auto"/>
            </w:pPr>
            <w:r>
              <w:rPr>
                <w:sz w:val="17"/>
              </w:rPr>
              <w:t>Participant materials and badges</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Ops</w:t>
            </w:r>
          </w:p>
        </w:tc>
      </w:tr>
      <w:tr>
        <w:tc>
          <w:tcPr>
            <w:tcW w:type="dxa" w:w="881"/>
          </w:tcPr>
          <w:p>
            <w:pPr>
              <w:spacing w:after="50" w:before="50" w:line="252" w:lineRule="auto"/>
            </w:pPr>
            <w:r>
              <w:rPr>
                <w:sz w:val="17"/>
              </w:rPr>
              <w:t>16</w:t>
            </w:r>
          </w:p>
        </w:tc>
        <w:tc>
          <w:tcPr>
            <w:tcW w:type="dxa" w:w="4501"/>
          </w:tcPr>
          <w:p>
            <w:pPr>
              <w:spacing w:after="50" w:before="50" w:line="252" w:lineRule="auto"/>
            </w:pPr>
            <w:r>
              <w:rPr>
                <w:sz w:val="17"/>
              </w:rPr>
              <w:t>Branding, backdrop, standees, signage</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Marketing</w:t>
            </w:r>
          </w:p>
        </w:tc>
      </w:tr>
      <w:tr>
        <w:tc>
          <w:tcPr>
            <w:tcW w:type="dxa" w:w="881"/>
            <w:shd w:val="clear" w:color="auto" w:fill="EAF1F4"/>
          </w:tcPr>
          <w:p>
            <w:pPr>
              <w:spacing w:after="50" w:before="50" w:line="252" w:lineRule="auto"/>
            </w:pPr>
            <w:r>
              <w:rPr>
                <w:sz w:val="17"/>
              </w:rPr>
              <w:t>17</w:t>
            </w:r>
          </w:p>
        </w:tc>
        <w:tc>
          <w:tcPr>
            <w:tcW w:type="dxa" w:w="4501"/>
            <w:shd w:val="clear" w:color="auto" w:fill="EAF1F4"/>
          </w:tcPr>
          <w:p>
            <w:pPr>
              <w:spacing w:after="50" w:before="50" w:line="252" w:lineRule="auto"/>
            </w:pPr>
            <w:r>
              <w:rPr>
                <w:sz w:val="17"/>
              </w:rPr>
              <w:t>Photography and videography</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Marketing</w:t>
            </w:r>
          </w:p>
        </w:tc>
      </w:tr>
      <w:tr>
        <w:tc>
          <w:tcPr>
            <w:tcW w:type="dxa" w:w="881"/>
          </w:tcPr>
          <w:p>
            <w:pPr>
              <w:spacing w:after="50" w:before="50" w:line="252" w:lineRule="auto"/>
            </w:pPr>
            <w:r>
              <w:rPr>
                <w:sz w:val="17"/>
              </w:rPr>
              <w:t>18</w:t>
            </w:r>
          </w:p>
        </w:tc>
        <w:tc>
          <w:tcPr>
            <w:tcW w:type="dxa" w:w="4501"/>
          </w:tcPr>
          <w:p>
            <w:pPr>
              <w:spacing w:after="50" w:before="50" w:line="252" w:lineRule="auto"/>
            </w:pPr>
            <w:r>
              <w:rPr>
                <w:sz w:val="17"/>
              </w:rPr>
              <w:t>Refreshments, per the split</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19</w:t>
            </w:r>
          </w:p>
        </w:tc>
        <w:tc>
          <w:tcPr>
            <w:tcW w:type="dxa" w:w="4501"/>
            <w:shd w:val="clear" w:color="auto" w:fill="EAF1F4"/>
          </w:tcPr>
          <w:p>
            <w:pPr>
              <w:spacing w:after="50" w:before="50" w:line="252" w:lineRule="auto"/>
            </w:pPr>
            <w:r>
              <w:rPr>
                <w:sz w:val="17"/>
              </w:rPr>
              <w:t>Valedictory dinner</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Ops</w:t>
            </w:r>
          </w:p>
        </w:tc>
      </w:tr>
      <w:tr>
        <w:tc>
          <w:tcPr>
            <w:tcW w:type="dxa" w:w="881"/>
          </w:tcPr>
          <w:p>
            <w:pPr>
              <w:spacing w:after="50" w:before="50" w:line="252" w:lineRule="auto"/>
            </w:pPr>
            <w:r>
              <w:rPr>
                <w:sz w:val="17"/>
              </w:rPr>
              <w:t>20</w:t>
            </w:r>
          </w:p>
        </w:tc>
        <w:tc>
          <w:tcPr>
            <w:tcW w:type="dxa" w:w="4501"/>
          </w:tcPr>
          <w:p>
            <w:pPr>
              <w:spacing w:after="50" w:before="50" w:line="252" w:lineRule="auto"/>
            </w:pPr>
            <w:r>
              <w:rPr>
                <w:sz w:val="17"/>
              </w:rPr>
              <w:t>Registration and scoring platform</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21</w:t>
            </w:r>
          </w:p>
        </w:tc>
        <w:tc>
          <w:tcPr>
            <w:tcW w:type="dxa" w:w="4501"/>
            <w:shd w:val="clear" w:color="auto" w:fill="EAF1F4"/>
          </w:tcPr>
          <w:p>
            <w:pPr>
              <w:spacing w:after="50" w:before="50" w:line="252" w:lineRule="auto"/>
            </w:pPr>
            <w:r>
              <w:rPr>
                <w:sz w:val="17"/>
              </w:rPr>
              <w:t>Printing and stationery</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Ops</w:t>
            </w:r>
          </w:p>
        </w:tc>
      </w:tr>
      <w:tr>
        <w:tc>
          <w:tcPr>
            <w:tcW w:type="dxa" w:w="881"/>
          </w:tcPr>
          <w:p>
            <w:pPr>
              <w:spacing w:after="50" w:before="50" w:line="252" w:lineRule="auto"/>
            </w:pPr>
            <w:r>
              <w:rPr>
                <w:sz w:val="17"/>
              </w:rPr>
              <w:t>22</w:t>
            </w:r>
          </w:p>
        </w:tc>
        <w:tc>
          <w:tcPr>
            <w:tcW w:type="dxa" w:w="4501"/>
          </w:tcPr>
          <w:p>
            <w:pPr>
              <w:spacing w:after="50" w:before="50" w:line="252" w:lineRule="auto"/>
            </w:pPr>
            <w:r>
              <w:rPr>
                <w:sz w:val="17"/>
              </w:rPr>
              <w:t>Equator staff travel and stay</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23</w:t>
            </w:r>
          </w:p>
        </w:tc>
        <w:tc>
          <w:tcPr>
            <w:tcW w:type="dxa" w:w="4501"/>
            <w:shd w:val="clear" w:color="auto" w:fill="EAF1F4"/>
          </w:tcPr>
          <w:p>
            <w:pPr>
              <w:spacing w:after="50" w:before="50" w:line="252" w:lineRule="auto"/>
            </w:pPr>
            <w:r>
              <w:rPr>
                <w:sz w:val="17"/>
              </w:rPr>
              <w:t>Programme management allocation</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Finance</w:t>
            </w:r>
          </w:p>
        </w:tc>
      </w:tr>
      <w:tr>
        <w:tc>
          <w:tcPr>
            <w:tcW w:type="dxa" w:w="881"/>
          </w:tcPr>
          <w:p>
            <w:pPr>
              <w:spacing w:after="50" w:before="50" w:line="252" w:lineRule="auto"/>
            </w:pPr>
            <w:r>
              <w:rPr>
                <w:sz w:val="17"/>
              </w:rPr>
              <w:t>24</w:t>
            </w:r>
          </w:p>
        </w:tc>
        <w:tc>
          <w:tcPr>
            <w:tcW w:type="dxa" w:w="4501"/>
          </w:tcPr>
          <w:p>
            <w:pPr>
              <w:spacing w:after="50" w:before="50" w:line="252" w:lineRule="auto"/>
            </w:pPr>
            <w:r>
              <w:rPr>
                <w:sz w:val="17"/>
              </w:rPr>
              <w:t>Miscellaneous</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Ops</w:t>
            </w:r>
          </w:p>
        </w:tc>
      </w:tr>
      <w:tr>
        <w:tc>
          <w:tcPr>
            <w:tcW w:type="dxa" w:w="881"/>
            <w:shd w:val="clear" w:color="auto" w:fill="EAF1F4"/>
          </w:tcPr>
          <w:p>
            <w:pPr>
              <w:spacing w:after="50" w:before="50" w:line="252" w:lineRule="auto"/>
            </w:pPr>
            <w:r>
              <w:rPr>
                <w:sz w:val="17"/>
              </w:rPr>
              <w:t>25</w:t>
            </w:r>
          </w:p>
        </w:tc>
        <w:tc>
          <w:tcPr>
            <w:tcW w:type="dxa" w:w="4501"/>
            <w:shd w:val="clear" w:color="auto" w:fill="EAF1F4"/>
          </w:tcPr>
          <w:p>
            <w:pPr>
              <w:spacing w:after="50" w:before="50" w:line="252" w:lineRule="auto"/>
            </w:pPr>
            <w:r>
              <w:rPr>
                <w:b/>
                <w:sz w:val="17"/>
              </w:rPr>
              <w:t>Contingency at 10%</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r>
              <w:rPr>
                <w:sz w:val="17"/>
              </w:rPr>
              <w:t>Owner</w:t>
            </w:r>
          </w:p>
        </w:tc>
      </w:tr>
      <w:tr>
        <w:tc>
          <w:tcPr>
            <w:tcW w:type="dxa" w:w="881"/>
          </w:tcPr>
          <w:p>
            <w:pPr>
              <w:spacing w:after="50" w:before="50" w:line="252" w:lineRule="auto"/>
            </w:pPr>
          </w:p>
        </w:tc>
        <w:tc>
          <w:tcPr>
            <w:tcW w:type="dxa" w:w="4501"/>
          </w:tcPr>
          <w:p>
            <w:pPr>
              <w:spacing w:after="50" w:before="50" w:line="252" w:lineRule="auto"/>
            </w:pPr>
            <w:r>
              <w:rPr>
                <w:b/>
                <w:sz w:val="17"/>
              </w:rPr>
              <w:t>Total expenditure</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p>
        </w:tc>
      </w:tr>
      <w:tr>
        <w:tc>
          <w:tcPr>
            <w:tcW w:type="dxa" w:w="881"/>
            <w:shd w:val="clear" w:color="auto" w:fill="EAF1F4"/>
          </w:tcPr>
          <w:p>
            <w:pPr>
              <w:spacing w:after="50" w:before="50" w:line="252" w:lineRule="auto"/>
            </w:pPr>
          </w:p>
        </w:tc>
        <w:tc>
          <w:tcPr>
            <w:tcW w:type="dxa" w:w="4501"/>
            <w:shd w:val="clear" w:color="auto" w:fill="EAF1F4"/>
          </w:tcPr>
          <w:p>
            <w:pPr>
              <w:spacing w:after="50" w:before="50" w:line="252" w:lineRule="auto"/>
            </w:pPr>
            <w:r>
              <w:rPr>
                <w:b/>
                <w:sz w:val="17"/>
              </w:rPr>
              <w:t>Surplus or deficit</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p>
        </w:tc>
      </w:tr>
      <w:tr>
        <w:tc>
          <w:tcPr>
            <w:tcW w:type="dxa" w:w="881"/>
          </w:tcPr>
          <w:p>
            <w:pPr>
              <w:spacing w:after="50" w:before="50" w:line="252" w:lineRule="auto"/>
            </w:pPr>
          </w:p>
        </w:tc>
        <w:tc>
          <w:tcPr>
            <w:tcW w:type="dxa" w:w="4501"/>
          </w:tcPr>
          <w:p>
            <w:pPr>
              <w:spacing w:after="50" w:before="50" w:line="252" w:lineRule="auto"/>
            </w:pPr>
            <w:r>
              <w:rPr>
                <w:sz w:val="17"/>
              </w:rPr>
              <w:t>Share to the host institution, per Schedule H</w:t>
            </w:r>
          </w:p>
        </w:tc>
        <w:tc>
          <w:tcPr>
            <w:tcW w:type="dxa" w:w="99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13"/>
          </w:tcPr>
          <w:p>
            <w:pPr>
              <w:spacing w:after="50" w:before="50" w:line="252" w:lineRule="auto"/>
            </w:pPr>
            <w:r>
              <w:rPr>
                <w:sz w:val="17"/>
              </w:rPr>
              <w:t>Finance</w:t>
            </w:r>
          </w:p>
        </w:tc>
      </w:tr>
      <w:tr>
        <w:tc>
          <w:tcPr>
            <w:tcW w:type="dxa" w:w="881"/>
            <w:shd w:val="clear" w:color="auto" w:fill="EAF1F4"/>
          </w:tcPr>
          <w:p>
            <w:pPr>
              <w:spacing w:after="50" w:before="50" w:line="252" w:lineRule="auto"/>
            </w:pPr>
          </w:p>
        </w:tc>
        <w:tc>
          <w:tcPr>
            <w:tcW w:type="dxa" w:w="4501"/>
            <w:shd w:val="clear" w:color="auto" w:fill="EAF1F4"/>
          </w:tcPr>
          <w:p>
            <w:pPr>
              <w:spacing w:after="50" w:before="50" w:line="252" w:lineRule="auto"/>
            </w:pPr>
            <w:r>
              <w:rPr>
                <w:b/>
                <w:sz w:val="17"/>
              </w:rPr>
              <w:t>Net to Equator</w:t>
            </w:r>
          </w:p>
        </w:tc>
        <w:tc>
          <w:tcPr>
            <w:tcW w:type="dxa" w:w="995"/>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913"/>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4. Budget template — conference, seminar or Mediation Week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240"/>
            <w:shd w:val="clear" w:color="auto" w:fill="10375C"/>
          </w:tcPr>
          <w:p>
            <w:pPr>
              <w:spacing w:after="50" w:before="50"/>
            </w:pPr>
            <w:r>
              <w:rPr>
                <w:b/>
                <w:color w:val="FFFFFF"/>
                <w:sz w:val="17"/>
              </w:rPr>
              <w:t>#</w:t>
            </w:r>
          </w:p>
        </w:tc>
        <w:tc>
          <w:tcPr>
            <w:tcW w:type="dxa" w:w="6329"/>
            <w:shd w:val="clear" w:color="auto" w:fill="10375C"/>
          </w:tcPr>
          <w:p>
            <w:pPr>
              <w:spacing w:after="50" w:before="50"/>
            </w:pPr>
            <w:r>
              <w:rPr>
                <w:b/>
                <w:color w:val="FFFFFF"/>
                <w:sz w:val="17"/>
              </w:rPr>
              <w:t>Line</w:t>
            </w:r>
          </w:p>
        </w:tc>
        <w:tc>
          <w:tcPr>
            <w:tcW w:type="dxa" w:w="850"/>
            <w:shd w:val="clear" w:color="auto" w:fill="10375C"/>
          </w:tcPr>
          <w:p>
            <w:pPr>
              <w:spacing w:after="50" w:before="50"/>
            </w:pPr>
            <w:r>
              <w:rPr>
                <w:b/>
                <w:color w:val="FFFFFF"/>
                <w:sz w:val="17"/>
              </w:rPr>
              <w:t>Budget</w:t>
            </w:r>
          </w:p>
        </w:tc>
        <w:tc>
          <w:tcPr>
            <w:tcW w:type="dxa" w:w="850"/>
            <w:shd w:val="clear" w:color="auto" w:fill="10375C"/>
          </w:tcPr>
          <w:p>
            <w:pPr>
              <w:spacing w:after="50" w:before="50"/>
            </w:pPr>
            <w:r>
              <w:rPr>
                <w:b/>
                <w:color w:val="FFFFFF"/>
                <w:sz w:val="17"/>
              </w:rPr>
              <w:t>Actual</w:t>
            </w:r>
          </w:p>
        </w:tc>
        <w:tc>
          <w:tcPr>
            <w:tcW w:type="dxa" w:w="850"/>
            <w:shd w:val="clear" w:color="auto" w:fill="10375C"/>
          </w:tcPr>
          <w:p>
            <w:pPr>
              <w:spacing w:after="50" w:before="50"/>
            </w:pPr>
            <w:r>
              <w:rPr>
                <w:b/>
                <w:color w:val="FFFFFF"/>
                <w:sz w:val="17"/>
              </w:rPr>
              <w:t>Variance</w:t>
            </w:r>
          </w:p>
        </w:tc>
      </w:tr>
      <w:tr>
        <w:tc>
          <w:tcPr>
            <w:tcW w:type="dxa" w:w="1240"/>
          </w:tcPr>
          <w:p>
            <w:pPr>
              <w:spacing w:after="50" w:before="50" w:line="252" w:lineRule="auto"/>
            </w:pPr>
            <w:r>
              <w:rPr>
                <w:b/>
                <w:sz w:val="17"/>
              </w:rPr>
              <w:t>Income</w:t>
            </w:r>
          </w:p>
        </w:tc>
        <w:tc>
          <w:tcPr>
            <w:tcW w:type="dxa" w:w="6329"/>
          </w:tcPr>
          <w:p>
            <w:pPr>
              <w:spacing w:after="50" w:before="50" w:line="252" w:lineRule="auto"/>
            </w:pPr>
            <w:r>
              <w:rPr>
                <w:sz w:val="17"/>
              </w:rPr>
              <w:t>Delegate fees; sponsorship; institutional contribution</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r>
        <w:tc>
          <w:tcPr>
            <w:tcW w:type="dxa" w:w="1240"/>
            <w:shd w:val="clear" w:color="auto" w:fill="EAF1F4"/>
          </w:tcPr>
          <w:p>
            <w:pPr>
              <w:spacing w:after="50" w:before="50" w:line="252" w:lineRule="auto"/>
            </w:pPr>
            <w:r>
              <w:rPr>
                <w:b/>
                <w:sz w:val="17"/>
              </w:rPr>
              <w:t>Expenditure</w:t>
            </w:r>
          </w:p>
        </w:tc>
        <w:tc>
          <w:tcPr>
            <w:tcW w:type="dxa" w:w="6329"/>
            <w:shd w:val="clear" w:color="auto" w:fill="EAF1F4"/>
          </w:tcPr>
          <w:p>
            <w:pPr>
              <w:spacing w:after="50" w:before="50" w:line="252" w:lineRule="auto"/>
            </w:pPr>
            <w:r>
              <w:rPr>
                <w:sz w:val="17"/>
              </w:rPr>
              <w:t>Speaker fees and honoraria; speaker travel and stay; materials and delegate kits; branding and production; photography; refreshments; printing; staff travel; programme management; contingency 10%</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r>
      <w:tr>
        <w:tc>
          <w:tcPr>
            <w:tcW w:type="dxa" w:w="1240"/>
          </w:tcPr>
          <w:p>
            <w:pPr>
              <w:spacing w:after="50" w:before="50" w:line="252" w:lineRule="auto"/>
            </w:pPr>
          </w:p>
        </w:tc>
        <w:tc>
          <w:tcPr>
            <w:tcW w:type="dxa" w:w="6329"/>
          </w:tcPr>
          <w:p>
            <w:pPr>
              <w:spacing w:after="50" w:before="50" w:line="252" w:lineRule="auto"/>
            </w:pPr>
            <w:r>
              <w:rPr>
                <w:b/>
                <w:sz w:val="17"/>
              </w:rPr>
              <w:t>Net</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5. Budget template — residential school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231"/>
            <w:shd w:val="clear" w:color="auto" w:fill="10375C"/>
          </w:tcPr>
          <w:p>
            <w:pPr>
              <w:spacing w:after="50" w:before="50"/>
            </w:pPr>
            <w:r>
              <w:rPr>
                <w:b/>
                <w:color w:val="FFFFFF"/>
                <w:sz w:val="17"/>
              </w:rPr>
              <w:t>#</w:t>
            </w:r>
          </w:p>
        </w:tc>
        <w:tc>
          <w:tcPr>
            <w:tcW w:type="dxa" w:w="5030"/>
            <w:shd w:val="clear" w:color="auto" w:fill="10375C"/>
          </w:tcPr>
          <w:p>
            <w:pPr>
              <w:spacing w:after="50" w:before="50"/>
            </w:pPr>
            <w:r>
              <w:rPr>
                <w:b/>
                <w:color w:val="FFFFFF"/>
                <w:sz w:val="17"/>
              </w:rPr>
              <w:t>Line</w:t>
            </w:r>
          </w:p>
        </w:tc>
        <w:tc>
          <w:tcPr>
            <w:tcW w:type="dxa" w:w="1015"/>
            <w:shd w:val="clear" w:color="auto" w:fill="10375C"/>
          </w:tcPr>
          <w:p>
            <w:pPr>
              <w:spacing w:after="50" w:before="50"/>
            </w:pPr>
            <w:r>
              <w:rPr>
                <w:b/>
                <w:color w:val="FFFFFF"/>
                <w:sz w:val="17"/>
              </w:rPr>
              <w:t>Per participant</w:t>
            </w:r>
          </w:p>
        </w:tc>
        <w:tc>
          <w:tcPr>
            <w:tcW w:type="dxa" w:w="1218"/>
            <w:shd w:val="clear" w:color="auto" w:fill="10375C"/>
          </w:tcPr>
          <w:p>
            <w:pPr>
              <w:spacing w:after="50" w:before="50"/>
            </w:pPr>
            <w:r>
              <w:rPr>
                <w:b/>
                <w:color w:val="FFFFFF"/>
                <w:sz w:val="17"/>
              </w:rPr>
              <w:t>× [●] participants</w:t>
            </w:r>
          </w:p>
        </w:tc>
        <w:tc>
          <w:tcPr>
            <w:tcW w:type="dxa" w:w="974"/>
            <w:shd w:val="clear" w:color="auto" w:fill="10375C"/>
          </w:tcPr>
          <w:p>
            <w:pPr>
              <w:spacing w:after="50" w:before="50"/>
            </w:pPr>
            <w:r>
              <w:rPr>
                <w:b/>
                <w:color w:val="FFFFFF"/>
                <w:sz w:val="17"/>
              </w:rPr>
              <w:t>Total</w:t>
            </w:r>
          </w:p>
        </w:tc>
      </w:tr>
      <w:tr>
        <w:tc>
          <w:tcPr>
            <w:tcW w:type="dxa" w:w="1231"/>
          </w:tcPr>
          <w:p>
            <w:pPr>
              <w:spacing w:after="50" w:before="50" w:line="252" w:lineRule="auto"/>
            </w:pPr>
            <w:r>
              <w:rPr>
                <w:b/>
                <w:sz w:val="17"/>
              </w:rPr>
              <w:t>Income</w:t>
            </w:r>
          </w:p>
        </w:tc>
        <w:tc>
          <w:tcPr>
            <w:tcW w:type="dxa" w:w="5030"/>
          </w:tcPr>
          <w:p>
            <w:pPr>
              <w:spacing w:after="50" w:before="50" w:line="252" w:lineRule="auto"/>
            </w:pPr>
            <w:r>
              <w:rPr>
                <w:sz w:val="17"/>
              </w:rPr>
              <w:t>Fee</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r>
              <w:rPr>
                <w:b/>
                <w:sz w:val="17"/>
              </w:rPr>
              <w:t>Expenditure</w:t>
            </w:r>
          </w:p>
        </w:tc>
        <w:tc>
          <w:tcPr>
            <w:tcW w:type="dxa" w:w="5030"/>
            <w:shd w:val="clear" w:color="auto" w:fill="EAF1F4"/>
          </w:tcPr>
          <w:p>
            <w:pPr>
              <w:spacing w:after="50" w:before="50" w:line="252" w:lineRule="auto"/>
            </w:pP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r>
        <w:tc>
          <w:tcPr>
            <w:tcW w:type="dxa" w:w="1231"/>
          </w:tcPr>
          <w:p>
            <w:pPr>
              <w:spacing w:after="50" w:before="50" w:line="252" w:lineRule="auto"/>
            </w:pPr>
            <w:r>
              <w:rPr>
                <w:sz w:val="17"/>
              </w:rPr>
              <w:t>1</w:t>
            </w:r>
          </w:p>
        </w:tc>
        <w:tc>
          <w:tcPr>
            <w:tcW w:type="dxa" w:w="5030"/>
          </w:tcPr>
          <w:p>
            <w:pPr>
              <w:spacing w:after="50" w:before="50" w:line="252" w:lineRule="auto"/>
            </w:pPr>
            <w:r>
              <w:rPr>
                <w:sz w:val="17"/>
              </w:rPr>
              <w:t>Hostel accommodation, [●] nights</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r>
              <w:rPr>
                <w:sz w:val="17"/>
              </w:rPr>
              <w:t>2</w:t>
            </w:r>
          </w:p>
        </w:tc>
        <w:tc>
          <w:tcPr>
            <w:tcW w:type="dxa" w:w="5030"/>
            <w:shd w:val="clear" w:color="auto" w:fill="EAF1F4"/>
          </w:tcPr>
          <w:p>
            <w:pPr>
              <w:spacing w:after="50" w:before="50" w:line="252" w:lineRule="auto"/>
            </w:pPr>
            <w:r>
              <w:rPr>
                <w:sz w:val="17"/>
              </w:rPr>
              <w:t>Meals, [●] days</w:t>
            </w: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r>
        <w:tc>
          <w:tcPr>
            <w:tcW w:type="dxa" w:w="1231"/>
          </w:tcPr>
          <w:p>
            <w:pPr>
              <w:spacing w:after="50" w:before="50" w:line="252" w:lineRule="auto"/>
            </w:pPr>
            <w:r>
              <w:rPr>
                <w:sz w:val="17"/>
              </w:rPr>
              <w:t>3</w:t>
            </w:r>
          </w:p>
        </w:tc>
        <w:tc>
          <w:tcPr>
            <w:tcW w:type="dxa" w:w="5030"/>
          </w:tcPr>
          <w:p>
            <w:pPr>
              <w:spacing w:after="50" w:before="50" w:line="252" w:lineRule="auto"/>
            </w:pPr>
            <w:r>
              <w:rPr>
                <w:sz w:val="17"/>
              </w:rPr>
              <w:t>Materials and workbook</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r>
              <w:rPr>
                <w:sz w:val="17"/>
              </w:rPr>
              <w:t>4</w:t>
            </w:r>
          </w:p>
        </w:tc>
        <w:tc>
          <w:tcPr>
            <w:tcW w:type="dxa" w:w="5030"/>
            <w:shd w:val="clear" w:color="auto" w:fill="EAF1F4"/>
          </w:tcPr>
          <w:p>
            <w:pPr>
              <w:spacing w:after="50" w:before="50" w:line="252" w:lineRule="auto"/>
            </w:pPr>
            <w:r>
              <w:rPr>
                <w:sz w:val="17"/>
              </w:rPr>
              <w:t>Certificate</w:t>
            </w: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r>
        <w:tc>
          <w:tcPr>
            <w:tcW w:type="dxa" w:w="1231"/>
          </w:tcPr>
          <w:p>
            <w:pPr>
              <w:spacing w:after="50" w:before="50" w:line="252" w:lineRule="auto"/>
            </w:pPr>
            <w:r>
              <w:rPr>
                <w:sz w:val="17"/>
              </w:rPr>
              <w:t>5</w:t>
            </w:r>
          </w:p>
        </w:tc>
        <w:tc>
          <w:tcPr>
            <w:tcW w:type="dxa" w:w="5030"/>
          </w:tcPr>
          <w:p>
            <w:pPr>
              <w:spacing w:after="50" w:before="50" w:line="252" w:lineRule="auto"/>
            </w:pPr>
            <w:r>
              <w:rPr>
                <w:sz w:val="17"/>
              </w:rPr>
              <w:t>Field visit and local transport</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r>
              <w:rPr>
                <w:sz w:val="17"/>
              </w:rPr>
              <w:t>6</w:t>
            </w:r>
          </w:p>
        </w:tc>
        <w:tc>
          <w:tcPr>
            <w:tcW w:type="dxa" w:w="5030"/>
            <w:shd w:val="clear" w:color="auto" w:fill="EAF1F4"/>
          </w:tcPr>
          <w:p>
            <w:pPr>
              <w:spacing w:after="50" w:before="50" w:line="252" w:lineRule="auto"/>
            </w:pPr>
            <w:r>
              <w:rPr>
                <w:sz w:val="17"/>
              </w:rPr>
              <w:t>Trainer fees (fixed)</w:t>
            </w: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r>
        <w:tc>
          <w:tcPr>
            <w:tcW w:type="dxa" w:w="1231"/>
          </w:tcPr>
          <w:p>
            <w:pPr>
              <w:spacing w:after="50" w:before="50" w:line="252" w:lineRule="auto"/>
            </w:pPr>
            <w:r>
              <w:rPr>
                <w:sz w:val="17"/>
              </w:rPr>
              <w:t>7</w:t>
            </w:r>
          </w:p>
        </w:tc>
        <w:tc>
          <w:tcPr>
            <w:tcW w:type="dxa" w:w="5030"/>
          </w:tcPr>
          <w:p>
            <w:pPr>
              <w:spacing w:after="50" w:before="50" w:line="252" w:lineRule="auto"/>
            </w:pPr>
            <w:r>
              <w:rPr>
                <w:sz w:val="17"/>
              </w:rPr>
              <w:t>Trainer travel and stay (fixed)</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r>
              <w:rPr>
                <w:sz w:val="17"/>
              </w:rPr>
              <w:t>8</w:t>
            </w:r>
          </w:p>
        </w:tc>
        <w:tc>
          <w:tcPr>
            <w:tcW w:type="dxa" w:w="5030"/>
            <w:shd w:val="clear" w:color="auto" w:fill="EAF1F4"/>
          </w:tcPr>
          <w:p>
            <w:pPr>
              <w:spacing w:after="50" w:before="50" w:line="252" w:lineRule="auto"/>
            </w:pPr>
            <w:r>
              <w:rPr>
                <w:sz w:val="17"/>
              </w:rPr>
              <w:t>Programme management (fixed)</w:t>
            </w: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r>
        <w:tc>
          <w:tcPr>
            <w:tcW w:type="dxa" w:w="1231"/>
          </w:tcPr>
          <w:p>
            <w:pPr>
              <w:spacing w:after="50" w:before="50" w:line="252" w:lineRule="auto"/>
            </w:pPr>
            <w:r>
              <w:rPr>
                <w:sz w:val="17"/>
              </w:rPr>
              <w:t>9</w:t>
            </w:r>
          </w:p>
        </w:tc>
        <w:tc>
          <w:tcPr>
            <w:tcW w:type="dxa" w:w="5030"/>
          </w:tcPr>
          <w:p>
            <w:pPr>
              <w:spacing w:after="50" w:before="50" w:line="252" w:lineRule="auto"/>
            </w:pPr>
            <w:r>
              <w:rPr>
                <w:sz w:val="17"/>
              </w:rPr>
              <w:t>Contingency 10%</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p>
        </w:tc>
        <w:tc>
          <w:tcPr>
            <w:tcW w:type="dxa" w:w="5030"/>
            <w:shd w:val="clear" w:color="auto" w:fill="EAF1F4"/>
          </w:tcPr>
          <w:p>
            <w:pPr>
              <w:spacing w:after="50" w:before="50" w:line="252" w:lineRule="auto"/>
            </w:pPr>
            <w:r>
              <w:rPr>
                <w:b/>
                <w:sz w:val="17"/>
              </w:rPr>
              <w:t>Contribution</w:t>
            </w: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r>
        <w:tc>
          <w:tcPr>
            <w:tcW w:type="dxa" w:w="1231"/>
          </w:tcPr>
          <w:p>
            <w:pPr>
              <w:spacing w:after="50" w:before="50" w:line="252" w:lineRule="auto"/>
            </w:pPr>
          </w:p>
        </w:tc>
        <w:tc>
          <w:tcPr>
            <w:tcW w:type="dxa" w:w="5030"/>
          </w:tcPr>
          <w:p>
            <w:pPr>
              <w:spacing w:after="50" w:before="50" w:line="252" w:lineRule="auto"/>
            </w:pPr>
            <w:r>
              <w:rPr>
                <w:sz w:val="17"/>
              </w:rPr>
              <w:t>Share to institution per Schedule H</w:t>
            </w:r>
          </w:p>
        </w:tc>
        <w:tc>
          <w:tcPr>
            <w:tcW w:type="dxa" w:w="1015"/>
          </w:tcPr>
          <w:p>
            <w:pPr>
              <w:spacing w:after="50" w:before="50" w:line="252" w:lineRule="auto"/>
            </w:pPr>
          </w:p>
        </w:tc>
        <w:tc>
          <w:tcPr>
            <w:tcW w:type="dxa" w:w="1218"/>
          </w:tcPr>
          <w:p>
            <w:pPr>
              <w:spacing w:after="50" w:before="50" w:line="252" w:lineRule="auto"/>
            </w:pPr>
          </w:p>
        </w:tc>
        <w:tc>
          <w:tcPr>
            <w:tcW w:type="dxa" w:w="974"/>
          </w:tcPr>
          <w:p>
            <w:pPr>
              <w:spacing w:after="50" w:before="50" w:line="252" w:lineRule="auto"/>
            </w:pPr>
          </w:p>
        </w:tc>
      </w:tr>
      <w:tr>
        <w:tc>
          <w:tcPr>
            <w:tcW w:type="dxa" w:w="1231"/>
            <w:shd w:val="clear" w:color="auto" w:fill="EAF1F4"/>
          </w:tcPr>
          <w:p>
            <w:pPr>
              <w:spacing w:after="50" w:before="50" w:line="252" w:lineRule="auto"/>
            </w:pPr>
          </w:p>
        </w:tc>
        <w:tc>
          <w:tcPr>
            <w:tcW w:type="dxa" w:w="5030"/>
            <w:shd w:val="clear" w:color="auto" w:fill="EAF1F4"/>
          </w:tcPr>
          <w:p>
            <w:pPr>
              <w:spacing w:after="50" w:before="50" w:line="252" w:lineRule="auto"/>
            </w:pPr>
            <w:r>
              <w:rPr>
                <w:b/>
                <w:sz w:val="17"/>
              </w:rPr>
              <w:t>Net to Equator</w:t>
            </w:r>
          </w:p>
        </w:tc>
        <w:tc>
          <w:tcPr>
            <w:tcW w:type="dxa" w:w="1015"/>
            <w:shd w:val="clear" w:color="auto" w:fill="EAF1F4"/>
          </w:tcPr>
          <w:p>
            <w:pPr>
              <w:spacing w:after="50" w:before="50" w:line="252" w:lineRule="auto"/>
            </w:pPr>
          </w:p>
        </w:tc>
        <w:tc>
          <w:tcPr>
            <w:tcW w:type="dxa" w:w="1218"/>
            <w:shd w:val="clear" w:color="auto" w:fill="EAF1F4"/>
          </w:tcPr>
          <w:p>
            <w:pPr>
              <w:spacing w:after="50" w:before="50" w:line="252" w:lineRule="auto"/>
            </w:pPr>
          </w:p>
        </w:tc>
        <w:tc>
          <w:tcPr>
            <w:tcW w:type="dxa" w:w="974"/>
            <w:shd w:val="clear" w:color="auto" w:fill="EAF1F4"/>
          </w:tcPr>
          <w:p>
            <w:pPr>
              <w:spacing w:after="50" w:before="50" w:line="252" w:lineRule="auto"/>
            </w:pPr>
          </w:p>
        </w:tc>
      </w:tr>
    </w:tbl>
    <w:p>
      <w:pPr>
        <w:spacing w:after="80" w:before="0"/>
      </w:pPr>
    </w:p>
    <w:p>
      <w:r>
        <w:rPr>
          <w:b/>
        </w:rPr>
        <w:t>Breakeven check.</w:t>
      </w:r>
      <w:r>
        <w:t xml:space="preserve"> State the number of participants at which contribution turns positive, and do not open registration for a school whose breakeven exceeds 70% of the seats available.</w:t>
      </w:r>
    </w:p>
    <w:p>
      <w:pPr>
        <w:spacing w:before="80" w:after="160"/>
        <w:pBdr>
          <w:bottom w:val="single" w:sz="6" w:space="1" w:color="C9D6DE"/>
        </w:pBdr>
      </w:pPr>
    </w:p>
    <w:p>
      <w:pPr>
        <w:pStyle w:val="Heading1"/>
        <w:pBdr>
          <w:bottom w:val="single" w:sz="8" w:space="4" w:color="C9D6DE"/>
        </w:pBdr>
      </w:pPr>
      <w:r>
        <w:t>6. Approval thresholds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355"/>
            <w:shd w:val="clear" w:color="auto" w:fill="10375C"/>
          </w:tcPr>
          <w:p>
            <w:pPr>
              <w:spacing w:after="50" w:before="50"/>
            </w:pPr>
            <w:r>
              <w:rPr>
                <w:b/>
                <w:color w:val="FFFFFF"/>
                <w:sz w:val="17"/>
              </w:rPr>
              <w:t>Total event expenditure</w:t>
            </w:r>
          </w:p>
        </w:tc>
        <w:tc>
          <w:tcPr>
            <w:tcW w:type="dxa" w:w="5113"/>
            <w:shd w:val="clear" w:color="auto" w:fill="10375C"/>
          </w:tcPr>
          <w:p>
            <w:pPr>
              <w:spacing w:after="50" w:before="50"/>
            </w:pPr>
            <w:r>
              <w:rPr>
                <w:b/>
                <w:color w:val="FFFFFF"/>
                <w:sz w:val="17"/>
              </w:rPr>
              <w:t>Approval</w:t>
            </w:r>
          </w:p>
        </w:tc>
      </w:tr>
      <w:tr>
        <w:tc>
          <w:tcPr>
            <w:tcW w:type="dxa" w:w="4355"/>
          </w:tcPr>
          <w:p>
            <w:pPr>
              <w:spacing w:after="50" w:before="50" w:line="252" w:lineRule="auto"/>
            </w:pPr>
            <w:r>
              <w:rPr>
                <w:sz w:val="17"/>
              </w:rPr>
              <w:t>Up to ₹75,000</w:t>
            </w:r>
          </w:p>
        </w:tc>
        <w:tc>
          <w:tcPr>
            <w:tcW w:type="dxa" w:w="5113"/>
          </w:tcPr>
          <w:p>
            <w:pPr>
              <w:spacing w:after="50" w:before="50" w:line="252" w:lineRule="auto"/>
            </w:pPr>
            <w:r>
              <w:rPr>
                <w:sz w:val="17"/>
              </w:rPr>
              <w:t>Manager, Programme Operations</w:t>
            </w:r>
          </w:p>
        </w:tc>
      </w:tr>
      <w:tr>
        <w:tc>
          <w:tcPr>
            <w:tcW w:type="dxa" w:w="4355"/>
            <w:shd w:val="clear" w:color="auto" w:fill="EAF1F4"/>
          </w:tcPr>
          <w:p>
            <w:pPr>
              <w:spacing w:after="50" w:before="50" w:line="252" w:lineRule="auto"/>
            </w:pPr>
            <w:r>
              <w:rPr>
                <w:sz w:val="17"/>
              </w:rPr>
              <w:t>₹75,001 to ₹3,00,000</w:t>
            </w:r>
          </w:p>
        </w:tc>
        <w:tc>
          <w:tcPr>
            <w:tcW w:type="dxa" w:w="5113"/>
            <w:shd w:val="clear" w:color="auto" w:fill="EAF1F4"/>
          </w:tcPr>
          <w:p>
            <w:pPr>
              <w:spacing w:after="50" w:before="50" w:line="252" w:lineRule="auto"/>
            </w:pPr>
            <w:r>
              <w:rPr>
                <w:sz w:val="17"/>
              </w:rPr>
              <w:t>Programme Director</w:t>
            </w:r>
          </w:p>
        </w:tc>
      </w:tr>
      <w:tr>
        <w:tc>
          <w:tcPr>
            <w:tcW w:type="dxa" w:w="4355"/>
          </w:tcPr>
          <w:p>
            <w:pPr>
              <w:spacing w:after="50" w:before="50" w:line="252" w:lineRule="auto"/>
            </w:pPr>
            <w:r>
              <w:rPr>
                <w:sz w:val="17"/>
              </w:rPr>
              <w:t>₹3,00,001 to ₹10,00,000</w:t>
            </w:r>
          </w:p>
        </w:tc>
        <w:tc>
          <w:tcPr>
            <w:tcW w:type="dxa" w:w="5113"/>
          </w:tcPr>
          <w:p>
            <w:pPr>
              <w:spacing w:after="50" w:before="50" w:line="252" w:lineRule="auto"/>
            </w:pPr>
            <w:r>
              <w:rPr>
                <w:sz w:val="17"/>
              </w:rPr>
              <w:t>Programme Director and Finance Controller jointly</w:t>
            </w:r>
          </w:p>
        </w:tc>
      </w:tr>
      <w:tr>
        <w:tc>
          <w:tcPr>
            <w:tcW w:type="dxa" w:w="4355"/>
            <w:shd w:val="clear" w:color="auto" w:fill="EAF1F4"/>
          </w:tcPr>
          <w:p>
            <w:pPr>
              <w:spacing w:after="50" w:before="50" w:line="252" w:lineRule="auto"/>
            </w:pPr>
            <w:r>
              <w:rPr>
                <w:sz w:val="17"/>
              </w:rPr>
              <w:t>Above ₹10,00,000</w:t>
            </w:r>
          </w:p>
        </w:tc>
        <w:tc>
          <w:tcPr>
            <w:tcW w:type="dxa" w:w="5113"/>
            <w:shd w:val="clear" w:color="auto" w:fill="EAF1F4"/>
          </w:tcPr>
          <w:p>
            <w:pPr>
              <w:spacing w:after="50" w:before="50" w:line="252" w:lineRule="auto"/>
            </w:pPr>
            <w:r>
              <w:rPr>
                <w:sz w:val="17"/>
              </w:rPr>
              <w:t>Programme Board</w:t>
            </w:r>
          </w:p>
        </w:tc>
      </w:tr>
      <w:tr>
        <w:tc>
          <w:tcPr>
            <w:tcW w:type="dxa" w:w="4355"/>
          </w:tcPr>
          <w:p>
            <w:pPr>
              <w:spacing w:after="50" w:before="50" w:line="252" w:lineRule="auto"/>
            </w:pPr>
            <w:r>
              <w:rPr>
                <w:sz w:val="17"/>
              </w:rPr>
              <w:t>Any budget showing a planned deficit</w:t>
            </w:r>
          </w:p>
        </w:tc>
        <w:tc>
          <w:tcPr>
            <w:tcW w:type="dxa" w:w="5113"/>
          </w:tcPr>
          <w:p>
            <w:pPr>
              <w:spacing w:after="50" w:before="50" w:line="252" w:lineRule="auto"/>
            </w:pPr>
            <w:r>
              <w:rPr>
                <w:sz w:val="17"/>
              </w:rPr>
              <w:t>Programme Board, whatever the value</w:t>
            </w:r>
          </w:p>
        </w:tc>
      </w:tr>
      <w:tr>
        <w:tc>
          <w:tcPr>
            <w:tcW w:type="dxa" w:w="4355"/>
            <w:shd w:val="clear" w:color="auto" w:fill="EAF1F4"/>
          </w:tcPr>
          <w:p>
            <w:pPr>
              <w:spacing w:after="50" w:before="50" w:line="252" w:lineRule="auto"/>
            </w:pPr>
            <w:r>
              <w:rPr>
                <w:sz w:val="17"/>
              </w:rPr>
              <w:t>Prize money above ₹1,50,000</w:t>
            </w:r>
          </w:p>
        </w:tc>
        <w:tc>
          <w:tcPr>
            <w:tcW w:type="dxa" w:w="5113"/>
            <w:shd w:val="clear" w:color="auto" w:fill="EAF1F4"/>
          </w:tcPr>
          <w:p>
            <w:pPr>
              <w:spacing w:after="50" w:before="50" w:line="252" w:lineRule="auto"/>
            </w:pPr>
            <w:r>
              <w:rPr>
                <w:sz w:val="17"/>
              </w:rPr>
              <w:t>Programme Board</w:t>
            </w:r>
          </w:p>
        </w:tc>
      </w:tr>
    </w:tbl>
    <w:p>
      <w:pPr>
        <w:spacing w:after="80" w:before="0"/>
      </w:pPr>
    </w:p>
    <w:p>
      <w:pPr>
        <w:spacing w:before="80" w:after="160"/>
        <w:pBdr>
          <w:bottom w:val="single" w:sz="6" w:space="1" w:color="C9D6DE"/>
        </w:pBdr>
      </w:pPr>
    </w:p>
    <w:p>
      <w:pPr>
        <w:pStyle w:val="Heading1"/>
        <w:pBdr>
          <w:bottom w:val="single" w:sz="8" w:space="4" w:color="C9D6DE"/>
        </w:pBdr>
      </w:pPr>
      <w:r>
        <w:t>7. Variance control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753"/>
            <w:shd w:val="clear" w:color="auto" w:fill="10375C"/>
          </w:tcPr>
          <w:p>
            <w:pPr>
              <w:spacing w:after="50" w:before="50"/>
            </w:pPr>
            <w:r>
              <w:rPr>
                <w:b/>
                <w:color w:val="FFFFFF"/>
                <w:sz w:val="17"/>
              </w:rPr>
              <w:t>Rule</w:t>
            </w:r>
          </w:p>
        </w:tc>
        <w:tc>
          <w:tcPr>
            <w:tcW w:type="dxa" w:w="6715"/>
            <w:shd w:val="clear" w:color="auto" w:fill="10375C"/>
          </w:tcPr>
          <w:p>
            <w:pPr>
              <w:spacing w:after="50" w:before="50"/>
            </w:pPr>
            <w:r>
              <w:rPr>
                <w:b/>
                <w:color w:val="FFFFFF"/>
                <w:sz w:val="17"/>
              </w:rPr>
              <w:t>Detail</w:t>
            </w:r>
          </w:p>
        </w:tc>
      </w:tr>
      <w:tr>
        <w:tc>
          <w:tcPr>
            <w:tcW w:type="dxa" w:w="2753"/>
          </w:tcPr>
          <w:p>
            <w:pPr>
              <w:spacing w:after="50" w:before="50" w:line="252" w:lineRule="auto"/>
            </w:pPr>
            <w:r>
              <w:rPr>
                <w:sz w:val="17"/>
              </w:rPr>
              <w:t>Contingency</w:t>
            </w:r>
          </w:p>
        </w:tc>
        <w:tc>
          <w:tcPr>
            <w:tcW w:type="dxa" w:w="6715"/>
          </w:tcPr>
          <w:p>
            <w:pPr>
              <w:spacing w:after="50" w:before="50" w:line="252" w:lineRule="auto"/>
            </w:pPr>
            <w:r>
              <w:rPr>
                <w:sz w:val="17"/>
              </w:rPr>
              <w:t>Released only by the budget owner, against a written reason</w:t>
            </w:r>
          </w:p>
        </w:tc>
      </w:tr>
      <w:tr>
        <w:tc>
          <w:tcPr>
            <w:tcW w:type="dxa" w:w="2753"/>
            <w:shd w:val="clear" w:color="auto" w:fill="EAF1F4"/>
          </w:tcPr>
          <w:p>
            <w:pPr>
              <w:spacing w:after="50" w:before="50" w:line="252" w:lineRule="auto"/>
            </w:pPr>
            <w:r>
              <w:rPr>
                <w:sz w:val="17"/>
              </w:rPr>
              <w:t>Overspend on a line</w:t>
            </w:r>
          </w:p>
        </w:tc>
        <w:tc>
          <w:tcPr>
            <w:tcW w:type="dxa" w:w="6715"/>
            <w:shd w:val="clear" w:color="auto" w:fill="EAF1F4"/>
          </w:tcPr>
          <w:p>
            <w:pPr>
              <w:spacing w:after="50" w:before="50" w:line="252" w:lineRule="auto"/>
            </w:pPr>
            <w:r>
              <w:rPr>
                <w:sz w:val="17"/>
              </w:rPr>
              <w:t>Up to 10% may be absorbed from contingency by the budget owner; beyond 10% requires the original approver</w:t>
            </w:r>
          </w:p>
        </w:tc>
      </w:tr>
      <w:tr>
        <w:tc>
          <w:tcPr>
            <w:tcW w:type="dxa" w:w="2753"/>
          </w:tcPr>
          <w:p>
            <w:pPr>
              <w:spacing w:after="50" w:before="50" w:line="252" w:lineRule="auto"/>
            </w:pPr>
            <w:r>
              <w:rPr>
                <w:sz w:val="17"/>
              </w:rPr>
              <w:t>New line not in the budget</w:t>
            </w:r>
          </w:p>
        </w:tc>
        <w:tc>
          <w:tcPr>
            <w:tcW w:type="dxa" w:w="6715"/>
          </w:tcPr>
          <w:p>
            <w:pPr>
              <w:spacing w:after="50" w:before="50" w:line="252" w:lineRule="auto"/>
            </w:pPr>
            <w:r>
              <w:rPr>
                <w:sz w:val="17"/>
              </w:rPr>
              <w:t>Requires the original approver, whatever the amount</w:t>
            </w:r>
          </w:p>
        </w:tc>
      </w:tr>
      <w:tr>
        <w:tc>
          <w:tcPr>
            <w:tcW w:type="dxa" w:w="2753"/>
            <w:shd w:val="clear" w:color="auto" w:fill="EAF1F4"/>
          </w:tcPr>
          <w:p>
            <w:pPr>
              <w:spacing w:after="50" w:before="50" w:line="252" w:lineRule="auto"/>
            </w:pPr>
            <w:r>
              <w:rPr>
                <w:sz w:val="17"/>
              </w:rPr>
              <w:t>Income shortfall</w:t>
            </w:r>
          </w:p>
        </w:tc>
        <w:tc>
          <w:tcPr>
            <w:tcW w:type="dxa" w:w="6715"/>
            <w:shd w:val="clear" w:color="auto" w:fill="EAF1F4"/>
          </w:tcPr>
          <w:p>
            <w:pPr>
              <w:spacing w:after="50" w:before="50" w:line="252" w:lineRule="auto"/>
            </w:pPr>
            <w:r>
              <w:rPr>
                <w:sz w:val="17"/>
              </w:rPr>
              <w:t>Where contracted sponsorship falls short by more than 20%, the budget owner must present a reduced-cost plan before further commitment</w:t>
            </w:r>
          </w:p>
        </w:tc>
      </w:tr>
      <w:tr>
        <w:tc>
          <w:tcPr>
            <w:tcW w:type="dxa" w:w="2753"/>
          </w:tcPr>
          <w:p>
            <w:pPr>
              <w:spacing w:after="50" w:before="50" w:line="252" w:lineRule="auto"/>
            </w:pPr>
            <w:r>
              <w:rPr>
                <w:sz w:val="17"/>
              </w:rPr>
              <w:t>Post-event report</w:t>
            </w:r>
          </w:p>
        </w:tc>
        <w:tc>
          <w:tcPr>
            <w:tcW w:type="dxa" w:w="6715"/>
          </w:tcPr>
          <w:p>
            <w:pPr>
              <w:spacing w:after="50" w:before="50" w:line="252" w:lineRule="auto"/>
            </w:pPr>
            <w:r>
              <w:rPr>
                <w:sz w:val="17"/>
              </w:rPr>
              <w:t>Budget against actual, with an explanation of every variance above ₹10,000 or 10%, within 30 days</w:t>
            </w:r>
          </w:p>
        </w:tc>
      </w:tr>
    </w:tbl>
    <w:p>
      <w:pPr>
        <w:spacing w:after="80" w:before="0"/>
      </w:pPr>
    </w:p>
    <w:p>
      <w:pPr>
        <w:spacing w:before="80" w:after="160"/>
        <w:pBdr>
          <w:bottom w:val="single" w:sz="6" w:space="1" w:color="C9D6DE"/>
        </w:pBdr>
      </w:pPr>
    </w:p>
    <w:p>
      <w:pPr>
        <w:pStyle w:val="Heading1"/>
        <w:pBdr>
          <w:bottom w:val="single" w:sz="8" w:space="4" w:color="C9D6DE"/>
        </w:pBdr>
      </w:pPr>
      <w:r>
        <w:t>8. Commitment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No third-party commitment — venue, vendor, printer, hotel — before budget approval</w:t>
            </w:r>
          </w:p>
        </w:tc>
      </w:tr>
      <w:tr>
        <w:tc>
          <w:tcPr>
            <w:tcW w:type="dxa" w:w="9468"/>
            <w:shd w:val="clear" w:color="auto" w:fill="EAF1F4"/>
          </w:tcPr>
          <w:p>
            <w:pPr>
              <w:spacing w:after="50" w:before="50" w:line="252" w:lineRule="auto"/>
            </w:pPr>
            <w:r>
              <w:rPr>
                <w:sz w:val="17"/>
              </w:rPr>
              <w:t>No purchase order without a written quotation; three quotations required above ₹50,000</w:t>
            </w:r>
          </w:p>
        </w:tc>
      </w:tr>
      <w:tr>
        <w:tc>
          <w:tcPr>
            <w:tcW w:type="dxa" w:w="9468"/>
          </w:tcPr>
          <w:p>
            <w:pPr>
              <w:spacing w:after="50" w:before="50" w:line="252" w:lineRule="auto"/>
            </w:pPr>
            <w:r>
              <w:rPr>
                <w:sz w:val="17"/>
              </w:rPr>
              <w:t>No advance to a vendor exceeding 40%</w:t>
            </w:r>
          </w:p>
        </w:tc>
      </w:tr>
      <w:tr>
        <w:tc>
          <w:tcPr>
            <w:tcW w:type="dxa" w:w="9468"/>
            <w:shd w:val="clear" w:color="auto" w:fill="EAF1F4"/>
          </w:tcPr>
          <w:p>
            <w:pPr>
              <w:spacing w:after="50" w:before="50" w:line="252" w:lineRule="auto"/>
            </w:pPr>
            <w:r>
              <w:rPr>
                <w:sz w:val="17"/>
              </w:rPr>
              <w:t>No commitment to prize money before sponsorship is contracted in writing</w:t>
            </w:r>
          </w:p>
        </w:tc>
      </w:tr>
      <w:tr>
        <w:tc>
          <w:tcPr>
            <w:tcW w:type="dxa" w:w="9468"/>
          </w:tcPr>
          <w:p>
            <w:pPr>
              <w:spacing w:after="50" w:before="50" w:line="252" w:lineRule="auto"/>
            </w:pPr>
            <w:r>
              <w:rPr>
                <w:sz w:val="17"/>
              </w:rPr>
              <w:t>No announcement of an event date before trainer and judge availability is confirmed</w:t>
            </w:r>
          </w:p>
        </w:tc>
      </w:tr>
      <w:tr>
        <w:tc>
          <w:tcPr>
            <w:tcW w:type="dxa" w:w="9468"/>
            <w:shd w:val="clear" w:color="auto" w:fill="EAF1F4"/>
          </w:tcPr>
          <w:p>
            <w:pPr>
              <w:spacing w:after="50" w:before="50" w:line="252" w:lineRule="auto"/>
            </w:pPr>
            <w:r>
              <w:rPr>
                <w:sz w:val="17"/>
              </w:rPr>
              <w:t>No commitment of Equator personnel across two events on overlapping dates</w:t>
            </w:r>
          </w:p>
        </w:tc>
      </w:tr>
    </w:tbl>
    <w:p>
      <w:pPr>
        <w:spacing w:after="80" w:before="0"/>
      </w:pPr>
    </w:p>
    <w:p>
      <w:pPr>
        <w:spacing w:before="80" w:after="160"/>
        <w:pBdr>
          <w:bottom w:val="single" w:sz="6" w:space="1" w:color="C9D6DE"/>
        </w:pBdr>
      </w:pPr>
    </w:p>
    <w:p>
      <w:pPr>
        <w:pStyle w:val="Heading1"/>
        <w:pBdr>
          <w:bottom w:val="single" w:sz="8" w:space="4" w:color="C9D6DE"/>
        </w:pBdr>
      </w:pPr>
      <w:r>
        <w:t>9. Post-event financial report</w:t>
      </w:r>
    </w:p>
    <w:p>
      <w:r>
        <w:t>Due within thirty days. Comprises: budget against actual by line; variance explanation; final participation numbers; sponsorship received against contracted; amounts outstanding; the cost-split reconciliation with the host; the calculated cost per participant; the non-cash value of the host's contribution; and three recommendations for the next edition.</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Event Budgeting &amp; Cost-Split Matrix</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D66819-D97E-40EE-8600-1DF618CECDBC}"/>
</file>

<file path=customXml/itemProps3.xml><?xml version="1.0" encoding="utf-8"?>
<ds:datastoreItem xmlns:ds="http://schemas.openxmlformats.org/officeDocument/2006/customXml" ds:itemID="{DE77C5A6-81DF-4FDC-B400-28E2EA036692}"/>
</file>

<file path=customXml/itemProps4.xml><?xml version="1.0" encoding="utf-8"?>
<ds:datastoreItem xmlns:ds="http://schemas.openxmlformats.org/officeDocument/2006/customXml" ds:itemID="{C9D151FE-796B-4981-BEE8-F4FAFE77207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