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shd w:val="clear" w:color="auto" w:fill="10375C"/>
      </w:pPr>
      <w:r>
        <w:rPr>
          <w:rFonts w:ascii="Calibri" w:hAnsi="Calibri"/>
          <w:b/>
          <w:caps/>
          <w:color w:val="FFFFFF"/>
          <w:sz w:val="26"/>
        </w:rPr>
        <w:t xml:space="preserve"> EQUATOR RESOLUTION</w:t>
      </w:r>
    </w:p>
    <w:p>
      <w:pPr>
        <w:spacing w:before="0" w:after="880"/>
        <w:shd w:val="clear" w:color="auto" w:fill="0E7C7B"/>
      </w:pPr>
      <w:r>
        <w:rPr>
          <w:rFonts w:ascii="Calibri" w:hAnsi="Calibri"/>
          <w:color w:val="FFFFFF"/>
          <w:sz w:val="16"/>
        </w:rPr>
        <w:t xml:space="preserve"> An Infrabyx Group venture  ·  www.equatorresolution.com</w:t>
      </w:r>
    </w:p>
    <w:p>
      <w:pPr>
        <w:spacing w:after="40"/>
      </w:pPr>
      <w:r>
        <w:rPr>
          <w:rFonts w:ascii="Calibri" w:hAnsi="Calibri"/>
          <w:b/>
          <w:caps/>
          <w:color w:val="0E7C7B"/>
          <w:sz w:val="19"/>
        </w:rPr>
        <w:t>UNIVERSITY &amp; ACADEMIC PARTNERSHIP PROGRAMME</w:t>
      </w:r>
    </w:p>
    <w:p>
      <w:pPr>
        <w:spacing w:after="120" w:line="240" w:lineRule="auto"/>
      </w:pPr>
      <w:r>
        <w:rPr>
          <w:rFonts w:ascii="Calibri" w:hAnsi="Calibri"/>
          <w:b/>
          <w:color w:val="10375C"/>
          <w:sz w:val="54"/>
        </w:rPr>
        <w:t>Invoicing, GST &amp; Collections SOP</w:t>
      </w:r>
    </w:p>
    <w:p>
      <w:pPr>
        <w:spacing w:after="280" w:line="276" w:lineRule="auto"/>
      </w:pPr>
      <w:r>
        <w:rPr>
          <w:rFonts w:ascii="Calibri" w:hAnsi="Calibri"/>
          <w:i/>
          <w:color w:val="3E6B8A"/>
          <w:sz w:val="25"/>
        </w:rPr>
        <w:t>Which entity invoices, what the invoice must carry, the tax questions that are open, and how money is collected</w:t>
      </w:r>
    </w:p>
    <w:p>
      <w:pPr>
        <w:spacing w:after="520"/>
        <w:pBdr>
          <w:bottom w:val="single" w:sz="18" w:space="1" w:color="0E7C7B"/>
        </w:pBdr>
      </w:pPr>
    </w:p>
    <w:tbl>
      <w:tblPr>
        <w:tblW w:type="auto" w:w="0"/>
        <w:jc w:val="left"/>
        <w:tblLayout w:type="fixed"/>
        <w:tblLook w:firstColumn="1" w:firstRow="1" w:lastColumn="0" w:lastRow="0" w:noHBand="0" w:noVBand="1" w:val="04A0"/>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
      <w:tblGrid>
        <w:gridCol w:w="4734"/>
        <w:gridCol w:w="4734"/>
      </w:tblGrid>
      <w:tr>
        <w:tc>
          <w:tcPr>
            <w:tcW w:type="dxa" w:w="2891"/>
            <w:shd w:val="clear" w:color="auto" w:fill="EAF1F4"/>
          </w:tcPr>
          <w:p>
            <w:pPr>
              <w:spacing w:after="60" w:before="60"/>
            </w:pPr>
            <w:r>
              <w:rPr>
                <w:rFonts w:ascii="Calibri" w:hAnsi="Calibri"/>
                <w:b/>
                <w:color w:val="10375C"/>
                <w:sz w:val="18"/>
              </w:rPr>
              <w:t>Document reference</w:t>
            </w:r>
          </w:p>
        </w:tc>
        <w:tc>
          <w:tcPr>
            <w:tcW w:type="dxa" w:w="6576"/>
          </w:tcPr>
          <w:p>
            <w:pPr>
              <w:spacing w:after="60" w:before="60"/>
            </w:pPr>
            <w:r>
              <w:rPr>
                <w:rFonts w:ascii="Calibri" w:hAnsi="Calibri"/>
                <w:color w:val="333333"/>
                <w:sz w:val="18"/>
              </w:rPr>
              <w:t>EQ-UAP-046</w:t>
            </w:r>
          </w:p>
        </w:tc>
      </w:tr>
      <w:tr>
        <w:tc>
          <w:tcPr>
            <w:tcW w:type="dxa" w:w="2891"/>
            <w:shd w:val="clear" w:color="auto" w:fill="EAF1F4"/>
          </w:tcPr>
          <w:p>
            <w:pPr>
              <w:spacing w:after="60" w:before="60"/>
            </w:pPr>
            <w:r>
              <w:rPr>
                <w:rFonts w:ascii="Calibri" w:hAnsi="Calibri"/>
                <w:b/>
                <w:color w:val="10375C"/>
                <w:sz w:val="18"/>
              </w:rPr>
              <w:t>Document family</w:t>
            </w:r>
          </w:p>
        </w:tc>
        <w:tc>
          <w:tcPr>
            <w:tcW w:type="dxa" w:w="6576"/>
          </w:tcPr>
          <w:p>
            <w:pPr>
              <w:spacing w:after="60" w:before="60"/>
            </w:pPr>
            <w:r>
              <w:rPr>
                <w:rFonts w:ascii="Calibri" w:hAnsi="Calibri"/>
                <w:color w:val="333333"/>
                <w:sz w:val="18"/>
              </w:rPr>
              <w:t>Commercial</w:t>
            </w:r>
          </w:p>
        </w:tc>
      </w:tr>
      <w:tr>
        <w:tc>
          <w:tcPr>
            <w:tcW w:type="dxa" w:w="2891"/>
            <w:shd w:val="clear" w:color="auto" w:fill="EAF1F4"/>
          </w:tcPr>
          <w:p>
            <w:pPr>
              <w:spacing w:after="60" w:before="60"/>
            </w:pPr>
            <w:r>
              <w:rPr>
                <w:rFonts w:ascii="Calibri" w:hAnsi="Calibri"/>
                <w:b/>
                <w:color w:val="10375C"/>
                <w:sz w:val="18"/>
              </w:rPr>
              <w:t>Version</w:t>
            </w:r>
          </w:p>
        </w:tc>
        <w:tc>
          <w:tcPr>
            <w:tcW w:type="dxa" w:w="6576"/>
          </w:tcPr>
          <w:p>
            <w:pPr>
              <w:spacing w:after="60" w:before="60"/>
            </w:pPr>
            <w:r>
              <w:rPr>
                <w:rFonts w:ascii="Calibri" w:hAnsi="Calibri"/>
                <w:color w:val="333333"/>
                <w:sz w:val="18"/>
              </w:rPr>
              <w:t>v1.0   ·   Draft for legal sign-off</w:t>
            </w:r>
          </w:p>
        </w:tc>
      </w:tr>
      <w:tr>
        <w:tc>
          <w:tcPr>
            <w:tcW w:type="dxa" w:w="2891"/>
            <w:shd w:val="clear" w:color="auto" w:fill="EAF1F4"/>
          </w:tcPr>
          <w:p>
            <w:pPr>
              <w:spacing w:after="60" w:before="60"/>
            </w:pPr>
            <w:r>
              <w:rPr>
                <w:rFonts w:ascii="Calibri" w:hAnsi="Calibri"/>
                <w:b/>
                <w:color w:val="10375C"/>
                <w:sz w:val="18"/>
              </w:rPr>
              <w:t>Date of issue</w:t>
            </w:r>
          </w:p>
        </w:tc>
        <w:tc>
          <w:tcPr>
            <w:tcW w:type="dxa" w:w="6576"/>
          </w:tcPr>
          <w:p>
            <w:pPr>
              <w:spacing w:after="60" w:before="60"/>
            </w:pPr>
            <w:r>
              <w:rPr>
                <w:rFonts w:ascii="Calibri" w:hAnsi="Calibri"/>
                <w:color w:val="333333"/>
                <w:sz w:val="18"/>
              </w:rPr>
              <w:t>July 2026</w:t>
            </w:r>
          </w:p>
        </w:tc>
      </w:tr>
      <w:tr>
        <w:tc>
          <w:tcPr>
            <w:tcW w:type="dxa" w:w="2891"/>
            <w:shd w:val="clear" w:color="auto" w:fill="EAF1F4"/>
          </w:tcPr>
          <w:p>
            <w:pPr>
              <w:spacing w:after="60" w:before="60"/>
            </w:pPr>
            <w:r>
              <w:rPr>
                <w:rFonts w:ascii="Calibri" w:hAnsi="Calibri"/>
                <w:b/>
                <w:color w:val="10375C"/>
                <w:sz w:val="18"/>
              </w:rPr>
              <w:t>Law stated as at</w:t>
            </w:r>
          </w:p>
        </w:tc>
        <w:tc>
          <w:tcPr>
            <w:tcW w:type="dxa" w:w="6576"/>
          </w:tcPr>
          <w:p>
            <w:pPr>
              <w:spacing w:after="60" w:before="60"/>
            </w:pPr>
            <w:r>
              <w:rPr>
                <w:rFonts w:ascii="Calibri" w:hAnsi="Calibri"/>
                <w:color w:val="333333"/>
                <w:sz w:val="18"/>
              </w:rPr>
              <w:t>22 July 2026</w:t>
            </w:r>
          </w:p>
        </w:tc>
      </w:tr>
      <w:tr>
        <w:tc>
          <w:tcPr>
            <w:tcW w:type="dxa" w:w="2891"/>
            <w:shd w:val="clear" w:color="auto" w:fill="EAF1F4"/>
          </w:tcPr>
          <w:p>
            <w:pPr>
              <w:spacing w:after="60" w:before="60"/>
            </w:pPr>
            <w:r>
              <w:rPr>
                <w:rFonts w:ascii="Calibri" w:hAnsi="Calibri"/>
                <w:b/>
                <w:color w:val="10375C"/>
                <w:sz w:val="18"/>
              </w:rPr>
              <w:t>Owner</w:t>
            </w:r>
          </w:p>
        </w:tc>
        <w:tc>
          <w:tcPr>
            <w:tcW w:type="dxa" w:w="6576"/>
          </w:tcPr>
          <w:p>
            <w:pPr>
              <w:spacing w:after="60" w:before="60"/>
            </w:pPr>
            <w:r>
              <w:rPr>
                <w:rFonts w:ascii="Calibri" w:hAnsi="Calibri"/>
                <w:color w:val="333333"/>
                <w:sz w:val="18"/>
              </w:rPr>
              <w:t>Director — Academic Partnerships, Equator ADR Institute</w:t>
            </w:r>
          </w:p>
        </w:tc>
      </w:tr>
      <w:tr>
        <w:tc>
          <w:tcPr>
            <w:tcW w:type="dxa" w:w="2891"/>
            <w:shd w:val="clear" w:color="auto" w:fill="EAF1F4"/>
          </w:tcPr>
          <w:p>
            <w:pPr>
              <w:spacing w:after="60" w:before="60"/>
            </w:pPr>
            <w:r>
              <w:rPr>
                <w:rFonts w:ascii="Calibri" w:hAnsi="Calibri"/>
                <w:b/>
                <w:color w:val="10375C"/>
                <w:sz w:val="18"/>
              </w:rPr>
              <w:t>Approver</w:t>
            </w:r>
          </w:p>
        </w:tc>
        <w:tc>
          <w:tcPr>
            <w:tcW w:type="dxa" w:w="6576"/>
          </w:tcPr>
          <w:p>
            <w:pPr>
              <w:spacing w:after="60" w:before="60"/>
            </w:pPr>
            <w:r>
              <w:rPr>
                <w:rFonts w:ascii="Calibri" w:hAnsi="Calibri"/>
                <w:color w:val="333333"/>
                <w:sz w:val="18"/>
              </w:rPr>
              <w:t>Managing Director, Equator Resolution</w:t>
            </w:r>
          </w:p>
        </w:tc>
      </w:tr>
      <w:tr>
        <w:tc>
          <w:tcPr>
            <w:tcW w:type="dxa" w:w="2891"/>
            <w:shd w:val="clear" w:color="auto" w:fill="EAF1F4"/>
          </w:tcPr>
          <w:p>
            <w:pPr>
              <w:spacing w:after="60" w:before="60"/>
            </w:pPr>
            <w:r>
              <w:rPr>
                <w:rFonts w:ascii="Calibri" w:hAnsi="Calibri"/>
                <w:b/>
                <w:color w:val="10375C"/>
                <w:sz w:val="18"/>
              </w:rPr>
              <w:t>Classification</w:t>
            </w:r>
          </w:p>
        </w:tc>
        <w:tc>
          <w:tcPr>
            <w:tcW w:type="dxa" w:w="6576"/>
          </w:tcPr>
          <w:p>
            <w:pPr>
              <w:spacing w:after="60" w:before="60"/>
            </w:pPr>
            <w:r>
              <w:rPr>
                <w:rFonts w:ascii="Calibri" w:hAnsi="Calibri"/>
                <w:color w:val="333333"/>
                <w:sz w:val="18"/>
              </w:rPr>
              <w:t>Confidential — Internal · Tax positions subject to open item U1</w:t>
            </w:r>
          </w:p>
        </w:tc>
      </w:tr>
    </w:tbl>
    <w:p>
      <w:pPr>
        <w:spacing w:before="600"/>
        <w:ind w:left="170"/>
        <w:pBdr>
          <w:left w:val="single" w:sz="18" w:space="6" w:color="8A5A00"/>
        </w:pBdr>
        <w:shd w:val="clear" w:color="auto" w:fill="FDF6EC"/>
      </w:pPr>
      <w:r>
        <w:rPr>
          <w:b/>
          <w:color w:val="8A5A00"/>
          <w:sz w:val="17"/>
        </w:rPr>
        <w:t xml:space="preserve">Not legal advice.  </w:t>
      </w:r>
      <w:r>
        <w:rPr>
          <w:color w:val="595959"/>
          <w:sz w:val="17"/>
        </w:rPr>
        <w:t>This document is a working draft prepared for Equator Resolution. Before it is used with any institution, student or party it must be reviewed by qualified counsel and, where personal data is involved, by the Data Protection Officer. Items marked [verify] must be cleared in the Master Legal Sign-off Register.</w:t>
      </w:r>
    </w:p>
    <w:p>
      <w:r>
        <w:br w:type="page"/>
      </w:r>
    </w:p>
    <w:p>
      <w:pPr>
        <w:spacing w:after="200"/>
        <w:pBdr>
          <w:bottom w:val="single" w:sz="10" w:space="4" w:color="0E7C7B"/>
        </w:pBdr>
      </w:pPr>
      <w:r>
        <w:rPr>
          <w:rFonts w:ascii="Calibri" w:hAnsi="Calibri"/>
          <w:b/>
          <w:color w:val="10375C"/>
          <w:sz w:val="31"/>
        </w:rPr>
        <w:t>Document control</w:t>
      </w:r>
    </w:p>
    <w:p>
      <w:pPr>
        <w:spacing w:before="240" w:after="80"/>
        <w:keepNext w:val="1"/>
      </w:pPr>
      <w:r>
        <w:rPr>
          <w:rFonts w:ascii="Calibri" w:hAnsi="Calibri"/>
          <w:b/>
          <w:color w:val="0E7C7B"/>
          <w:sz w:val="22"/>
        </w:rPr>
        <w:t>Version history</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1894"/>
        <w:gridCol w:w="1894"/>
        <w:gridCol w:w="1894"/>
        <w:gridCol w:w="1894"/>
        <w:gridCol w:w="1894"/>
      </w:tblGrid>
      <w:tr>
        <w:trPr>
          <w:tblHeader w:val="true"/>
        </w:trPr>
        <w:tc>
          <w:tcPr>
            <w:tcW w:type="dxa" w:w="964"/>
            <w:shd w:val="clear" w:color="auto" w:fill="10375C"/>
          </w:tcPr>
          <w:p>
            <w:pPr>
              <w:spacing w:after="40" w:before="40"/>
            </w:pPr>
            <w:r>
              <w:rPr>
                <w:rFonts w:ascii="Calibri" w:hAnsi="Calibri"/>
                <w:b/>
                <w:color w:val="FFFFFF"/>
                <w:sz w:val="17"/>
              </w:rPr>
              <w:t>Version</w:t>
            </w:r>
          </w:p>
        </w:tc>
        <w:tc>
          <w:tcPr>
            <w:tcW w:type="dxa" w:w="1304"/>
            <w:shd w:val="clear" w:color="auto" w:fill="10375C"/>
          </w:tcPr>
          <w:p>
            <w:pPr>
              <w:spacing w:after="40" w:before="40"/>
            </w:pPr>
            <w:r>
              <w:rPr>
                <w:rFonts w:ascii="Calibri" w:hAnsi="Calibri"/>
                <w:b/>
                <w:color w:val="FFFFFF"/>
                <w:sz w:val="17"/>
              </w:rPr>
              <w:t>Date</w:t>
            </w:r>
          </w:p>
        </w:tc>
        <w:tc>
          <w:tcPr>
            <w:tcW w:type="dxa" w:w="2041"/>
            <w:shd w:val="clear" w:color="auto" w:fill="10375C"/>
          </w:tcPr>
          <w:p>
            <w:pPr>
              <w:spacing w:after="40" w:before="40"/>
            </w:pPr>
            <w:r>
              <w:rPr>
                <w:rFonts w:ascii="Calibri" w:hAnsi="Calibri"/>
                <w:b/>
                <w:color w:val="FFFFFF"/>
                <w:sz w:val="17"/>
              </w:rPr>
              <w:t>Author</w:t>
            </w:r>
          </w:p>
        </w:tc>
        <w:tc>
          <w:tcPr>
            <w:tcW w:type="dxa" w:w="3742"/>
            <w:shd w:val="clear" w:color="auto" w:fill="10375C"/>
          </w:tcPr>
          <w:p>
            <w:pPr>
              <w:spacing w:after="40" w:before="40"/>
            </w:pPr>
            <w:r>
              <w:rPr>
                <w:rFonts w:ascii="Calibri" w:hAnsi="Calibri"/>
                <w:b/>
                <w:color w:val="FFFFFF"/>
                <w:sz w:val="17"/>
              </w:rPr>
              <w:t>Summary of change</w:t>
            </w:r>
          </w:p>
        </w:tc>
        <w:tc>
          <w:tcPr>
            <w:tcW w:type="dxa" w:w="1417"/>
            <w:shd w:val="clear" w:color="auto" w:fill="10375C"/>
          </w:tcPr>
          <w:p>
            <w:pPr>
              <w:spacing w:after="40" w:before="40"/>
            </w:pPr>
            <w:r>
              <w:rPr>
                <w:rFonts w:ascii="Calibri" w:hAnsi="Calibri"/>
                <w:b/>
                <w:color w:val="FFFFFF"/>
                <w:sz w:val="17"/>
              </w:rPr>
              <w:t>Status</w:t>
            </w:r>
          </w:p>
        </w:tc>
      </w:tr>
      <w:tr>
        <w:tc>
          <w:tcPr>
            <w:tcW w:type="dxa" w:w="964"/>
          </w:tcPr>
          <w:p>
            <w:pPr>
              <w:spacing w:after="40" w:before="40"/>
            </w:pPr>
            <w:r>
              <w:rPr>
                <w:rFonts w:ascii="Calibri" w:hAnsi="Calibri"/>
                <w:sz w:val="17"/>
              </w:rPr>
              <w:t>0.1</w:t>
            </w:r>
          </w:p>
        </w:tc>
        <w:tc>
          <w:tcPr>
            <w:tcW w:type="dxa" w:w="1304"/>
          </w:tcPr>
          <w:p>
            <w:pPr>
              <w:spacing w:after="40" w:before="40"/>
            </w:pPr>
            <w:r>
              <w:rPr>
                <w:rFonts w:ascii="Calibri" w:hAnsi="Calibri"/>
                <w:sz w:val="17"/>
              </w:rPr>
              <w:t>July 2026</w:t>
            </w:r>
          </w:p>
        </w:tc>
        <w:tc>
          <w:tcPr>
            <w:tcW w:type="dxa" w:w="2041"/>
          </w:tcPr>
          <w:p>
            <w:pPr>
              <w:spacing w:after="40" w:before="40"/>
            </w:pPr>
            <w:r>
              <w:rPr>
                <w:rFonts w:ascii="Calibri" w:hAnsi="Calibri"/>
                <w:sz w:val="17"/>
              </w:rPr>
              <w:t>Equator ADR Institute</w:t>
            </w:r>
          </w:p>
        </w:tc>
        <w:tc>
          <w:tcPr>
            <w:tcW w:type="dxa" w:w="3742"/>
          </w:tcPr>
          <w:p>
            <w:pPr>
              <w:spacing w:after="40" w:before="40"/>
            </w:pPr>
            <w:r>
              <w:rPr>
                <w:rFonts w:ascii="Calibri" w:hAnsi="Calibri"/>
                <w:sz w:val="17"/>
              </w:rPr>
              <w:t>Initial drafting</w:t>
            </w:r>
          </w:p>
        </w:tc>
        <w:tc>
          <w:tcPr>
            <w:tcW w:type="dxa" w:w="1417"/>
          </w:tcPr>
          <w:p>
            <w:pPr>
              <w:spacing w:after="40" w:before="40"/>
            </w:pPr>
            <w:r>
              <w:rPr>
                <w:rFonts w:ascii="Calibri" w:hAnsi="Calibri"/>
                <w:sz w:val="17"/>
              </w:rPr>
              <w:t>Superseded</w:t>
            </w:r>
          </w:p>
        </w:tc>
      </w:tr>
      <w:tr>
        <w:tc>
          <w:tcPr>
            <w:tcW w:type="dxa" w:w="964"/>
            <w:shd w:val="clear" w:color="auto" w:fill="EAF1F4"/>
          </w:tcPr>
          <w:p>
            <w:pPr>
              <w:spacing w:after="40" w:before="40"/>
            </w:pPr>
            <w:r>
              <w:rPr>
                <w:rFonts w:ascii="Calibri" w:hAnsi="Calibri"/>
                <w:sz w:val="17"/>
              </w:rPr>
              <w:t>1.0</w:t>
            </w:r>
          </w:p>
        </w:tc>
        <w:tc>
          <w:tcPr>
            <w:tcW w:type="dxa" w:w="1304"/>
            <w:shd w:val="clear" w:color="auto" w:fill="EAF1F4"/>
          </w:tcPr>
          <w:p>
            <w:pPr>
              <w:spacing w:after="40" w:before="40"/>
            </w:pPr>
            <w:r>
              <w:rPr>
                <w:rFonts w:ascii="Calibri" w:hAnsi="Calibri"/>
                <w:sz w:val="17"/>
              </w:rPr>
              <w:t>July 2026</w:t>
            </w:r>
          </w:p>
        </w:tc>
        <w:tc>
          <w:tcPr>
            <w:tcW w:type="dxa" w:w="2041"/>
            <w:shd w:val="clear" w:color="auto" w:fill="EAF1F4"/>
          </w:tcPr>
          <w:p>
            <w:pPr>
              <w:spacing w:after="40" w:before="40"/>
            </w:pPr>
            <w:r>
              <w:rPr>
                <w:rFonts w:ascii="Calibri" w:hAnsi="Calibri"/>
                <w:sz w:val="17"/>
              </w:rPr>
              <w:t>Equator ADR Institute</w:t>
            </w:r>
          </w:p>
        </w:tc>
        <w:tc>
          <w:tcPr>
            <w:tcW w:type="dxa" w:w="3742"/>
            <w:shd w:val="clear" w:color="auto" w:fill="EAF1F4"/>
          </w:tcPr>
          <w:p>
            <w:pPr>
              <w:spacing w:after="40" w:before="40"/>
            </w:pPr>
            <w:r>
              <w:rPr>
                <w:rFonts w:ascii="Calibri" w:hAnsi="Calibri"/>
                <w:sz w:val="17"/>
              </w:rPr>
              <w:t>First complete issue for legal review</w:t>
            </w:r>
          </w:p>
        </w:tc>
        <w:tc>
          <w:tcPr>
            <w:tcW w:type="dxa" w:w="1417"/>
            <w:shd w:val="clear" w:color="auto" w:fill="EAF1F4"/>
          </w:tcPr>
          <w:p>
            <w:pPr>
              <w:spacing w:after="40" w:before="40"/>
            </w:pPr>
            <w:r>
              <w:rPr>
                <w:rFonts w:ascii="Calibri" w:hAnsi="Calibri"/>
                <w:sz w:val="17"/>
              </w:rPr>
              <w:t>Draft for legal sign-off</w:t>
            </w:r>
          </w:p>
        </w:tc>
      </w:tr>
      <w:tr>
        <w:tc>
          <w:tcPr>
            <w:tcW w:type="dxa" w:w="964"/>
          </w:tcPr>
          <w:p>
            <w:pPr>
              <w:spacing w:after="40" w:before="40"/>
            </w:pPr>
            <w:r>
              <w:rPr>
                <w:rFonts w:ascii="Calibri" w:hAnsi="Calibri"/>
                <w:sz w:val="17"/>
              </w:rPr>
            </w:r>
          </w:p>
        </w:tc>
        <w:tc>
          <w:tcPr>
            <w:tcW w:type="dxa" w:w="1304"/>
          </w:tcPr>
          <w:p>
            <w:pPr>
              <w:spacing w:after="40" w:before="40"/>
            </w:pPr>
            <w:r>
              <w:rPr>
                <w:rFonts w:ascii="Calibri" w:hAnsi="Calibri"/>
                <w:sz w:val="17"/>
              </w:rPr>
            </w:r>
          </w:p>
        </w:tc>
        <w:tc>
          <w:tcPr>
            <w:tcW w:type="dxa" w:w="2041"/>
          </w:tcPr>
          <w:p>
            <w:pPr>
              <w:spacing w:after="40" w:before="40"/>
            </w:pPr>
            <w:r>
              <w:rPr>
                <w:rFonts w:ascii="Calibri" w:hAnsi="Calibri"/>
                <w:sz w:val="17"/>
              </w:rPr>
            </w:r>
          </w:p>
        </w:tc>
        <w:tc>
          <w:tcPr>
            <w:tcW w:type="dxa" w:w="3742"/>
          </w:tcPr>
          <w:p>
            <w:pPr>
              <w:spacing w:after="40" w:before="40"/>
            </w:pPr>
            <w:r>
              <w:rPr>
                <w:rFonts w:ascii="Calibri" w:hAnsi="Calibri"/>
                <w:sz w:val="17"/>
              </w:rPr>
            </w:r>
          </w:p>
        </w:tc>
        <w:tc>
          <w:tcPr>
            <w:tcW w:type="dxa" w:w="1417"/>
          </w:tcPr>
          <w:p>
            <w:pPr>
              <w:spacing w:after="40" w:before="40"/>
            </w:pPr>
            <w:r>
              <w:rPr>
                <w:rFonts w:ascii="Calibri" w:hAnsi="Calibri"/>
                <w:sz w:val="17"/>
              </w:rPr>
            </w:r>
          </w:p>
        </w:tc>
      </w:tr>
      <w:tr>
        <w:tc>
          <w:tcPr>
            <w:tcW w:type="dxa" w:w="964"/>
            <w:shd w:val="clear" w:color="auto" w:fill="EAF1F4"/>
          </w:tcPr>
          <w:p>
            <w:pPr>
              <w:spacing w:after="40" w:before="40"/>
            </w:pPr>
            <w:r>
              <w:rPr>
                <w:rFonts w:ascii="Calibri" w:hAnsi="Calibri"/>
                <w:sz w:val="17"/>
              </w:rPr>
            </w:r>
          </w:p>
        </w:tc>
        <w:tc>
          <w:tcPr>
            <w:tcW w:type="dxa" w:w="1304"/>
            <w:shd w:val="clear" w:color="auto" w:fill="EAF1F4"/>
          </w:tcPr>
          <w:p>
            <w:pPr>
              <w:spacing w:after="40" w:before="40"/>
            </w:pPr>
            <w:r>
              <w:rPr>
                <w:rFonts w:ascii="Calibri" w:hAnsi="Calibri"/>
                <w:sz w:val="17"/>
              </w:rPr>
            </w:r>
          </w:p>
        </w:tc>
        <w:tc>
          <w:tcPr>
            <w:tcW w:type="dxa" w:w="2041"/>
            <w:shd w:val="clear" w:color="auto" w:fill="EAF1F4"/>
          </w:tcPr>
          <w:p>
            <w:pPr>
              <w:spacing w:after="40" w:before="40"/>
            </w:pPr>
            <w:r>
              <w:rPr>
                <w:rFonts w:ascii="Calibri" w:hAnsi="Calibri"/>
                <w:sz w:val="17"/>
              </w:rPr>
            </w:r>
          </w:p>
        </w:tc>
        <w:tc>
          <w:tcPr>
            <w:tcW w:type="dxa" w:w="3742"/>
            <w:shd w:val="clear" w:color="auto" w:fill="EAF1F4"/>
          </w:tcPr>
          <w:p>
            <w:pPr>
              <w:spacing w:after="40" w:before="40"/>
            </w:pPr>
            <w:r>
              <w:rPr>
                <w:rFonts w:ascii="Calibri" w:hAnsi="Calibri"/>
                <w:sz w:val="17"/>
              </w:rPr>
            </w:r>
          </w:p>
        </w:tc>
        <w:tc>
          <w:tcPr>
            <w:tcW w:type="dxa" w:w="1417"/>
            <w:shd w:val="clear" w:color="auto" w:fill="EAF1F4"/>
          </w:tcPr>
          <w:p>
            <w:pPr>
              <w:spacing w:after="40" w:before="40"/>
            </w:pPr>
            <w:r>
              <w:rPr>
                <w:rFonts w:ascii="Calibri" w:hAnsi="Calibri"/>
                <w:sz w:val="17"/>
              </w:rPr>
            </w:r>
          </w:p>
        </w:tc>
      </w:tr>
    </w:tbl>
    <w:p>
      <w:pPr>
        <w:spacing w:before="240" w:after="80"/>
        <w:keepNext w:val="1"/>
      </w:pPr>
      <w:r>
        <w:rPr>
          <w:rFonts w:ascii="Calibri" w:hAnsi="Calibri"/>
          <w:b/>
          <w:color w:val="0E7C7B"/>
          <w:sz w:val="22"/>
        </w:rPr>
        <w:t>Review and approval</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2367"/>
        <w:gridCol w:w="2367"/>
        <w:gridCol w:w="2367"/>
        <w:gridCol w:w="2367"/>
      </w:tblGrid>
      <w:tr>
        <w:trPr>
          <w:tblHeader w:val="true"/>
        </w:trPr>
        <w:tc>
          <w:tcPr>
            <w:tcW w:type="dxa" w:w="2098"/>
            <w:shd w:val="clear" w:color="auto" w:fill="10375C"/>
          </w:tcPr>
          <w:p>
            <w:pPr>
              <w:spacing w:after="40" w:before="40"/>
            </w:pPr>
            <w:r>
              <w:rPr>
                <w:rFonts w:ascii="Calibri" w:hAnsi="Calibri"/>
                <w:b/>
                <w:color w:val="FFFFFF"/>
                <w:sz w:val="17"/>
              </w:rPr>
              <w:t>Role</w:t>
            </w:r>
          </w:p>
        </w:tc>
        <w:tc>
          <w:tcPr>
            <w:tcW w:type="dxa" w:w="1928"/>
            <w:shd w:val="clear" w:color="auto" w:fill="10375C"/>
          </w:tcPr>
          <w:p>
            <w:pPr>
              <w:spacing w:after="40" w:before="40"/>
            </w:pPr>
            <w:r>
              <w:rPr>
                <w:rFonts w:ascii="Calibri" w:hAnsi="Calibri"/>
                <w:b/>
                <w:color w:val="FFFFFF"/>
                <w:sz w:val="17"/>
              </w:rPr>
              <w:t>Name</w:t>
            </w:r>
          </w:p>
        </w:tc>
        <w:tc>
          <w:tcPr>
            <w:tcW w:type="dxa" w:w="3628"/>
            <w:shd w:val="clear" w:color="auto" w:fill="10375C"/>
          </w:tcPr>
          <w:p>
            <w:pPr>
              <w:spacing w:after="40" w:before="40"/>
            </w:pPr>
            <w:r>
              <w:rPr>
                <w:rFonts w:ascii="Calibri" w:hAnsi="Calibri"/>
                <w:b/>
                <w:color w:val="FFFFFF"/>
                <w:sz w:val="17"/>
              </w:rPr>
              <w:t>Responsibility</w:t>
            </w:r>
          </w:p>
        </w:tc>
        <w:tc>
          <w:tcPr>
            <w:tcW w:type="dxa" w:w="1814"/>
            <w:shd w:val="clear" w:color="auto" w:fill="10375C"/>
          </w:tcPr>
          <w:p>
            <w:pPr>
              <w:spacing w:after="40" w:before="40"/>
            </w:pPr>
            <w:r>
              <w:rPr>
                <w:rFonts w:ascii="Calibri" w:hAnsi="Calibri"/>
                <w:b/>
                <w:color w:val="FFFFFF"/>
                <w:sz w:val="17"/>
              </w:rPr>
              <w:t>Signature / date</w:t>
            </w:r>
          </w:p>
        </w:tc>
      </w:tr>
      <w:tr>
        <w:tc>
          <w:tcPr>
            <w:tcW w:type="dxa" w:w="2098"/>
          </w:tcPr>
          <w:p>
            <w:pPr>
              <w:spacing w:after="40" w:before="40"/>
            </w:pPr>
            <w:r>
              <w:rPr>
                <w:rFonts w:ascii="Calibri" w:hAnsi="Calibri"/>
                <w:sz w:val="17"/>
              </w:rPr>
              <w:t>Preparer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Drafting and factual accuracy</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Reviewer — Legal</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Statutory compliance; clause risk</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Reviewer — Finance</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Pricing, tax and revenue treatment</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Data Protection Officer</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DPDP Act 2023 and Rules 2025 compliance</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Approver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Final approval for issue</w:t>
            </w:r>
          </w:p>
        </w:tc>
        <w:tc>
          <w:tcPr>
            <w:tcW w:type="dxa" w:w="1814"/>
          </w:tcPr>
          <w:p>
            <w:pPr>
              <w:spacing w:after="40" w:before="40"/>
            </w:pPr>
            <w:r>
              <w:rPr>
                <w:rFonts w:ascii="Calibri" w:hAnsi="Calibri"/>
                <w:sz w:val="17"/>
              </w:rPr>
            </w:r>
          </w:p>
        </w:tc>
      </w:tr>
    </w:tbl>
    <w:p>
      <w:pPr>
        <w:spacing w:before="240" w:after="80"/>
        <w:keepNext w:val="1"/>
      </w:pPr>
      <w:r>
        <w:rPr>
          <w:rFonts w:ascii="Calibri" w:hAnsi="Calibri"/>
          <w:b/>
          <w:color w:val="0E7C7B"/>
          <w:sz w:val="22"/>
        </w:rPr>
        <w:t>Distribution and related documents</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608"/>
            <w:shd w:val="clear" w:color="auto" w:fill="10375C"/>
          </w:tcPr>
          <w:p>
            <w:pPr>
              <w:spacing w:after="40" w:before="40"/>
            </w:pPr>
            <w:r>
              <w:rPr>
                <w:rFonts w:ascii="Calibri" w:hAnsi="Calibri"/>
                <w:b/>
                <w:color w:val="FFFFFF"/>
                <w:sz w:val="17"/>
              </w:rPr>
              <w:t>Item</w:t>
            </w:r>
          </w:p>
        </w:tc>
        <w:tc>
          <w:tcPr>
            <w:tcW w:type="dxa" w:w="6860"/>
            <w:shd w:val="clear" w:color="auto" w:fill="10375C"/>
          </w:tcPr>
          <w:p>
            <w:pPr>
              <w:spacing w:after="40" w:before="40"/>
            </w:pPr>
            <w:r>
              <w:rPr>
                <w:rFonts w:ascii="Calibri" w:hAnsi="Calibri"/>
                <w:b/>
                <w:color w:val="FFFFFF"/>
                <w:sz w:val="17"/>
              </w:rPr>
              <w:t>Detail</w:t>
            </w:r>
          </w:p>
        </w:tc>
      </w:tr>
      <w:tr>
        <w:tc>
          <w:tcPr>
            <w:tcW w:type="dxa" w:w="2608"/>
          </w:tcPr>
          <w:p>
            <w:pPr>
              <w:spacing w:after="40" w:before="40"/>
            </w:pPr>
            <w:r>
              <w:rPr>
                <w:rFonts w:ascii="Calibri" w:hAnsi="Calibri"/>
                <w:sz w:val="17"/>
              </w:rPr>
              <w:t>Primary distribution</w:t>
            </w:r>
          </w:p>
        </w:tc>
        <w:tc>
          <w:tcPr>
            <w:tcW w:type="dxa" w:w="6860"/>
          </w:tcPr>
          <w:p>
            <w:pPr>
              <w:spacing w:after="40" w:before="40"/>
            </w:pPr>
            <w:r>
              <w:rPr>
                <w:rFonts w:ascii="Calibri" w:hAnsi="Calibri"/>
                <w:sz w:val="17"/>
              </w:rPr>
              <w:t>Managing Director; Director — Academic Partnerships; Legal; Finance</w:t>
            </w:r>
          </w:p>
        </w:tc>
      </w:tr>
      <w:tr>
        <w:tc>
          <w:tcPr>
            <w:tcW w:type="dxa" w:w="2608"/>
            <w:shd w:val="clear" w:color="auto" w:fill="EAF1F4"/>
          </w:tcPr>
          <w:p>
            <w:pPr>
              <w:spacing w:after="40" w:before="40"/>
            </w:pPr>
            <w:r>
              <w:rPr>
                <w:rFonts w:ascii="Calibri" w:hAnsi="Calibri"/>
                <w:sz w:val="17"/>
              </w:rPr>
              <w:t>Counterparty distribution</w:t>
            </w:r>
          </w:p>
        </w:tc>
        <w:tc>
          <w:tcPr>
            <w:tcW w:type="dxa" w:w="6860"/>
            <w:shd w:val="clear" w:color="auto" w:fill="EAF1F4"/>
          </w:tcPr>
          <w:p>
            <w:pPr>
              <w:spacing w:after="40" w:before="40"/>
            </w:pPr>
            <w:r>
              <w:rPr>
                <w:rFonts w:ascii="Calibri" w:hAnsi="Calibri"/>
                <w:sz w:val="17"/>
              </w:rPr>
              <w:t>Not for external release without approval</w:t>
            </w:r>
          </w:p>
        </w:tc>
      </w:tr>
      <w:tr>
        <w:tc>
          <w:tcPr>
            <w:tcW w:type="dxa" w:w="2608"/>
          </w:tcPr>
          <w:p>
            <w:pPr>
              <w:spacing w:after="40" w:before="40"/>
            </w:pPr>
            <w:r>
              <w:rPr>
                <w:rFonts w:ascii="Calibri" w:hAnsi="Calibri"/>
                <w:sz w:val="17"/>
              </w:rPr>
              <w:t>Related documents</w:t>
            </w:r>
          </w:p>
        </w:tc>
        <w:tc>
          <w:tcPr>
            <w:tcW w:type="dxa" w:w="6860"/>
          </w:tcPr>
          <w:p>
            <w:pPr>
              <w:spacing w:after="40" w:before="40"/>
            </w:pPr>
            <w:r>
              <w:rPr>
                <w:rFonts w:ascii="Calibri" w:hAnsi="Calibri"/>
                <w:sz w:val="17"/>
              </w:rPr>
              <w:t>See 00 — READ ME, University Partnership Programme</w:t>
            </w:r>
          </w:p>
        </w:tc>
      </w:tr>
      <w:tr>
        <w:tc>
          <w:tcPr>
            <w:tcW w:type="dxa" w:w="2608"/>
            <w:shd w:val="clear" w:color="auto" w:fill="EAF1F4"/>
          </w:tcPr>
          <w:p>
            <w:pPr>
              <w:spacing w:after="40" w:before="40"/>
            </w:pPr>
            <w:r>
              <w:rPr>
                <w:rFonts w:ascii="Calibri" w:hAnsi="Calibri"/>
                <w:sz w:val="17"/>
              </w:rPr>
              <w:t>Retention</w:t>
            </w:r>
          </w:p>
        </w:tc>
        <w:tc>
          <w:tcPr>
            <w:tcW w:type="dxa" w:w="6860"/>
            <w:shd w:val="clear" w:color="auto" w:fill="EAF1F4"/>
          </w:tcPr>
          <w:p>
            <w:pPr>
              <w:spacing w:after="40" w:before="40"/>
            </w:pPr>
            <w:r>
              <w:rPr>
                <w:rFonts w:ascii="Calibri" w:hAnsi="Calibri"/>
                <w:sz w:val="17"/>
              </w:rPr>
              <w:t>7 years from expiry of the related MOU, unless a longer statutory period applies</w:t>
            </w:r>
          </w:p>
        </w:tc>
      </w:tr>
      <w:tr>
        <w:tc>
          <w:tcPr>
            <w:tcW w:type="dxa" w:w="2608"/>
          </w:tcPr>
          <w:p>
            <w:pPr>
              <w:spacing w:after="40" w:before="40"/>
            </w:pPr>
            <w:r>
              <w:rPr>
                <w:rFonts w:ascii="Calibri" w:hAnsi="Calibri"/>
                <w:sz w:val="17"/>
              </w:rPr>
              <w:t>Review cycle</w:t>
            </w:r>
          </w:p>
        </w:tc>
        <w:tc>
          <w:tcPr>
            <w:tcW w:type="dxa" w:w="6860"/>
          </w:tcPr>
          <w:p>
            <w:pPr>
              <w:spacing w:after="40" w:before="40"/>
            </w:pPr>
            <w:r>
              <w:rPr>
                <w:rFonts w:ascii="Calibri" w:hAnsi="Calibri"/>
                <w:sz w:val="17"/>
              </w:rPr>
              <w:t>Annual, or on any change of law affecting the subject matter</w:t>
            </w:r>
          </w:p>
        </w:tc>
      </w:tr>
    </w:tbl>
    <w:p>
      <w:r>
        <w:br w:type="page"/>
      </w:r>
    </w:p>
    <w:p>
      <w:pPr>
        <w:spacing w:after="160"/>
        <w:pBdr>
          <w:bottom w:val="single" w:sz="10" w:space="4" w:color="0E7C7B"/>
        </w:pBdr>
      </w:pPr>
      <w:r>
        <w:rPr>
          <w:rFonts w:ascii="Calibri" w:hAnsi="Calibri"/>
          <w:b/>
          <w:color w:val="10375C"/>
          <w:sz w:val="31"/>
        </w:rPr>
        <w:t>Contents</w:t>
      </w:r>
    </w:p>
    <w:p>
      <w:r>
        <w:rPr>
          <w:i/>
          <w:color w:val="595959"/>
          <w:sz w:val="16"/>
        </w:rPr>
        <w:t>This table of contents is a live field. Open in Word, select all (Ctrl+A) and press F9 to populate or refresh it.</w:t>
      </w:r>
    </w:p>
    <w:p>
      <w:r>
        <w:fldChar w:fldCharType="begin"/>
      </w:r>
      <w:r>
        <w:instrText xml:space="preserve"> TOC \o "1-3" \h \z \u </w:instrText>
      </w:r>
      <w:r>
        <w:fldChar w:fldCharType="separate"/>
      </w:r>
      <w:r>
        <w:t>…</w:t>
      </w:r>
      <w:r>
        <w:fldChar w:fldCharType="end"/>
      </w:r>
    </w:p>
    <w:p>
      <w:r>
        <w:br w:type="page"/>
      </w:r>
    </w:p>
    <w:p>
      <w:pPr>
        <w:spacing w:before="140" w:after="140"/>
        <w:ind w:left="198" w:right="113"/>
        <w:shd w:val="clear" w:color="auto" w:fill="EAF1F4"/>
        <w:pBdr>
          <w:left w:val="single" w:sz="18" w:space="6" w:color="0E7C7B"/>
        </w:pBdr>
      </w:pPr>
      <w:r>
        <w:rPr>
          <w:b/>
          <w:sz w:val="19"/>
        </w:rPr>
        <w:t>Open item U1 is not cleared.</w:t>
      </w:r>
      <w:r>
        <w:rPr>
          <w:sz w:val="19"/>
        </w:rPr>
        <w:t xml:space="preserve"> Until Finance and tax counsel have confirmed the position, </w:t>
      </w:r>
      <w:r>
        <w:rPr>
          <w:b/>
          <w:sz w:val="19"/>
        </w:rPr>
        <w:t>no proposal, quotation, invoice or communication may assert a GST treatment</w:t>
      </w:r>
      <w:r>
        <w:rPr>
          <w:sz w:val="19"/>
        </w:rPr>
        <w:t xml:space="preserve">. All quotations state amounts as </w:t>
      </w:r>
      <w:r>
        <w:rPr>
          <w:i/>
          <w:sz w:val="19"/>
        </w:rPr>
        <w:t>exclusive of applicable taxes</w:t>
      </w:r>
      <w:r>
        <w:rPr>
          <w:sz w:val="19"/>
        </w:rPr>
        <w:t>. This document sets out the framework and the questions; it does not state a concluded position.</w:t>
      </w:r>
    </w:p>
    <w:p>
      <w:pPr>
        <w:spacing w:before="80" w:after="160"/>
        <w:pBdr>
          <w:bottom w:val="single" w:sz="6" w:space="1" w:color="C9D6DE"/>
        </w:pBdr>
      </w:pPr>
    </w:p>
    <w:p>
      <w:pPr>
        <w:pStyle w:val="Heading1"/>
        <w:pBdr>
          <w:bottom w:val="single" w:sz="8" w:space="4" w:color="C9D6DE"/>
        </w:pBdr>
      </w:pPr>
      <w:r>
        <w:t>1. Which entity invoices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3156"/>
        <w:gridCol w:w="3156"/>
        <w:gridCol w:w="3156"/>
      </w:tblGrid>
      <w:tr>
        <w:trPr>
          <w:tblHeader w:val="true"/>
        </w:trPr>
        <w:tc>
          <w:tcPr>
            <w:tcW w:type="dxa" w:w="4127"/>
            <w:shd w:val="clear" w:color="auto" w:fill="10375C"/>
          </w:tcPr>
          <w:p>
            <w:pPr>
              <w:spacing w:after="50" w:before="50"/>
            </w:pPr>
            <w:r>
              <w:rPr>
                <w:b/>
                <w:color w:val="FFFFFF"/>
                <w:sz w:val="17"/>
              </w:rPr>
              <w:t>Supply</w:t>
            </w:r>
          </w:p>
        </w:tc>
        <w:tc>
          <w:tcPr>
            <w:tcW w:type="dxa" w:w="2063"/>
            <w:shd w:val="clear" w:color="auto" w:fill="10375C"/>
          </w:tcPr>
          <w:p>
            <w:pPr>
              <w:spacing w:after="50" w:before="50"/>
            </w:pPr>
            <w:r>
              <w:rPr>
                <w:b/>
                <w:color w:val="FFFFFF"/>
                <w:sz w:val="17"/>
              </w:rPr>
              <w:t>Invoicing entity</w:t>
            </w:r>
          </w:p>
        </w:tc>
        <w:tc>
          <w:tcPr>
            <w:tcW w:type="dxa" w:w="3277"/>
            <w:shd w:val="clear" w:color="auto" w:fill="10375C"/>
          </w:tcPr>
          <w:p>
            <w:pPr>
              <w:spacing w:after="50" w:before="50"/>
            </w:pPr>
            <w:r>
              <w:rPr>
                <w:b/>
                <w:color w:val="FFFFFF"/>
                <w:sz w:val="17"/>
              </w:rPr>
              <w:t>Reason</w:t>
            </w:r>
          </w:p>
        </w:tc>
      </w:tr>
      <w:tr>
        <w:tc>
          <w:tcPr>
            <w:tcW w:type="dxa" w:w="4127"/>
          </w:tcPr>
          <w:p>
            <w:pPr>
              <w:spacing w:after="50" w:before="50" w:line="252" w:lineRule="auto"/>
            </w:pPr>
            <w:r>
              <w:rPr>
                <w:sz w:val="17"/>
              </w:rPr>
              <w:t>Training, certification, curriculum licence, competition registration and sponsorship</w:t>
            </w:r>
          </w:p>
        </w:tc>
        <w:tc>
          <w:tcPr>
            <w:tcW w:type="dxa" w:w="2063"/>
          </w:tcPr>
          <w:p>
            <w:pPr>
              <w:spacing w:after="50" w:before="50" w:line="252" w:lineRule="auto"/>
            </w:pPr>
            <w:r>
              <w:rPr>
                <w:b/>
                <w:sz w:val="17"/>
              </w:rPr>
              <w:t>Equator ADR Institute</w:t>
            </w:r>
          </w:p>
        </w:tc>
        <w:tc>
          <w:tcPr>
            <w:tcW w:type="dxa" w:w="3277"/>
          </w:tcPr>
          <w:p>
            <w:pPr>
              <w:spacing w:after="50" w:before="50" w:line="252" w:lineRule="auto"/>
            </w:pPr>
            <w:r>
              <w:rPr>
                <w:sz w:val="17"/>
              </w:rPr>
              <w:t>Academic and training arm; the counterparty to the MOU</w:t>
            </w:r>
          </w:p>
        </w:tc>
      </w:tr>
      <w:tr>
        <w:tc>
          <w:tcPr>
            <w:tcW w:type="dxa" w:w="4127"/>
            <w:shd w:val="clear" w:color="auto" w:fill="EAF1F4"/>
          </w:tcPr>
          <w:p>
            <w:pPr>
              <w:spacing w:after="50" w:before="50" w:line="252" w:lineRule="auto"/>
            </w:pPr>
            <w:r>
              <w:rPr>
                <w:sz w:val="17"/>
              </w:rPr>
              <w:t>Institutional advisory retainers, external committee member appointments, dispute-resolution services</w:t>
            </w:r>
          </w:p>
        </w:tc>
        <w:tc>
          <w:tcPr>
            <w:tcW w:type="dxa" w:w="2063"/>
            <w:shd w:val="clear" w:color="auto" w:fill="EAF1F4"/>
          </w:tcPr>
          <w:p>
            <w:pPr>
              <w:spacing w:after="50" w:before="50" w:line="252" w:lineRule="auto"/>
            </w:pPr>
            <w:r>
              <w:rPr>
                <w:b/>
                <w:sz w:val="17"/>
              </w:rPr>
              <w:t>Equator Resolution</w:t>
            </w:r>
          </w:p>
        </w:tc>
        <w:tc>
          <w:tcPr>
            <w:tcW w:type="dxa" w:w="3277"/>
            <w:shd w:val="clear" w:color="auto" w:fill="EAF1F4"/>
          </w:tcPr>
          <w:p>
            <w:pPr>
              <w:spacing w:after="50" w:before="50" w:line="252" w:lineRule="auto"/>
            </w:pPr>
            <w:r>
              <w:rPr>
                <w:sz w:val="17"/>
              </w:rPr>
              <w:t>Commercial services entity</w:t>
            </w:r>
          </w:p>
        </w:tc>
      </w:tr>
      <w:tr>
        <w:tc>
          <w:tcPr>
            <w:tcW w:type="dxa" w:w="4127"/>
          </w:tcPr>
          <w:p>
            <w:pPr>
              <w:spacing w:after="50" w:before="50" w:line="252" w:lineRule="auto"/>
            </w:pPr>
            <w:r>
              <w:rPr>
                <w:sz w:val="17"/>
              </w:rPr>
              <w:t>Neutral fees in an administered matter</w:t>
            </w:r>
          </w:p>
        </w:tc>
        <w:tc>
          <w:tcPr>
            <w:tcW w:type="dxa" w:w="2063"/>
          </w:tcPr>
          <w:p>
            <w:pPr>
              <w:spacing w:after="50" w:before="50" w:line="252" w:lineRule="auto"/>
            </w:pPr>
            <w:r>
              <w:rPr>
                <w:b/>
                <w:sz w:val="17"/>
              </w:rPr>
              <w:t>Equator Resolution</w:t>
            </w:r>
          </w:p>
        </w:tc>
        <w:tc>
          <w:tcPr>
            <w:tcW w:type="dxa" w:w="3277"/>
          </w:tcPr>
          <w:p>
            <w:pPr>
              <w:spacing w:after="50" w:before="50" w:line="252" w:lineRule="auto"/>
            </w:pPr>
            <w:r>
              <w:rPr>
                <w:sz w:val="17"/>
              </w:rPr>
              <w:t>Per the vertical fee schedule</w:t>
            </w:r>
          </w:p>
        </w:tc>
      </w:tr>
    </w:tbl>
    <w:p>
      <w:pPr>
        <w:spacing w:after="80" w:before="0"/>
      </w:pPr>
    </w:p>
    <w:p>
      <w:r>
        <w:t xml:space="preserve">Where an engagement spans both, two invoices are raised. </w:t>
      </w:r>
      <w:r>
        <w:rPr>
          <w:b/>
        </w:rPr>
        <w:t>A single invoice covering both entities is never issued.</w:t>
      </w:r>
    </w:p>
    <w:p>
      <w:pPr>
        <w:spacing w:before="80" w:after="160"/>
        <w:pBdr>
          <w:bottom w:val="single" w:sz="6" w:space="1" w:color="C9D6DE"/>
        </w:pBdr>
      </w:pPr>
    </w:p>
    <w:p>
      <w:pPr>
        <w:pStyle w:val="Heading1"/>
        <w:pBdr>
          <w:bottom w:val="single" w:sz="8" w:space="4" w:color="C9D6DE"/>
        </w:pBdr>
      </w:pPr>
      <w:r>
        <w:t>2. The GST framework and the open questions</w:t>
      </w:r>
    </w:p>
    <w:p>
      <w:pPr>
        <w:pStyle w:val="Heading2"/>
      </w:pPr>
      <w:r>
        <w:t>2.1 What is settled</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7640"/>
            <w:shd w:val="clear" w:color="auto" w:fill="10375C"/>
          </w:tcPr>
          <w:p>
            <w:pPr>
              <w:spacing w:after="50" w:before="50"/>
            </w:pPr>
            <w:r>
              <w:rPr>
                <w:b/>
                <w:color w:val="FFFFFF"/>
                <w:sz w:val="17"/>
              </w:rPr>
              <w:t>Proposition</w:t>
            </w:r>
          </w:p>
        </w:tc>
        <w:tc>
          <w:tcPr>
            <w:tcW w:type="dxa" w:w="1827"/>
            <w:shd w:val="clear" w:color="auto" w:fill="10375C"/>
          </w:tcPr>
          <w:p>
            <w:pPr>
              <w:spacing w:after="50" w:before="50"/>
            </w:pPr>
            <w:r>
              <w:rPr>
                <w:b/>
                <w:color w:val="FFFFFF"/>
                <w:sz w:val="17"/>
              </w:rPr>
              <w:t>Position</w:t>
            </w:r>
          </w:p>
        </w:tc>
      </w:tr>
      <w:tr>
        <w:tc>
          <w:tcPr>
            <w:tcW w:type="dxa" w:w="7640"/>
          </w:tcPr>
          <w:p>
            <w:pPr>
              <w:spacing w:after="50" w:before="50" w:line="252" w:lineRule="auto"/>
            </w:pPr>
            <w:r>
              <w:rPr>
                <w:sz w:val="17"/>
              </w:rPr>
              <w:t xml:space="preserve">Commercial coaching and training services are taxable at </w:t>
            </w:r>
            <w:r>
              <w:rPr>
                <w:b/>
                <w:sz w:val="17"/>
              </w:rPr>
              <w:t>18%</w:t>
            </w:r>
          </w:p>
        </w:tc>
        <w:tc>
          <w:tcPr>
            <w:tcW w:type="dxa" w:w="1827"/>
          </w:tcPr>
          <w:p>
            <w:pPr>
              <w:spacing w:after="50" w:before="50" w:line="252" w:lineRule="auto"/>
            </w:pPr>
            <w:r>
              <w:rPr>
                <w:sz w:val="17"/>
              </w:rPr>
              <w:t>Established</w:t>
            </w:r>
          </w:p>
        </w:tc>
      </w:tr>
      <w:tr>
        <w:tc>
          <w:tcPr>
            <w:tcW w:type="dxa" w:w="7640"/>
            <w:shd w:val="clear" w:color="auto" w:fill="EAF1F4"/>
          </w:tcPr>
          <w:p>
            <w:pPr>
              <w:spacing w:after="50" w:before="50" w:line="252" w:lineRule="auto"/>
            </w:pPr>
            <w:r>
              <w:rPr>
                <w:sz w:val="17"/>
              </w:rPr>
              <w:t xml:space="preserve">The SAC for commercial coaching and training is </w:t>
            </w:r>
            <w:r>
              <w:rPr>
                <w:b/>
                <w:sz w:val="17"/>
              </w:rPr>
              <w:t>999293</w:t>
            </w:r>
          </w:p>
        </w:tc>
        <w:tc>
          <w:tcPr>
            <w:tcW w:type="dxa" w:w="1827"/>
            <w:shd w:val="clear" w:color="auto" w:fill="EAF1F4"/>
          </w:tcPr>
          <w:p>
            <w:pPr>
              <w:spacing w:after="50" w:before="50" w:line="252" w:lineRule="auto"/>
            </w:pPr>
            <w:r>
              <w:rPr>
                <w:sz w:val="17"/>
              </w:rPr>
              <w:t>Established</w:t>
            </w:r>
          </w:p>
        </w:tc>
      </w:tr>
      <w:tr>
        <w:tc>
          <w:tcPr>
            <w:tcW w:type="dxa" w:w="7640"/>
          </w:tcPr>
          <w:p>
            <w:pPr>
              <w:spacing w:after="50" w:before="50" w:line="252" w:lineRule="auto"/>
            </w:pPr>
            <w:r>
              <w:rPr>
                <w:sz w:val="17"/>
              </w:rPr>
              <w:t xml:space="preserve">Coaching centres and commercial training institutes are </w:t>
            </w:r>
            <w:r>
              <w:rPr>
                <w:b/>
                <w:sz w:val="17"/>
              </w:rPr>
              <w:t>not</w:t>
            </w:r>
            <w:r>
              <w:rPr>
                <w:sz w:val="17"/>
              </w:rPr>
              <w:t xml:space="preserve"> educational institutions for GST purposes</w:t>
            </w:r>
          </w:p>
        </w:tc>
        <w:tc>
          <w:tcPr>
            <w:tcW w:type="dxa" w:w="1827"/>
          </w:tcPr>
          <w:p>
            <w:pPr>
              <w:spacing w:after="50" w:before="50" w:line="252" w:lineRule="auto"/>
            </w:pPr>
            <w:r>
              <w:rPr>
                <w:sz w:val="17"/>
              </w:rPr>
              <w:t>Established</w:t>
            </w:r>
          </w:p>
        </w:tc>
      </w:tr>
      <w:tr>
        <w:tc>
          <w:tcPr>
            <w:tcW w:type="dxa" w:w="7640"/>
            <w:shd w:val="clear" w:color="auto" w:fill="EAF1F4"/>
          </w:tcPr>
          <w:p>
            <w:pPr>
              <w:spacing w:after="50" w:before="50" w:line="252" w:lineRule="auto"/>
            </w:pPr>
            <w:r>
              <w:rPr>
                <w:sz w:val="17"/>
              </w:rPr>
              <w:t xml:space="preserve">Education provided as part of a curriculum for a qualification recognised by law is exempt </w:t>
            </w:r>
            <w:r>
              <w:rPr>
                <w:b/>
                <w:sz w:val="17"/>
              </w:rPr>
              <w:t>in the hands of the educational institution</w:t>
            </w:r>
          </w:p>
        </w:tc>
        <w:tc>
          <w:tcPr>
            <w:tcW w:type="dxa" w:w="1827"/>
            <w:shd w:val="clear" w:color="auto" w:fill="EAF1F4"/>
          </w:tcPr>
          <w:p>
            <w:pPr>
              <w:spacing w:after="50" w:before="50" w:line="252" w:lineRule="auto"/>
            </w:pPr>
            <w:r>
              <w:rPr>
                <w:sz w:val="17"/>
              </w:rPr>
              <w:t>Established</w:t>
            </w:r>
          </w:p>
        </w:tc>
      </w:tr>
      <w:tr>
        <w:tc>
          <w:tcPr>
            <w:tcW w:type="dxa" w:w="7640"/>
          </w:tcPr>
          <w:p>
            <w:pPr>
              <w:spacing w:after="50" w:before="50" w:line="252" w:lineRule="auto"/>
            </w:pPr>
            <w:r>
              <w:rPr>
                <w:sz w:val="17"/>
              </w:rPr>
              <w:t>Exempt education services fall under SAC 999210, 999220 and 999230</w:t>
            </w:r>
          </w:p>
        </w:tc>
        <w:tc>
          <w:tcPr>
            <w:tcW w:type="dxa" w:w="1827"/>
          </w:tcPr>
          <w:p>
            <w:pPr>
              <w:spacing w:after="50" w:before="50" w:line="252" w:lineRule="auto"/>
            </w:pPr>
            <w:r>
              <w:rPr>
                <w:sz w:val="17"/>
              </w:rPr>
              <w:t>Established</w:t>
            </w:r>
          </w:p>
        </w:tc>
      </w:tr>
    </w:tbl>
    <w:p>
      <w:pPr>
        <w:spacing w:after="80" w:before="0"/>
      </w:pPr>
    </w:p>
    <w:p>
      <w:pPr>
        <w:pStyle w:val="Heading2"/>
      </w:pPr>
      <w:r>
        <w:t xml:space="preserve">2.2 What is open — </w:t>
      </w:r>
      <w:r>
        <w:rPr>
          <w:b/>
        </w:rPr>
        <w:t>[verify — U1]</w:t>
      </w:r>
    </w:p>
    <w:p>
      <w:pPr>
        <w:pStyle w:val="ListNumber"/>
      </w:pPr>
      <w:r>
        <w:rPr>
          <w:b/>
          <w:sz w:val="21"/>
        </w:rPr>
        <w:t>The credit-bearing sub-contract question.</w:t>
      </w:r>
      <w:r>
        <w:rPr>
          <w:sz w:val="21"/>
        </w:rPr>
        <w:t xml:space="preserve"> Where Equator delivers a component of a UGC-recognised degree programme under sub-contract to a university, does any exemption available to the university flow through to Equator's supply? The default expectation is that it does not, and that Equator's supply remains commercial training at 18% — but this must be confirmed.</w:t>
      </w:r>
    </w:p>
    <w:p>
      <w:pPr>
        <w:pStyle w:val="ListNumber"/>
      </w:pPr>
      <w:r>
        <w:rPr>
          <w:b/>
          <w:sz w:val="21"/>
        </w:rPr>
        <w:t>Certification issued jointly.</w:t>
      </w:r>
      <w:r>
        <w:rPr>
          <w:sz w:val="21"/>
        </w:rPr>
        <w:t xml:space="preserve"> Does joint issue of a certificate with a recognised institution alter the characterisation of Equator's supply?</w:t>
      </w:r>
    </w:p>
    <w:p>
      <w:pPr>
        <w:pStyle w:val="ListNumber"/>
      </w:pPr>
      <w:r>
        <w:rPr>
          <w:b/>
          <w:sz w:val="21"/>
        </w:rPr>
        <w:t>Place of supply.</w:t>
      </w:r>
      <w:r>
        <w:rPr>
          <w:sz w:val="21"/>
        </w:rPr>
        <w:t xml:space="preserve"> For a programme delivered on a campus in a State in which Equator is not registered, what is the place of supply and does registration arise? </w:t>
      </w:r>
      <w:r>
        <w:rPr>
          <w:b/>
          <w:sz w:val="21"/>
        </w:rPr>
        <w:t>[verify]</w:t>
      </w:r>
    </w:p>
    <w:p>
      <w:pPr>
        <w:pStyle w:val="ListNumber"/>
      </w:pPr>
      <w:r>
        <w:rPr>
          <w:b/>
          <w:sz w:val="21"/>
        </w:rPr>
        <w:t>Revenue share.</w:t>
      </w:r>
      <w:r>
        <w:rPr>
          <w:sz w:val="21"/>
        </w:rPr>
        <w:t xml:space="preserve"> Where the institution collects and remits Equator's share, is Equator's supply to the institution or to the participants? The characterisation determines who issues the tax invoice to whom, and it must be settled before the first revenue-share programme runs.</w:t>
      </w:r>
    </w:p>
    <w:p>
      <w:pPr>
        <w:pStyle w:val="ListNumber"/>
      </w:pPr>
      <w:r>
        <w:rPr>
          <w:b/>
          <w:sz w:val="21"/>
        </w:rPr>
        <w:t>Sponsorship.</w:t>
      </w:r>
      <w:r>
        <w:rPr>
          <w:sz w:val="21"/>
        </w:rPr>
        <w:t xml:space="preserve"> Treatment of sponsorship received, including whether reverse charge applies in any case.</w:t>
      </w:r>
    </w:p>
    <w:p>
      <w:pPr>
        <w:pStyle w:val="ListNumber"/>
      </w:pPr>
      <w:r>
        <w:rPr>
          <w:b/>
          <w:sz w:val="21"/>
        </w:rPr>
        <w:t>Value in kind.</w:t>
      </w:r>
      <w:r>
        <w:rPr>
          <w:sz w:val="21"/>
        </w:rPr>
        <w:t xml:space="preserve"> Treatment of non-cash contributions such as venue and hostel provided by an institution.</w:t>
      </w:r>
    </w:p>
    <w:p>
      <w:pPr>
        <w:pStyle w:val="Heading2"/>
      </w:pPr>
      <w:r>
        <w:t>2.3 Interim rule</w:t>
      </w:r>
    </w:p>
    <w:p>
      <w:r>
        <w:t xml:space="preserve">Until U1 is cleared: quote exclusive of taxes; state </w:t>
      </w:r>
      <w:r>
        <w:rPr>
          <w:i/>
        </w:rPr>
        <w:t>taxes as applicable will be charged additionally at the prevailing rate</w:t>
      </w:r>
      <w:r>
        <w:t>; do not state a rate, a SAC, or an exemption in any external document; and route any institution's query on the subject to Finance rather than answering it.</w:t>
      </w:r>
    </w:p>
    <w:p>
      <w:pPr>
        <w:spacing w:before="80" w:after="160"/>
        <w:pBdr>
          <w:bottom w:val="single" w:sz="6" w:space="1" w:color="C9D6DE"/>
        </w:pBdr>
      </w:pPr>
    </w:p>
    <w:p>
      <w:pPr>
        <w:pStyle w:val="Heading1"/>
        <w:pBdr>
          <w:bottom w:val="single" w:sz="8" w:space="4" w:color="C9D6DE"/>
        </w:pBdr>
      </w:pPr>
      <w:r>
        <w:t>3. Withholding tax</w:t>
      </w:r>
    </w:p>
    <w:p>
      <w:r>
        <w:t xml:space="preserve">Payments by an institution to Equator for professional or technical services will ordinarily attract withholding under </w:t>
      </w:r>
      <w:r>
        <w:rPr>
          <w:b/>
        </w:rPr>
        <w:t>section 194J</w:t>
      </w:r>
      <w:r>
        <w:t xml:space="preserve"> of the Income-tax Act, 1961. </w:t>
      </w:r>
      <w:r>
        <w:rPr>
          <w:b/>
        </w:rPr>
        <w:t>[verify — current rate and threshold.]</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9468"/>
      </w:tblGrid>
      <w:tr>
        <w:trPr>
          <w:tblHeader w:val="true"/>
        </w:trPr>
        <w:tc>
          <w:tcPr>
            <w:tcW w:type="dxa" w:w="9468"/>
            <w:shd w:val="clear" w:color="auto" w:fill="10375C"/>
          </w:tcPr>
          <w:p>
            <w:pPr>
              <w:spacing w:after="50" w:before="50"/>
            </w:pPr>
            <w:r>
              <w:rPr>
                <w:b/>
                <w:color w:val="FFFFFF"/>
                <w:sz w:val="17"/>
              </w:rPr>
              <w:t>Rule</w:t>
            </w:r>
          </w:p>
        </w:tc>
      </w:tr>
      <w:tr>
        <w:tc>
          <w:tcPr>
            <w:tcW w:type="dxa" w:w="9468"/>
          </w:tcPr>
          <w:p>
            <w:pPr>
              <w:spacing w:after="50" w:before="50" w:line="252" w:lineRule="auto"/>
            </w:pPr>
            <w:r>
              <w:rPr>
                <w:sz w:val="17"/>
              </w:rPr>
              <w:t>Invoices state the PAN of the invoicing entity</w:t>
            </w:r>
          </w:p>
        </w:tc>
      </w:tr>
      <w:tr>
        <w:tc>
          <w:tcPr>
            <w:tcW w:type="dxa" w:w="9468"/>
            <w:shd w:val="clear" w:color="auto" w:fill="EAF1F4"/>
          </w:tcPr>
          <w:p>
            <w:pPr>
              <w:spacing w:after="50" w:before="50" w:line="252" w:lineRule="auto"/>
            </w:pPr>
            <w:r>
              <w:rPr>
                <w:sz w:val="17"/>
              </w:rPr>
              <w:t>Where the institution withholds, the certificate is to be obtained within the statutory period</w:t>
            </w:r>
          </w:p>
        </w:tc>
      </w:tr>
      <w:tr>
        <w:tc>
          <w:tcPr>
            <w:tcW w:type="dxa" w:w="9468"/>
          </w:tcPr>
          <w:p>
            <w:pPr>
              <w:spacing w:after="50" w:before="50" w:line="252" w:lineRule="auto"/>
            </w:pPr>
            <w:r>
              <w:rPr>
                <w:sz w:val="17"/>
              </w:rPr>
              <w:t>Withholding is reconciled against Form 26AS quarterly; discrepancies are pursued with the institution within thirty days</w:t>
            </w:r>
          </w:p>
        </w:tc>
      </w:tr>
      <w:tr>
        <w:tc>
          <w:tcPr>
            <w:tcW w:type="dxa" w:w="9468"/>
            <w:shd w:val="clear" w:color="auto" w:fill="EAF1F4"/>
          </w:tcPr>
          <w:p>
            <w:pPr>
              <w:spacing w:after="50" w:before="50" w:line="252" w:lineRule="auto"/>
            </w:pPr>
            <w:r>
              <w:rPr>
                <w:sz w:val="17"/>
              </w:rPr>
              <w:t>Where an institution withholds at a rate not supported by law, Finance writes to it with the correct position rather than accepting the deduction</w:t>
            </w:r>
          </w:p>
        </w:tc>
      </w:tr>
      <w:tr>
        <w:tc>
          <w:tcPr>
            <w:tcW w:type="dxa" w:w="9468"/>
          </w:tcPr>
          <w:p>
            <w:pPr>
              <w:spacing w:after="50" w:before="50" w:line="252" w:lineRule="auto"/>
            </w:pPr>
            <w:r>
              <w:rPr>
                <w:sz w:val="17"/>
              </w:rPr>
              <w:t>A register of withholding by institution is maintained and reviewed at each quarter end</w:t>
            </w:r>
          </w:p>
        </w:tc>
      </w:tr>
    </w:tbl>
    <w:p>
      <w:pPr>
        <w:spacing w:after="80" w:before="0"/>
      </w:pPr>
    </w:p>
    <w:p>
      <w:pPr>
        <w:spacing w:before="80" w:after="160"/>
        <w:pBdr>
          <w:bottom w:val="single" w:sz="6" w:space="1" w:color="C9D6DE"/>
        </w:pBdr>
      </w:pPr>
    </w:p>
    <w:p>
      <w:pPr>
        <w:pStyle w:val="Heading1"/>
        <w:pBdr>
          <w:bottom w:val="single" w:sz="8" w:space="4" w:color="C9D6DE"/>
        </w:pBdr>
      </w:pPr>
      <w:r>
        <w:t>4. Invoice requirements</w:t>
      </w:r>
    </w:p>
    <w:p>
      <w:r>
        <w:t>Every invoice must carry:</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861"/>
            <w:shd w:val="clear" w:color="auto" w:fill="10375C"/>
          </w:tcPr>
          <w:p>
            <w:pPr>
              <w:spacing w:after="50" w:before="50"/>
            </w:pPr>
            <w:r>
              <w:rPr>
                <w:b/>
                <w:color w:val="FFFFFF"/>
                <w:sz w:val="17"/>
              </w:rPr>
              <w:t>#</w:t>
            </w:r>
          </w:p>
        </w:tc>
        <w:tc>
          <w:tcPr>
            <w:tcW w:type="dxa" w:w="8607"/>
            <w:shd w:val="clear" w:color="auto" w:fill="10375C"/>
          </w:tcPr>
          <w:p>
            <w:pPr>
              <w:spacing w:after="50" w:before="50"/>
            </w:pPr>
            <w:r>
              <w:rPr>
                <w:b/>
                <w:color w:val="FFFFFF"/>
                <w:sz w:val="17"/>
              </w:rPr>
              <w:t>Field</w:t>
            </w:r>
          </w:p>
        </w:tc>
      </w:tr>
      <w:tr>
        <w:tc>
          <w:tcPr>
            <w:tcW w:type="dxa" w:w="861"/>
          </w:tcPr>
          <w:p>
            <w:pPr>
              <w:spacing w:after="50" w:before="50" w:line="252" w:lineRule="auto"/>
            </w:pPr>
            <w:r>
              <w:rPr>
                <w:sz w:val="17"/>
              </w:rPr>
              <w:t>1</w:t>
            </w:r>
          </w:p>
        </w:tc>
        <w:tc>
          <w:tcPr>
            <w:tcW w:type="dxa" w:w="8607"/>
          </w:tcPr>
          <w:p>
            <w:pPr>
              <w:spacing w:after="50" w:before="50" w:line="252" w:lineRule="auto"/>
            </w:pPr>
            <w:r>
              <w:rPr>
                <w:sz w:val="17"/>
              </w:rPr>
              <w:t>Name, address and registration numbers of the invoicing entity</w:t>
            </w:r>
          </w:p>
        </w:tc>
      </w:tr>
      <w:tr>
        <w:tc>
          <w:tcPr>
            <w:tcW w:type="dxa" w:w="861"/>
            <w:shd w:val="clear" w:color="auto" w:fill="EAF1F4"/>
          </w:tcPr>
          <w:p>
            <w:pPr>
              <w:spacing w:after="50" w:before="50" w:line="252" w:lineRule="auto"/>
            </w:pPr>
            <w:r>
              <w:rPr>
                <w:sz w:val="17"/>
              </w:rPr>
              <w:t>2</w:t>
            </w:r>
          </w:p>
        </w:tc>
        <w:tc>
          <w:tcPr>
            <w:tcW w:type="dxa" w:w="8607"/>
            <w:shd w:val="clear" w:color="auto" w:fill="EAF1F4"/>
          </w:tcPr>
          <w:p>
            <w:pPr>
              <w:spacing w:after="50" w:before="50" w:line="252" w:lineRule="auto"/>
            </w:pPr>
            <w:r>
              <w:rPr>
                <w:sz w:val="17"/>
              </w:rPr>
              <w:t>Invoice number from the controlled series, and date</w:t>
            </w:r>
          </w:p>
        </w:tc>
      </w:tr>
      <w:tr>
        <w:tc>
          <w:tcPr>
            <w:tcW w:type="dxa" w:w="861"/>
          </w:tcPr>
          <w:p>
            <w:pPr>
              <w:spacing w:after="50" w:before="50" w:line="252" w:lineRule="auto"/>
            </w:pPr>
            <w:r>
              <w:rPr>
                <w:sz w:val="17"/>
              </w:rPr>
              <w:t>3</w:t>
            </w:r>
          </w:p>
        </w:tc>
        <w:tc>
          <w:tcPr>
            <w:tcW w:type="dxa" w:w="8607"/>
          </w:tcPr>
          <w:p>
            <w:pPr>
              <w:spacing w:after="50" w:before="50" w:line="252" w:lineRule="auto"/>
            </w:pPr>
            <w:r>
              <w:rPr>
                <w:sz w:val="17"/>
              </w:rPr>
              <w:t>Name, address and registration number of the institution</w:t>
            </w:r>
          </w:p>
        </w:tc>
      </w:tr>
      <w:tr>
        <w:tc>
          <w:tcPr>
            <w:tcW w:type="dxa" w:w="861"/>
            <w:shd w:val="clear" w:color="auto" w:fill="EAF1F4"/>
          </w:tcPr>
          <w:p>
            <w:pPr>
              <w:spacing w:after="50" w:before="50" w:line="252" w:lineRule="auto"/>
            </w:pPr>
            <w:r>
              <w:rPr>
                <w:sz w:val="17"/>
              </w:rPr>
              <w:t>4</w:t>
            </w:r>
          </w:p>
        </w:tc>
        <w:tc>
          <w:tcPr>
            <w:tcW w:type="dxa" w:w="8607"/>
            <w:shd w:val="clear" w:color="auto" w:fill="EAF1F4"/>
          </w:tcPr>
          <w:p>
            <w:pPr>
              <w:spacing w:after="50" w:before="50" w:line="252" w:lineRule="auto"/>
            </w:pPr>
            <w:r>
              <w:rPr>
                <w:sz w:val="17"/>
              </w:rPr>
              <w:t>Description of the supply, referencing the programme code and dates</w:t>
            </w:r>
          </w:p>
        </w:tc>
      </w:tr>
      <w:tr>
        <w:tc>
          <w:tcPr>
            <w:tcW w:type="dxa" w:w="861"/>
          </w:tcPr>
          <w:p>
            <w:pPr>
              <w:spacing w:after="50" w:before="50" w:line="252" w:lineRule="auto"/>
            </w:pPr>
            <w:r>
              <w:rPr>
                <w:sz w:val="17"/>
              </w:rPr>
              <w:t>5</w:t>
            </w:r>
          </w:p>
        </w:tc>
        <w:tc>
          <w:tcPr>
            <w:tcW w:type="dxa" w:w="8607"/>
          </w:tcPr>
          <w:p>
            <w:pPr>
              <w:spacing w:after="50" w:before="50" w:line="252" w:lineRule="auto"/>
            </w:pPr>
            <w:r>
              <w:rPr>
                <w:sz w:val="17"/>
              </w:rPr>
              <w:t>Quantity — participants, sessions or days</w:t>
            </w:r>
          </w:p>
        </w:tc>
      </w:tr>
      <w:tr>
        <w:tc>
          <w:tcPr>
            <w:tcW w:type="dxa" w:w="861"/>
            <w:shd w:val="clear" w:color="auto" w:fill="EAF1F4"/>
          </w:tcPr>
          <w:p>
            <w:pPr>
              <w:spacing w:after="50" w:before="50" w:line="252" w:lineRule="auto"/>
            </w:pPr>
            <w:r>
              <w:rPr>
                <w:sz w:val="17"/>
              </w:rPr>
              <w:t>6</w:t>
            </w:r>
          </w:p>
        </w:tc>
        <w:tc>
          <w:tcPr>
            <w:tcW w:type="dxa" w:w="8607"/>
            <w:shd w:val="clear" w:color="auto" w:fill="EAF1F4"/>
          </w:tcPr>
          <w:p>
            <w:pPr>
              <w:spacing w:after="50" w:before="50" w:line="252" w:lineRule="auto"/>
            </w:pPr>
            <w:r>
              <w:rPr>
                <w:sz w:val="17"/>
              </w:rPr>
              <w:t>Rate and taxable value</w:t>
            </w:r>
          </w:p>
        </w:tc>
      </w:tr>
      <w:tr>
        <w:tc>
          <w:tcPr>
            <w:tcW w:type="dxa" w:w="861"/>
          </w:tcPr>
          <w:p>
            <w:pPr>
              <w:spacing w:after="50" w:before="50" w:line="252" w:lineRule="auto"/>
            </w:pPr>
            <w:r>
              <w:rPr>
                <w:sz w:val="17"/>
              </w:rPr>
              <w:t>7</w:t>
            </w:r>
          </w:p>
        </w:tc>
        <w:tc>
          <w:tcPr>
            <w:tcW w:type="dxa" w:w="8607"/>
          </w:tcPr>
          <w:p>
            <w:pPr>
              <w:spacing w:after="50" w:before="50" w:line="252" w:lineRule="auto"/>
            </w:pPr>
            <w:r>
              <w:rPr>
                <w:sz w:val="17"/>
              </w:rPr>
              <w:t>Tax charged, shown separately, with the applicable classification</w:t>
            </w:r>
          </w:p>
        </w:tc>
      </w:tr>
      <w:tr>
        <w:tc>
          <w:tcPr>
            <w:tcW w:type="dxa" w:w="861"/>
            <w:shd w:val="clear" w:color="auto" w:fill="EAF1F4"/>
          </w:tcPr>
          <w:p>
            <w:pPr>
              <w:spacing w:after="50" w:before="50" w:line="252" w:lineRule="auto"/>
            </w:pPr>
            <w:r>
              <w:rPr>
                <w:sz w:val="17"/>
              </w:rPr>
              <w:t>8</w:t>
            </w:r>
          </w:p>
        </w:tc>
        <w:tc>
          <w:tcPr>
            <w:tcW w:type="dxa" w:w="8607"/>
            <w:shd w:val="clear" w:color="auto" w:fill="EAF1F4"/>
          </w:tcPr>
          <w:p>
            <w:pPr>
              <w:spacing w:after="50" w:before="50" w:line="252" w:lineRule="auto"/>
            </w:pPr>
            <w:r>
              <w:rPr>
                <w:sz w:val="17"/>
              </w:rPr>
              <w:t>Total payable in figures and words</w:t>
            </w:r>
          </w:p>
        </w:tc>
      </w:tr>
      <w:tr>
        <w:tc>
          <w:tcPr>
            <w:tcW w:type="dxa" w:w="861"/>
          </w:tcPr>
          <w:p>
            <w:pPr>
              <w:spacing w:after="50" w:before="50" w:line="252" w:lineRule="auto"/>
            </w:pPr>
            <w:r>
              <w:rPr>
                <w:sz w:val="17"/>
              </w:rPr>
              <w:t>9</w:t>
            </w:r>
          </w:p>
        </w:tc>
        <w:tc>
          <w:tcPr>
            <w:tcW w:type="dxa" w:w="8607"/>
          </w:tcPr>
          <w:p>
            <w:pPr>
              <w:spacing w:after="50" w:before="50" w:line="252" w:lineRule="auto"/>
            </w:pPr>
            <w:r>
              <w:rPr>
                <w:sz w:val="17"/>
              </w:rPr>
              <w:t>Reference to the MOU, Schedule H and any purchase order</w:t>
            </w:r>
          </w:p>
        </w:tc>
      </w:tr>
      <w:tr>
        <w:tc>
          <w:tcPr>
            <w:tcW w:type="dxa" w:w="861"/>
            <w:shd w:val="clear" w:color="auto" w:fill="EAF1F4"/>
          </w:tcPr>
          <w:p>
            <w:pPr>
              <w:spacing w:after="50" w:before="50" w:line="252" w:lineRule="auto"/>
            </w:pPr>
            <w:r>
              <w:rPr>
                <w:sz w:val="17"/>
              </w:rPr>
              <w:t>10</w:t>
            </w:r>
          </w:p>
        </w:tc>
        <w:tc>
          <w:tcPr>
            <w:tcW w:type="dxa" w:w="8607"/>
            <w:shd w:val="clear" w:color="auto" w:fill="EAF1F4"/>
          </w:tcPr>
          <w:p>
            <w:pPr>
              <w:spacing w:after="50" w:before="50" w:line="252" w:lineRule="auto"/>
            </w:pPr>
            <w:r>
              <w:rPr>
                <w:sz w:val="17"/>
              </w:rPr>
              <w:t>Payment terms, due date and bank details</w:t>
            </w:r>
          </w:p>
        </w:tc>
      </w:tr>
      <w:tr>
        <w:tc>
          <w:tcPr>
            <w:tcW w:type="dxa" w:w="861"/>
          </w:tcPr>
          <w:p>
            <w:pPr>
              <w:spacing w:after="50" w:before="50" w:line="252" w:lineRule="auto"/>
            </w:pPr>
            <w:r>
              <w:rPr>
                <w:sz w:val="17"/>
              </w:rPr>
              <w:t>11</w:t>
            </w:r>
          </w:p>
        </w:tc>
        <w:tc>
          <w:tcPr>
            <w:tcW w:type="dxa" w:w="8607"/>
          </w:tcPr>
          <w:p>
            <w:pPr>
              <w:spacing w:after="50" w:before="50" w:line="252" w:lineRule="auto"/>
            </w:pPr>
            <w:r>
              <w:rPr>
                <w:sz w:val="17"/>
              </w:rPr>
              <w:t>Name of the person to contact on any query</w:t>
            </w:r>
          </w:p>
        </w:tc>
      </w:tr>
    </w:tbl>
    <w:p>
      <w:pPr>
        <w:spacing w:after="80" w:before="0"/>
      </w:pPr>
    </w:p>
    <w:p>
      <w:pPr>
        <w:pStyle w:val="Heading2"/>
      </w:pPr>
      <w:r>
        <w:t>4.1 Invoice series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666"/>
            <w:shd w:val="clear" w:color="auto" w:fill="10375C"/>
          </w:tcPr>
          <w:p>
            <w:pPr>
              <w:spacing w:after="50" w:before="50"/>
            </w:pPr>
            <w:r>
              <w:rPr>
                <w:b/>
                <w:color w:val="FFFFFF"/>
                <w:sz w:val="17"/>
              </w:rPr>
              <w:t>Series</w:t>
            </w:r>
          </w:p>
        </w:tc>
        <w:tc>
          <w:tcPr>
            <w:tcW w:type="dxa" w:w="6802"/>
            <w:shd w:val="clear" w:color="auto" w:fill="10375C"/>
          </w:tcPr>
          <w:p>
            <w:pPr>
              <w:spacing w:after="50" w:before="50"/>
            </w:pPr>
            <w:r>
              <w:rPr>
                <w:b/>
                <w:color w:val="FFFFFF"/>
                <w:sz w:val="17"/>
              </w:rPr>
              <w:t>Use</w:t>
            </w:r>
          </w:p>
        </w:tc>
      </w:tr>
      <w:tr>
        <w:tc>
          <w:tcPr>
            <w:tcW w:type="dxa" w:w="2666"/>
          </w:tcPr>
          <w:p>
            <w:pPr>
              <w:spacing w:after="50" w:before="50" w:line="252" w:lineRule="auto"/>
            </w:pPr>
            <w:r>
              <w:rPr>
                <w:sz w:val="17"/>
              </w:rPr>
              <w:t>EQI/UAP/[year]/nnnn</w:t>
            </w:r>
          </w:p>
        </w:tc>
        <w:tc>
          <w:tcPr>
            <w:tcW w:type="dxa" w:w="6802"/>
          </w:tcPr>
          <w:p>
            <w:pPr>
              <w:spacing w:after="50" w:before="50" w:line="252" w:lineRule="auto"/>
            </w:pPr>
            <w:r>
              <w:rPr>
                <w:sz w:val="17"/>
              </w:rPr>
              <w:t>Equator ADR Institute — programmes and training</w:t>
            </w:r>
          </w:p>
        </w:tc>
      </w:tr>
      <w:tr>
        <w:tc>
          <w:tcPr>
            <w:tcW w:type="dxa" w:w="2666"/>
            <w:shd w:val="clear" w:color="auto" w:fill="EAF1F4"/>
          </w:tcPr>
          <w:p>
            <w:pPr>
              <w:spacing w:after="50" w:before="50" w:line="252" w:lineRule="auto"/>
            </w:pPr>
            <w:r>
              <w:rPr>
                <w:sz w:val="17"/>
              </w:rPr>
              <w:t>EQI/COMP/[year]/nnnn</w:t>
            </w:r>
          </w:p>
        </w:tc>
        <w:tc>
          <w:tcPr>
            <w:tcW w:type="dxa" w:w="6802"/>
            <w:shd w:val="clear" w:color="auto" w:fill="EAF1F4"/>
          </w:tcPr>
          <w:p>
            <w:pPr>
              <w:spacing w:after="50" w:before="50" w:line="252" w:lineRule="auto"/>
            </w:pPr>
            <w:r>
              <w:rPr>
                <w:sz w:val="17"/>
              </w:rPr>
              <w:t>Competition registration and sponsorship</w:t>
            </w:r>
          </w:p>
        </w:tc>
      </w:tr>
      <w:tr>
        <w:tc>
          <w:tcPr>
            <w:tcW w:type="dxa" w:w="2666"/>
          </w:tcPr>
          <w:p>
            <w:pPr>
              <w:spacing w:after="50" w:before="50" w:line="252" w:lineRule="auto"/>
            </w:pPr>
            <w:r>
              <w:rPr>
                <w:sz w:val="17"/>
              </w:rPr>
              <w:t>EQR/ADV/[year]/nnnn</w:t>
            </w:r>
          </w:p>
        </w:tc>
        <w:tc>
          <w:tcPr>
            <w:tcW w:type="dxa" w:w="6802"/>
          </w:tcPr>
          <w:p>
            <w:pPr>
              <w:spacing w:after="50" w:before="50" w:line="252" w:lineRule="auto"/>
            </w:pPr>
            <w:r>
              <w:rPr>
                <w:sz w:val="17"/>
              </w:rPr>
              <w:t>Equator Resolution — advisory and services</w:t>
            </w:r>
          </w:p>
        </w:tc>
      </w:tr>
      <w:tr>
        <w:tc>
          <w:tcPr>
            <w:tcW w:type="dxa" w:w="2666"/>
            <w:shd w:val="clear" w:color="auto" w:fill="EAF1F4"/>
          </w:tcPr>
          <w:p>
            <w:pPr>
              <w:spacing w:after="50" w:before="50" w:line="252" w:lineRule="auto"/>
            </w:pPr>
            <w:r>
              <w:rPr>
                <w:sz w:val="17"/>
              </w:rPr>
              <w:t>Credit notes</w:t>
            </w:r>
          </w:p>
        </w:tc>
        <w:tc>
          <w:tcPr>
            <w:tcW w:type="dxa" w:w="6802"/>
            <w:shd w:val="clear" w:color="auto" w:fill="EAF1F4"/>
          </w:tcPr>
          <w:p>
            <w:pPr>
              <w:spacing w:after="50" w:before="50" w:line="252" w:lineRule="auto"/>
            </w:pPr>
            <w:r>
              <w:rPr>
                <w:sz w:val="17"/>
              </w:rPr>
              <w:t>Same series with prefix CN; sequential; reason recorded</w:t>
            </w:r>
          </w:p>
        </w:tc>
      </w:tr>
    </w:tbl>
    <w:p>
      <w:pPr>
        <w:spacing w:after="80" w:before="0"/>
      </w:pPr>
    </w:p>
    <w:p>
      <w:r>
        <w:t xml:space="preserve">Series are sequential, gapless and controlled by Finance. </w:t>
      </w:r>
      <w:r>
        <w:rPr>
          <w:b/>
        </w:rPr>
        <w:t>No invoice is raised outside the series.</w:t>
      </w:r>
    </w:p>
    <w:p>
      <w:pPr>
        <w:spacing w:before="80" w:after="160"/>
        <w:pBdr>
          <w:bottom w:val="single" w:sz="6" w:space="1" w:color="C9D6DE"/>
        </w:pBdr>
      </w:pPr>
    </w:p>
    <w:p>
      <w:pPr>
        <w:pStyle w:val="Heading1"/>
        <w:pBdr>
          <w:bottom w:val="single" w:sz="8" w:space="4" w:color="C9D6DE"/>
        </w:pBdr>
      </w:pPr>
      <w:r>
        <w:t>5. Invoicing triggers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964"/>
            <w:shd w:val="clear" w:color="auto" w:fill="10375C"/>
          </w:tcPr>
          <w:p>
            <w:pPr>
              <w:spacing w:after="50" w:before="50"/>
            </w:pPr>
            <w:r>
              <w:rPr>
                <w:b/>
                <w:color w:val="FFFFFF"/>
                <w:sz w:val="17"/>
              </w:rPr>
              <w:t>Supply</w:t>
            </w:r>
          </w:p>
        </w:tc>
        <w:tc>
          <w:tcPr>
            <w:tcW w:type="dxa" w:w="6503"/>
            <w:shd w:val="clear" w:color="auto" w:fill="10375C"/>
          </w:tcPr>
          <w:p>
            <w:pPr>
              <w:spacing w:after="50" w:before="50"/>
            </w:pPr>
            <w:r>
              <w:rPr>
                <w:b/>
                <w:color w:val="FFFFFF"/>
                <w:sz w:val="17"/>
              </w:rPr>
              <w:t>Invoice raised</w:t>
            </w:r>
          </w:p>
        </w:tc>
      </w:tr>
      <w:tr>
        <w:tc>
          <w:tcPr>
            <w:tcW w:type="dxa" w:w="2964"/>
          </w:tcPr>
          <w:p>
            <w:pPr>
              <w:spacing w:after="50" w:before="50" w:line="252" w:lineRule="auto"/>
            </w:pPr>
            <w:r>
              <w:rPr>
                <w:sz w:val="17"/>
              </w:rPr>
              <w:t>Programme, institution-paid</w:t>
            </w:r>
          </w:p>
        </w:tc>
        <w:tc>
          <w:tcPr>
            <w:tcW w:type="dxa" w:w="6503"/>
          </w:tcPr>
          <w:p>
            <w:pPr>
              <w:spacing w:after="50" w:before="50" w:line="252" w:lineRule="auto"/>
            </w:pPr>
            <w:r>
              <w:rPr>
                <w:sz w:val="17"/>
              </w:rPr>
              <w:t>40% advance on written confirmation of dates; balance on completion</w:t>
            </w:r>
          </w:p>
        </w:tc>
      </w:tr>
      <w:tr>
        <w:tc>
          <w:tcPr>
            <w:tcW w:type="dxa" w:w="2964"/>
            <w:shd w:val="clear" w:color="auto" w:fill="EAF1F4"/>
          </w:tcPr>
          <w:p>
            <w:pPr>
              <w:spacing w:after="50" w:before="50" w:line="252" w:lineRule="auto"/>
            </w:pPr>
            <w:r>
              <w:rPr>
                <w:sz w:val="17"/>
              </w:rPr>
              <w:t>Programme, revenue share</w:t>
            </w:r>
          </w:p>
        </w:tc>
        <w:tc>
          <w:tcPr>
            <w:tcW w:type="dxa" w:w="6503"/>
            <w:shd w:val="clear" w:color="auto" w:fill="EAF1F4"/>
          </w:tcPr>
          <w:p>
            <w:pPr>
              <w:spacing w:after="50" w:before="50" w:line="252" w:lineRule="auto"/>
            </w:pPr>
            <w:r>
              <w:rPr>
                <w:sz w:val="17"/>
              </w:rPr>
              <w:t>On issue of the collection statement, per 04.3</w:t>
            </w:r>
          </w:p>
        </w:tc>
      </w:tr>
      <w:tr>
        <w:tc>
          <w:tcPr>
            <w:tcW w:type="dxa" w:w="2964"/>
          </w:tcPr>
          <w:p>
            <w:pPr>
              <w:spacing w:after="50" w:before="50" w:line="252" w:lineRule="auto"/>
            </w:pPr>
            <w:r>
              <w:rPr>
                <w:sz w:val="17"/>
              </w:rPr>
              <w:t>Advisory retainer</w:t>
            </w:r>
          </w:p>
        </w:tc>
        <w:tc>
          <w:tcPr>
            <w:tcW w:type="dxa" w:w="6503"/>
          </w:tcPr>
          <w:p>
            <w:pPr>
              <w:spacing w:after="50" w:before="50" w:line="252" w:lineRule="auto"/>
            </w:pPr>
            <w:r>
              <w:rPr>
                <w:sz w:val="17"/>
              </w:rPr>
              <w:t>Quarterly in advance</w:t>
            </w:r>
          </w:p>
        </w:tc>
      </w:tr>
      <w:tr>
        <w:tc>
          <w:tcPr>
            <w:tcW w:type="dxa" w:w="2964"/>
            <w:shd w:val="clear" w:color="auto" w:fill="EAF1F4"/>
          </w:tcPr>
          <w:p>
            <w:pPr>
              <w:spacing w:after="50" w:before="50" w:line="252" w:lineRule="auto"/>
            </w:pPr>
            <w:r>
              <w:rPr>
                <w:sz w:val="17"/>
              </w:rPr>
              <w:t>External committee member</w:t>
            </w:r>
          </w:p>
        </w:tc>
        <w:tc>
          <w:tcPr>
            <w:tcW w:type="dxa" w:w="6503"/>
            <w:shd w:val="clear" w:color="auto" w:fill="EAF1F4"/>
          </w:tcPr>
          <w:p>
            <w:pPr>
              <w:spacing w:after="50" w:before="50" w:line="252" w:lineRule="auto"/>
            </w:pPr>
            <w:r>
              <w:rPr>
                <w:sz w:val="17"/>
              </w:rPr>
              <w:t>Monthly in arrears against the sittings register</w:t>
            </w:r>
          </w:p>
        </w:tc>
      </w:tr>
      <w:tr>
        <w:tc>
          <w:tcPr>
            <w:tcW w:type="dxa" w:w="2964"/>
          </w:tcPr>
          <w:p>
            <w:pPr>
              <w:spacing w:after="50" w:before="50" w:line="252" w:lineRule="auto"/>
            </w:pPr>
            <w:r>
              <w:rPr>
                <w:sz w:val="17"/>
              </w:rPr>
              <w:t>Curriculum licence</w:t>
            </w:r>
          </w:p>
        </w:tc>
        <w:tc>
          <w:tcPr>
            <w:tcW w:type="dxa" w:w="6503"/>
          </w:tcPr>
          <w:p>
            <w:pPr>
              <w:spacing w:after="50" w:before="50" w:line="252" w:lineRule="auto"/>
            </w:pPr>
            <w:r>
              <w:rPr>
                <w:sz w:val="17"/>
              </w:rPr>
              <w:t>Annually in advance</w:t>
            </w:r>
          </w:p>
        </w:tc>
      </w:tr>
      <w:tr>
        <w:tc>
          <w:tcPr>
            <w:tcW w:type="dxa" w:w="2964"/>
            <w:shd w:val="clear" w:color="auto" w:fill="EAF1F4"/>
          </w:tcPr>
          <w:p>
            <w:pPr>
              <w:spacing w:after="50" w:before="50" w:line="252" w:lineRule="auto"/>
            </w:pPr>
            <w:r>
              <w:rPr>
                <w:sz w:val="17"/>
              </w:rPr>
              <w:t>Coaching</w:t>
            </w:r>
          </w:p>
        </w:tc>
        <w:tc>
          <w:tcPr>
            <w:tcW w:type="dxa" w:w="6503"/>
            <w:shd w:val="clear" w:color="auto" w:fill="EAF1F4"/>
          </w:tcPr>
          <w:p>
            <w:pPr>
              <w:spacing w:after="50" w:before="50" w:line="252" w:lineRule="auto"/>
            </w:pPr>
            <w:r>
              <w:rPr>
                <w:sz w:val="17"/>
              </w:rPr>
              <w:t>50% on engagement; 50% at the midpoint of the season</w:t>
            </w:r>
          </w:p>
        </w:tc>
      </w:tr>
      <w:tr>
        <w:tc>
          <w:tcPr>
            <w:tcW w:type="dxa" w:w="2964"/>
          </w:tcPr>
          <w:p>
            <w:pPr>
              <w:spacing w:after="50" w:before="50" w:line="252" w:lineRule="auto"/>
            </w:pPr>
            <w:r>
              <w:rPr>
                <w:sz w:val="17"/>
              </w:rPr>
              <w:t>Competition registration</w:t>
            </w:r>
          </w:p>
        </w:tc>
        <w:tc>
          <w:tcPr>
            <w:tcW w:type="dxa" w:w="6503"/>
          </w:tcPr>
          <w:p>
            <w:pPr>
              <w:spacing w:after="50" w:before="50" w:line="252" w:lineRule="auto"/>
            </w:pPr>
            <w:r>
              <w:rPr>
                <w:sz w:val="17"/>
              </w:rPr>
              <w:t>On registration; entry is not confirmed until received</w:t>
            </w:r>
          </w:p>
        </w:tc>
      </w:tr>
      <w:tr>
        <w:tc>
          <w:tcPr>
            <w:tcW w:type="dxa" w:w="2964"/>
            <w:shd w:val="clear" w:color="auto" w:fill="EAF1F4"/>
          </w:tcPr>
          <w:p>
            <w:pPr>
              <w:spacing w:after="50" w:before="50" w:line="252" w:lineRule="auto"/>
            </w:pPr>
            <w:r>
              <w:rPr>
                <w:sz w:val="17"/>
              </w:rPr>
              <w:t>Sponsorship</w:t>
            </w:r>
          </w:p>
        </w:tc>
        <w:tc>
          <w:tcPr>
            <w:tcW w:type="dxa" w:w="6503"/>
            <w:shd w:val="clear" w:color="auto" w:fill="EAF1F4"/>
          </w:tcPr>
          <w:p>
            <w:pPr>
              <w:spacing w:after="50" w:before="50" w:line="252" w:lineRule="auto"/>
            </w:pPr>
            <w:r>
              <w:rPr>
                <w:sz w:val="17"/>
              </w:rPr>
              <w:t>Per the sponsorship agreement</w:t>
            </w:r>
          </w:p>
        </w:tc>
      </w:tr>
      <w:tr>
        <w:tc>
          <w:tcPr>
            <w:tcW w:type="dxa" w:w="2964"/>
          </w:tcPr>
          <w:p>
            <w:pPr>
              <w:spacing w:after="50" w:before="50" w:line="252" w:lineRule="auto"/>
            </w:pPr>
            <w:r>
              <w:rPr>
                <w:sz w:val="17"/>
              </w:rPr>
              <w:t>Cancellation charge</w:t>
            </w:r>
          </w:p>
        </w:tc>
        <w:tc>
          <w:tcPr>
            <w:tcW w:type="dxa" w:w="6503"/>
          </w:tcPr>
          <w:p>
            <w:pPr>
              <w:spacing w:after="50" w:before="50" w:line="252" w:lineRule="auto"/>
            </w:pPr>
            <w:r>
              <w:rPr>
                <w:sz w:val="17"/>
              </w:rPr>
              <w:t>Within seven days of the cancellation taking effect</w:t>
            </w:r>
          </w:p>
        </w:tc>
      </w:tr>
    </w:tbl>
    <w:p>
      <w:pPr>
        <w:spacing w:after="80" w:before="0"/>
      </w:pPr>
    </w:p>
    <w:p>
      <w:pPr>
        <w:spacing w:before="80" w:after="160"/>
        <w:pBdr>
          <w:bottom w:val="single" w:sz="6" w:space="1" w:color="C9D6DE"/>
        </w:pBdr>
      </w:pPr>
    </w:p>
    <w:p>
      <w:pPr>
        <w:pStyle w:val="Heading1"/>
        <w:pBdr>
          <w:bottom w:val="single" w:sz="8" w:space="4" w:color="C9D6DE"/>
        </w:pBdr>
      </w:pPr>
      <w:r>
        <w:t>6. Purchase orders</w:t>
      </w:r>
    </w:p>
    <w:p>
      <w:r>
        <w:t>Many institutions cannot pay without a purchase order, and the absence of one is the most common cause of delay.</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9468"/>
      </w:tblGrid>
      <w:tr>
        <w:trPr>
          <w:tblHeader w:val="true"/>
        </w:trPr>
        <w:tc>
          <w:tcPr>
            <w:tcW w:type="dxa" w:w="9468"/>
            <w:shd w:val="clear" w:color="auto" w:fill="10375C"/>
          </w:tcPr>
          <w:p>
            <w:pPr>
              <w:spacing w:after="50" w:before="50"/>
            </w:pPr>
            <w:r>
              <w:rPr>
                <w:b/>
                <w:color w:val="FFFFFF"/>
                <w:sz w:val="17"/>
              </w:rPr>
              <w:t>Rule</w:t>
            </w:r>
          </w:p>
        </w:tc>
      </w:tr>
      <w:tr>
        <w:tc>
          <w:tcPr>
            <w:tcW w:type="dxa" w:w="9468"/>
          </w:tcPr>
          <w:p>
            <w:pPr>
              <w:spacing w:after="50" w:before="50" w:line="252" w:lineRule="auto"/>
            </w:pPr>
            <w:r>
              <w:rPr>
                <w:sz w:val="17"/>
              </w:rPr>
              <w:t>Ask at the quotation stage whether a purchase order is required, and record the answer</w:t>
            </w:r>
          </w:p>
        </w:tc>
      </w:tr>
      <w:tr>
        <w:tc>
          <w:tcPr>
            <w:tcW w:type="dxa" w:w="9468"/>
            <w:shd w:val="clear" w:color="auto" w:fill="EAF1F4"/>
          </w:tcPr>
          <w:p>
            <w:pPr>
              <w:spacing w:after="50" w:before="50" w:line="252" w:lineRule="auto"/>
            </w:pPr>
            <w:r>
              <w:rPr>
                <w:sz w:val="17"/>
              </w:rPr>
              <w:t xml:space="preserve">Where required, it must be issued </w:t>
            </w:r>
            <w:r>
              <w:rPr>
                <w:b/>
                <w:sz w:val="17"/>
              </w:rPr>
              <w:t>not less than fifteen days</w:t>
            </w:r>
            <w:r>
              <w:rPr>
                <w:sz w:val="17"/>
              </w:rPr>
              <w:t xml:space="preserve"> before the activity</w:t>
            </w:r>
          </w:p>
        </w:tc>
      </w:tr>
      <w:tr>
        <w:tc>
          <w:tcPr>
            <w:tcW w:type="dxa" w:w="9468"/>
          </w:tcPr>
          <w:p>
            <w:pPr>
              <w:spacing w:after="50" w:before="50" w:line="252" w:lineRule="auto"/>
            </w:pPr>
            <w:r>
              <w:rPr>
                <w:sz w:val="17"/>
              </w:rPr>
              <w:t>The purchase order value, description and dates are checked against the quotation before delivery</w:t>
            </w:r>
          </w:p>
        </w:tc>
      </w:tr>
      <w:tr>
        <w:tc>
          <w:tcPr>
            <w:tcW w:type="dxa" w:w="9468"/>
            <w:shd w:val="clear" w:color="auto" w:fill="EAF1F4"/>
          </w:tcPr>
          <w:p>
            <w:pPr>
              <w:spacing w:after="50" w:before="50" w:line="252" w:lineRule="auto"/>
            </w:pPr>
            <w:r>
              <w:rPr>
                <w:sz w:val="17"/>
              </w:rPr>
              <w:t>Where a purchase order is not received in time, Operations may defer delivery, and the decision rests with the Programme Director, not with the trainer on site</w:t>
            </w:r>
          </w:p>
        </w:tc>
      </w:tr>
      <w:tr>
        <w:tc>
          <w:tcPr>
            <w:tcW w:type="dxa" w:w="9468"/>
          </w:tcPr>
          <w:p>
            <w:pPr>
              <w:spacing w:after="50" w:before="50" w:line="252" w:lineRule="auto"/>
            </w:pPr>
            <w:r>
              <w:rPr>
                <w:sz w:val="17"/>
              </w:rPr>
              <w:t>Invoices quote the purchase order number; invoices without it will not be paid and will be returned</w:t>
            </w:r>
          </w:p>
        </w:tc>
      </w:tr>
    </w:tbl>
    <w:p>
      <w:pPr>
        <w:spacing w:after="80" w:before="0"/>
      </w:pPr>
    </w:p>
    <w:p>
      <w:pPr>
        <w:spacing w:before="80" w:after="160"/>
        <w:pBdr>
          <w:bottom w:val="single" w:sz="6" w:space="1" w:color="C9D6DE"/>
        </w:pBdr>
      </w:pPr>
    </w:p>
    <w:p>
      <w:pPr>
        <w:pStyle w:val="Heading1"/>
        <w:pBdr>
          <w:bottom w:val="single" w:sz="8" w:space="4" w:color="C9D6DE"/>
        </w:pBdr>
      </w:pPr>
      <w:r>
        <w:t>7. Collections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3156"/>
        <w:gridCol w:w="3156"/>
        <w:gridCol w:w="3156"/>
      </w:tblGrid>
      <w:tr>
        <w:trPr>
          <w:tblHeader w:val="true"/>
        </w:trPr>
        <w:tc>
          <w:tcPr>
            <w:tcW w:type="dxa" w:w="1121"/>
            <w:shd w:val="clear" w:color="auto" w:fill="10375C"/>
          </w:tcPr>
          <w:p>
            <w:pPr>
              <w:spacing w:after="50" w:before="50"/>
            </w:pPr>
            <w:r>
              <w:rPr>
                <w:b/>
                <w:color w:val="FFFFFF"/>
                <w:sz w:val="17"/>
              </w:rPr>
              <w:t>Age</w:t>
            </w:r>
          </w:p>
        </w:tc>
        <w:tc>
          <w:tcPr>
            <w:tcW w:type="dxa" w:w="6695"/>
            <w:shd w:val="clear" w:color="auto" w:fill="10375C"/>
          </w:tcPr>
          <w:p>
            <w:pPr>
              <w:spacing w:after="50" w:before="50"/>
            </w:pPr>
            <w:r>
              <w:rPr>
                <w:b/>
                <w:color w:val="FFFFFF"/>
                <w:sz w:val="17"/>
              </w:rPr>
              <w:t>Action</w:t>
            </w:r>
          </w:p>
        </w:tc>
        <w:tc>
          <w:tcPr>
            <w:tcW w:type="dxa" w:w="1651"/>
            <w:shd w:val="clear" w:color="auto" w:fill="10375C"/>
          </w:tcPr>
          <w:p>
            <w:pPr>
              <w:spacing w:after="50" w:before="50"/>
            </w:pPr>
            <w:r>
              <w:rPr>
                <w:b/>
                <w:color w:val="FFFFFF"/>
                <w:sz w:val="17"/>
              </w:rPr>
              <w:t>Owner</w:t>
            </w:r>
          </w:p>
        </w:tc>
      </w:tr>
      <w:tr>
        <w:tc>
          <w:tcPr>
            <w:tcW w:type="dxa" w:w="1121"/>
          </w:tcPr>
          <w:p>
            <w:pPr>
              <w:spacing w:after="50" w:before="50" w:line="252" w:lineRule="auto"/>
            </w:pPr>
            <w:r>
              <w:rPr>
                <w:sz w:val="17"/>
              </w:rPr>
              <w:t>Due date</w:t>
            </w:r>
          </w:p>
        </w:tc>
        <w:tc>
          <w:tcPr>
            <w:tcW w:type="dxa" w:w="6695"/>
          </w:tcPr>
          <w:p>
            <w:pPr>
              <w:spacing w:after="50" w:before="50" w:line="252" w:lineRule="auto"/>
            </w:pPr>
            <w:r>
              <w:rPr>
                <w:sz w:val="17"/>
              </w:rPr>
              <w:t>Automated reminder</w:t>
            </w:r>
          </w:p>
        </w:tc>
        <w:tc>
          <w:tcPr>
            <w:tcW w:type="dxa" w:w="1651"/>
          </w:tcPr>
          <w:p>
            <w:pPr>
              <w:spacing w:after="50" w:before="50" w:line="252" w:lineRule="auto"/>
            </w:pPr>
            <w:r>
              <w:rPr>
                <w:sz w:val="17"/>
              </w:rPr>
              <w:t>Finance</w:t>
            </w:r>
          </w:p>
        </w:tc>
      </w:tr>
      <w:tr>
        <w:tc>
          <w:tcPr>
            <w:tcW w:type="dxa" w:w="1121"/>
            <w:shd w:val="clear" w:color="auto" w:fill="EAF1F4"/>
          </w:tcPr>
          <w:p>
            <w:pPr>
              <w:spacing w:after="50" w:before="50" w:line="252" w:lineRule="auto"/>
            </w:pPr>
            <w:r>
              <w:rPr>
                <w:sz w:val="17"/>
              </w:rPr>
              <w:t>+7 days</w:t>
            </w:r>
          </w:p>
        </w:tc>
        <w:tc>
          <w:tcPr>
            <w:tcW w:type="dxa" w:w="6695"/>
            <w:shd w:val="clear" w:color="auto" w:fill="EAF1F4"/>
          </w:tcPr>
          <w:p>
            <w:pPr>
              <w:spacing w:after="50" w:before="50" w:line="252" w:lineRule="auto"/>
            </w:pPr>
            <w:r>
              <w:rPr>
                <w:sz w:val="17"/>
              </w:rPr>
              <w:t>Email to the institution's accounts contact, copied to the Nodal Officer</w:t>
            </w:r>
          </w:p>
        </w:tc>
        <w:tc>
          <w:tcPr>
            <w:tcW w:type="dxa" w:w="1651"/>
            <w:shd w:val="clear" w:color="auto" w:fill="EAF1F4"/>
          </w:tcPr>
          <w:p>
            <w:pPr>
              <w:spacing w:after="50" w:before="50" w:line="252" w:lineRule="auto"/>
            </w:pPr>
            <w:r>
              <w:rPr>
                <w:sz w:val="17"/>
              </w:rPr>
              <w:t>Finance</w:t>
            </w:r>
          </w:p>
        </w:tc>
      </w:tr>
      <w:tr>
        <w:tc>
          <w:tcPr>
            <w:tcW w:type="dxa" w:w="1121"/>
          </w:tcPr>
          <w:p>
            <w:pPr>
              <w:spacing w:after="50" w:before="50" w:line="252" w:lineRule="auto"/>
            </w:pPr>
            <w:r>
              <w:rPr>
                <w:sz w:val="17"/>
              </w:rPr>
              <w:t>+15 days</w:t>
            </w:r>
          </w:p>
        </w:tc>
        <w:tc>
          <w:tcPr>
            <w:tcW w:type="dxa" w:w="6695"/>
          </w:tcPr>
          <w:p>
            <w:pPr>
              <w:spacing w:after="50" w:before="50" w:line="252" w:lineRule="auto"/>
            </w:pPr>
            <w:r>
              <w:rPr>
                <w:sz w:val="17"/>
              </w:rPr>
              <w:t>Telephone call; confirm the invoice is in the payment run; identify any missing document</w:t>
            </w:r>
          </w:p>
        </w:tc>
        <w:tc>
          <w:tcPr>
            <w:tcW w:type="dxa" w:w="1651"/>
          </w:tcPr>
          <w:p>
            <w:pPr>
              <w:spacing w:after="50" w:before="50" w:line="252" w:lineRule="auto"/>
            </w:pPr>
            <w:r>
              <w:rPr>
                <w:sz w:val="17"/>
              </w:rPr>
              <w:t>Finance</w:t>
            </w:r>
          </w:p>
        </w:tc>
      </w:tr>
      <w:tr>
        <w:tc>
          <w:tcPr>
            <w:tcW w:type="dxa" w:w="1121"/>
            <w:shd w:val="clear" w:color="auto" w:fill="EAF1F4"/>
          </w:tcPr>
          <w:p>
            <w:pPr>
              <w:spacing w:after="50" w:before="50" w:line="252" w:lineRule="auto"/>
            </w:pPr>
            <w:r>
              <w:rPr>
                <w:sz w:val="17"/>
              </w:rPr>
              <w:t>+30 days</w:t>
            </w:r>
          </w:p>
        </w:tc>
        <w:tc>
          <w:tcPr>
            <w:tcW w:type="dxa" w:w="6695"/>
            <w:shd w:val="clear" w:color="auto" w:fill="EAF1F4"/>
          </w:tcPr>
          <w:p>
            <w:pPr>
              <w:spacing w:after="50" w:before="50" w:line="252" w:lineRule="auto"/>
            </w:pPr>
            <w:r>
              <w:rPr>
                <w:sz w:val="17"/>
              </w:rPr>
              <w:t>Programme Director writes to the Nodal Officer</w:t>
            </w:r>
          </w:p>
        </w:tc>
        <w:tc>
          <w:tcPr>
            <w:tcW w:type="dxa" w:w="1651"/>
            <w:shd w:val="clear" w:color="auto" w:fill="EAF1F4"/>
          </w:tcPr>
          <w:p>
            <w:pPr>
              <w:spacing w:after="50" w:before="50" w:line="252" w:lineRule="auto"/>
            </w:pPr>
            <w:r>
              <w:rPr>
                <w:sz w:val="17"/>
              </w:rPr>
              <w:t>Director</w:t>
            </w:r>
          </w:p>
        </w:tc>
      </w:tr>
      <w:tr>
        <w:tc>
          <w:tcPr>
            <w:tcW w:type="dxa" w:w="1121"/>
          </w:tcPr>
          <w:p>
            <w:pPr>
              <w:spacing w:after="50" w:before="50" w:line="252" w:lineRule="auto"/>
            </w:pPr>
            <w:r>
              <w:rPr>
                <w:sz w:val="17"/>
              </w:rPr>
              <w:t>+45 days</w:t>
            </w:r>
          </w:p>
        </w:tc>
        <w:tc>
          <w:tcPr>
            <w:tcW w:type="dxa" w:w="6695"/>
          </w:tcPr>
          <w:p>
            <w:pPr>
              <w:spacing w:after="50" w:before="50" w:line="252" w:lineRule="auto"/>
            </w:pPr>
            <w:r>
              <w:rPr>
                <w:sz w:val="17"/>
              </w:rPr>
              <w:t>Escalation letter L-22 to the Registrar; interest begins to accrue</w:t>
            </w:r>
          </w:p>
        </w:tc>
        <w:tc>
          <w:tcPr>
            <w:tcW w:type="dxa" w:w="1651"/>
          </w:tcPr>
          <w:p>
            <w:pPr>
              <w:spacing w:after="50" w:before="50" w:line="252" w:lineRule="auto"/>
            </w:pPr>
            <w:r>
              <w:rPr>
                <w:sz w:val="17"/>
              </w:rPr>
              <w:t>Director</w:t>
            </w:r>
          </w:p>
        </w:tc>
      </w:tr>
      <w:tr>
        <w:tc>
          <w:tcPr>
            <w:tcW w:type="dxa" w:w="1121"/>
            <w:shd w:val="clear" w:color="auto" w:fill="EAF1F4"/>
          </w:tcPr>
          <w:p>
            <w:pPr>
              <w:spacing w:after="50" w:before="50" w:line="252" w:lineRule="auto"/>
            </w:pPr>
            <w:r>
              <w:rPr>
                <w:sz w:val="17"/>
              </w:rPr>
              <w:t>+60 days</w:t>
            </w:r>
          </w:p>
        </w:tc>
        <w:tc>
          <w:tcPr>
            <w:tcW w:type="dxa" w:w="6695"/>
            <w:shd w:val="clear" w:color="auto" w:fill="EAF1F4"/>
          </w:tcPr>
          <w:p>
            <w:pPr>
              <w:spacing w:after="50" w:before="50" w:line="252" w:lineRule="auto"/>
            </w:pPr>
            <w:r>
              <w:rPr>
                <w:sz w:val="17"/>
              </w:rPr>
              <w:t>No further activities scheduled with that institution; matter reported to the Programme Board</w:t>
            </w:r>
          </w:p>
        </w:tc>
        <w:tc>
          <w:tcPr>
            <w:tcW w:type="dxa" w:w="1651"/>
            <w:shd w:val="clear" w:color="auto" w:fill="EAF1F4"/>
          </w:tcPr>
          <w:p>
            <w:pPr>
              <w:spacing w:after="50" w:before="50" w:line="252" w:lineRule="auto"/>
            </w:pPr>
            <w:r>
              <w:rPr>
                <w:sz w:val="17"/>
              </w:rPr>
              <w:t>Director</w:t>
            </w:r>
          </w:p>
        </w:tc>
      </w:tr>
      <w:tr>
        <w:tc>
          <w:tcPr>
            <w:tcW w:type="dxa" w:w="1121"/>
          </w:tcPr>
          <w:p>
            <w:pPr>
              <w:spacing w:after="50" w:before="50" w:line="252" w:lineRule="auto"/>
            </w:pPr>
            <w:r>
              <w:rPr>
                <w:sz w:val="17"/>
              </w:rPr>
              <w:t>+90 days</w:t>
            </w:r>
          </w:p>
        </w:tc>
        <w:tc>
          <w:tcPr>
            <w:tcW w:type="dxa" w:w="6695"/>
          </w:tcPr>
          <w:p>
            <w:pPr>
              <w:spacing w:after="50" w:before="50" w:line="252" w:lineRule="auto"/>
            </w:pPr>
            <w:r>
              <w:rPr>
                <w:sz w:val="17"/>
              </w:rPr>
              <w:t>Referred under MOU clause 18; recovery options assessed</w:t>
            </w:r>
          </w:p>
        </w:tc>
        <w:tc>
          <w:tcPr>
            <w:tcW w:type="dxa" w:w="1651"/>
          </w:tcPr>
          <w:p>
            <w:pPr>
              <w:spacing w:after="50" w:before="50" w:line="252" w:lineRule="auto"/>
            </w:pPr>
            <w:r>
              <w:rPr>
                <w:sz w:val="17"/>
              </w:rPr>
              <w:t>Finance Controller</w:t>
            </w:r>
          </w:p>
        </w:tc>
      </w:tr>
    </w:tbl>
    <w:p>
      <w:pPr>
        <w:spacing w:after="80" w:before="0"/>
      </w:pPr>
    </w:p>
    <w:p>
      <w:r>
        <w:rPr>
          <w:b/>
        </w:rPr>
        <w:t>Standing rule.</w:t>
      </w:r>
      <w:r>
        <w:t xml:space="preserve"> No new programme is delivered to an institution with an undisputed invoice outstanding beyond sixty days, whatever the relationship. Exceptions require the Programme Director in writing.</w:t>
      </w:r>
    </w:p>
    <w:p>
      <w:pPr>
        <w:spacing w:before="80" w:after="160"/>
        <w:pBdr>
          <w:bottom w:val="single" w:sz="6" w:space="1" w:color="C9D6DE"/>
        </w:pBdr>
      </w:pPr>
    </w:p>
    <w:p>
      <w:pPr>
        <w:pStyle w:val="Heading1"/>
        <w:pBdr>
          <w:bottom w:val="single" w:sz="8" w:space="4" w:color="C9D6DE"/>
        </w:pBdr>
      </w:pPr>
      <w:r>
        <w:t>8. Disputed invoices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9468"/>
      </w:tblGrid>
      <w:tr>
        <w:trPr>
          <w:tblHeader w:val="true"/>
        </w:trPr>
        <w:tc>
          <w:tcPr>
            <w:tcW w:type="dxa" w:w="9468"/>
            <w:shd w:val="clear" w:color="auto" w:fill="10375C"/>
          </w:tcPr>
          <w:p>
            <w:pPr>
              <w:spacing w:after="50" w:before="50"/>
            </w:pPr>
            <w:r>
              <w:rPr>
                <w:b/>
                <w:color w:val="FFFFFF"/>
                <w:sz w:val="17"/>
              </w:rPr>
              <w:t>Rule</w:t>
            </w:r>
          </w:p>
        </w:tc>
      </w:tr>
      <w:tr>
        <w:tc>
          <w:tcPr>
            <w:tcW w:type="dxa" w:w="9468"/>
          </w:tcPr>
          <w:p>
            <w:pPr>
              <w:spacing w:after="50" w:before="50" w:line="252" w:lineRule="auto"/>
            </w:pPr>
            <w:r>
              <w:rPr>
                <w:sz w:val="17"/>
              </w:rPr>
              <w:t>A dispute must be raised within fifteen days of receipt, in writing, with reasons</w:t>
            </w:r>
          </w:p>
        </w:tc>
      </w:tr>
      <w:tr>
        <w:tc>
          <w:tcPr>
            <w:tcW w:type="dxa" w:w="9468"/>
            <w:shd w:val="clear" w:color="auto" w:fill="EAF1F4"/>
          </w:tcPr>
          <w:p>
            <w:pPr>
              <w:spacing w:after="50" w:before="50" w:line="252" w:lineRule="auto"/>
            </w:pPr>
            <w:r>
              <w:rPr>
                <w:sz w:val="17"/>
              </w:rPr>
              <w:t>Undisputed portions remain payable on the original due date</w:t>
            </w:r>
          </w:p>
        </w:tc>
      </w:tr>
      <w:tr>
        <w:tc>
          <w:tcPr>
            <w:tcW w:type="dxa" w:w="9468"/>
          </w:tcPr>
          <w:p>
            <w:pPr>
              <w:spacing w:after="50" w:before="50" w:line="252" w:lineRule="auto"/>
            </w:pPr>
            <w:r>
              <w:rPr>
                <w:sz w:val="17"/>
              </w:rPr>
              <w:t>Finance responds within seven days with the supporting evidence</w:t>
            </w:r>
          </w:p>
        </w:tc>
      </w:tr>
      <w:tr>
        <w:tc>
          <w:tcPr>
            <w:tcW w:type="dxa" w:w="9468"/>
            <w:shd w:val="clear" w:color="auto" w:fill="EAF1F4"/>
          </w:tcPr>
          <w:p>
            <w:pPr>
              <w:spacing w:after="50" w:before="50" w:line="252" w:lineRule="auto"/>
            </w:pPr>
            <w:r>
              <w:rPr>
                <w:sz w:val="17"/>
              </w:rPr>
              <w:t>Unresolved after thirty days, the matter escalates under MOU clause 18</w:t>
            </w:r>
          </w:p>
        </w:tc>
      </w:tr>
      <w:tr>
        <w:tc>
          <w:tcPr>
            <w:tcW w:type="dxa" w:w="9468"/>
          </w:tcPr>
          <w:p>
            <w:pPr>
              <w:spacing w:after="50" w:before="50" w:line="252" w:lineRule="auto"/>
            </w:pPr>
            <w:r>
              <w:rPr>
                <w:sz w:val="17"/>
              </w:rPr>
              <w:t>A credit note is issued only with Finance Controller approval, with the reason recorded</w:t>
            </w:r>
          </w:p>
        </w:tc>
      </w:tr>
      <w:tr>
        <w:tc>
          <w:tcPr>
            <w:tcW w:type="dxa" w:w="9468"/>
            <w:shd w:val="clear" w:color="auto" w:fill="EAF1F4"/>
          </w:tcPr>
          <w:p>
            <w:pPr>
              <w:spacing w:after="50" w:before="50" w:line="252" w:lineRule="auto"/>
            </w:pPr>
            <w:r>
              <w:rPr>
                <w:sz w:val="17"/>
              </w:rPr>
              <w:t>The disputes register is reviewed at each quarter end by the Programme Board</w:t>
            </w:r>
          </w:p>
        </w:tc>
      </w:tr>
    </w:tbl>
    <w:p>
      <w:pPr>
        <w:spacing w:after="80" w:before="0"/>
      </w:pPr>
    </w:p>
    <w:p>
      <w:pPr>
        <w:spacing w:before="80" w:after="160"/>
        <w:pBdr>
          <w:bottom w:val="single" w:sz="6" w:space="1" w:color="C9D6DE"/>
        </w:pBdr>
      </w:pPr>
    </w:p>
    <w:p>
      <w:pPr>
        <w:pStyle w:val="Heading1"/>
        <w:pBdr>
          <w:bottom w:val="single" w:sz="8" w:space="4" w:color="C9D6DE"/>
        </w:pBdr>
      </w:pPr>
      <w:r>
        <w:t>9. Banking and receipts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9468"/>
      </w:tblGrid>
      <w:tr>
        <w:trPr>
          <w:tblHeader w:val="true"/>
        </w:trPr>
        <w:tc>
          <w:tcPr>
            <w:tcW w:type="dxa" w:w="9468"/>
            <w:shd w:val="clear" w:color="auto" w:fill="10375C"/>
          </w:tcPr>
          <w:p>
            <w:pPr>
              <w:spacing w:after="50" w:before="50"/>
            </w:pPr>
            <w:r>
              <w:rPr>
                <w:b/>
                <w:color w:val="FFFFFF"/>
                <w:sz w:val="17"/>
              </w:rPr>
              <w:t>Rule</w:t>
            </w:r>
          </w:p>
        </w:tc>
      </w:tr>
      <w:tr>
        <w:tc>
          <w:tcPr>
            <w:tcW w:type="dxa" w:w="9468"/>
          </w:tcPr>
          <w:p>
            <w:pPr>
              <w:spacing w:after="50" w:before="50" w:line="252" w:lineRule="auto"/>
            </w:pPr>
            <w:r>
              <w:rPr>
                <w:sz w:val="17"/>
              </w:rPr>
              <w:t>Receipts only to the designated accounts of the invoicing entity</w:t>
            </w:r>
          </w:p>
        </w:tc>
      </w:tr>
      <w:tr>
        <w:tc>
          <w:tcPr>
            <w:tcW w:type="dxa" w:w="9468"/>
            <w:shd w:val="clear" w:color="auto" w:fill="EAF1F4"/>
          </w:tcPr>
          <w:p>
            <w:pPr>
              <w:spacing w:after="50" w:before="50" w:line="252" w:lineRule="auto"/>
            </w:pPr>
            <w:r>
              <w:rPr>
                <w:b/>
                <w:sz w:val="17"/>
              </w:rPr>
              <w:t>No cash is accepted in any circumstance</w:t>
            </w:r>
          </w:p>
        </w:tc>
      </w:tr>
      <w:tr>
        <w:tc>
          <w:tcPr>
            <w:tcW w:type="dxa" w:w="9468"/>
          </w:tcPr>
          <w:p>
            <w:pPr>
              <w:spacing w:after="50" w:before="50" w:line="252" w:lineRule="auto"/>
            </w:pPr>
            <w:r>
              <w:rPr>
                <w:sz w:val="17"/>
              </w:rPr>
              <w:t>Participant fees are collected through the approved payment gateway with a system-generated receipt</w:t>
            </w:r>
          </w:p>
        </w:tc>
      </w:tr>
      <w:tr>
        <w:tc>
          <w:tcPr>
            <w:tcW w:type="dxa" w:w="9468"/>
            <w:shd w:val="clear" w:color="auto" w:fill="EAF1F4"/>
          </w:tcPr>
          <w:p>
            <w:pPr>
              <w:spacing w:after="50" w:before="50" w:line="252" w:lineRule="auto"/>
            </w:pPr>
            <w:r>
              <w:rPr>
                <w:sz w:val="17"/>
              </w:rPr>
              <w:t>Bank details are communicated only through the invoice or an email from a Finance address, never by a trainer or on site</w:t>
            </w:r>
          </w:p>
        </w:tc>
      </w:tr>
      <w:tr>
        <w:tc>
          <w:tcPr>
            <w:tcW w:type="dxa" w:w="9468"/>
          </w:tcPr>
          <w:p>
            <w:pPr>
              <w:spacing w:after="50" w:before="50" w:line="252" w:lineRule="auto"/>
            </w:pPr>
            <w:r>
              <w:rPr>
                <w:sz w:val="17"/>
              </w:rPr>
              <w:t>Any request from an institution to change bank details is verified by a telephone call to a known number before action</w:t>
            </w:r>
          </w:p>
        </w:tc>
      </w:tr>
      <w:tr>
        <w:tc>
          <w:tcPr>
            <w:tcW w:type="dxa" w:w="9468"/>
            <w:shd w:val="clear" w:color="auto" w:fill="EAF1F4"/>
          </w:tcPr>
          <w:p>
            <w:pPr>
              <w:spacing w:after="50" w:before="50" w:line="252" w:lineRule="auto"/>
            </w:pPr>
            <w:r>
              <w:rPr>
                <w:sz w:val="17"/>
              </w:rPr>
              <w:t>Daily receipts are matched to the registration system; unmatched receipts are investigated within three days</w:t>
            </w:r>
          </w:p>
        </w:tc>
      </w:tr>
    </w:tbl>
    <w:p>
      <w:pPr>
        <w:spacing w:after="80" w:before="0"/>
      </w:pPr>
    </w:p>
    <w:p>
      <w:pPr>
        <w:spacing w:before="80" w:after="160"/>
        <w:pBdr>
          <w:bottom w:val="single" w:sz="6" w:space="1" w:color="C9D6DE"/>
        </w:pBdr>
      </w:pPr>
    </w:p>
    <w:p>
      <w:pPr>
        <w:pStyle w:val="Heading1"/>
        <w:pBdr>
          <w:bottom w:val="single" w:sz="8" w:space="4" w:color="C9D6DE"/>
        </w:pBdr>
      </w:pPr>
      <w:r>
        <w:t>10. Records and controls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7648"/>
            <w:shd w:val="clear" w:color="auto" w:fill="10375C"/>
          </w:tcPr>
          <w:p>
            <w:pPr>
              <w:spacing w:after="50" w:before="50"/>
            </w:pPr>
            <w:r>
              <w:rPr>
                <w:b/>
                <w:color w:val="FFFFFF"/>
                <w:sz w:val="17"/>
              </w:rPr>
              <w:t>Record</w:t>
            </w:r>
          </w:p>
        </w:tc>
        <w:tc>
          <w:tcPr>
            <w:tcW w:type="dxa" w:w="1820"/>
            <w:shd w:val="clear" w:color="auto" w:fill="10375C"/>
          </w:tcPr>
          <w:p>
            <w:pPr>
              <w:spacing w:after="50" w:before="50"/>
            </w:pPr>
            <w:r>
              <w:rPr>
                <w:b/>
                <w:color w:val="FFFFFF"/>
                <w:sz w:val="17"/>
              </w:rPr>
              <w:t>Retention</w:t>
            </w:r>
          </w:p>
        </w:tc>
      </w:tr>
      <w:tr>
        <w:tc>
          <w:tcPr>
            <w:tcW w:type="dxa" w:w="7648"/>
          </w:tcPr>
          <w:p>
            <w:pPr>
              <w:spacing w:after="50" w:before="50" w:line="252" w:lineRule="auto"/>
            </w:pPr>
            <w:r>
              <w:rPr>
                <w:sz w:val="17"/>
              </w:rPr>
              <w:t>Invoices and credit notes</w:t>
            </w:r>
          </w:p>
        </w:tc>
        <w:tc>
          <w:tcPr>
            <w:tcW w:type="dxa" w:w="1820"/>
          </w:tcPr>
          <w:p>
            <w:pPr>
              <w:spacing w:after="50" w:before="50" w:line="252" w:lineRule="auto"/>
            </w:pPr>
            <w:r>
              <w:rPr>
                <w:sz w:val="17"/>
              </w:rPr>
              <w:t>8 years</w:t>
            </w:r>
          </w:p>
        </w:tc>
      </w:tr>
      <w:tr>
        <w:tc>
          <w:tcPr>
            <w:tcW w:type="dxa" w:w="7648"/>
            <w:shd w:val="clear" w:color="auto" w:fill="EAF1F4"/>
          </w:tcPr>
          <w:p>
            <w:pPr>
              <w:spacing w:after="50" w:before="50" w:line="252" w:lineRule="auto"/>
            </w:pPr>
            <w:r>
              <w:rPr>
                <w:sz w:val="17"/>
              </w:rPr>
              <w:t>Purchase orders and quotations</w:t>
            </w:r>
          </w:p>
        </w:tc>
        <w:tc>
          <w:tcPr>
            <w:tcW w:type="dxa" w:w="1820"/>
            <w:shd w:val="clear" w:color="auto" w:fill="EAF1F4"/>
          </w:tcPr>
          <w:p>
            <w:pPr>
              <w:spacing w:after="50" w:before="50" w:line="252" w:lineRule="auto"/>
            </w:pPr>
            <w:r>
              <w:rPr>
                <w:sz w:val="17"/>
              </w:rPr>
              <w:t>8 years</w:t>
            </w:r>
          </w:p>
        </w:tc>
      </w:tr>
      <w:tr>
        <w:tc>
          <w:tcPr>
            <w:tcW w:type="dxa" w:w="7648"/>
          </w:tcPr>
          <w:p>
            <w:pPr>
              <w:spacing w:after="50" w:before="50" w:line="252" w:lineRule="auto"/>
            </w:pPr>
            <w:r>
              <w:rPr>
                <w:sz w:val="17"/>
              </w:rPr>
              <w:t>Withholding certificates and 26AS reconciliations</w:t>
            </w:r>
          </w:p>
        </w:tc>
        <w:tc>
          <w:tcPr>
            <w:tcW w:type="dxa" w:w="1820"/>
          </w:tcPr>
          <w:p>
            <w:pPr>
              <w:spacing w:after="50" w:before="50" w:line="252" w:lineRule="auto"/>
            </w:pPr>
            <w:r>
              <w:rPr>
                <w:sz w:val="17"/>
              </w:rPr>
              <w:t>8 years</w:t>
            </w:r>
          </w:p>
        </w:tc>
      </w:tr>
      <w:tr>
        <w:tc>
          <w:tcPr>
            <w:tcW w:type="dxa" w:w="7648"/>
            <w:shd w:val="clear" w:color="auto" w:fill="EAF1F4"/>
          </w:tcPr>
          <w:p>
            <w:pPr>
              <w:spacing w:after="50" w:before="50" w:line="252" w:lineRule="auto"/>
            </w:pPr>
            <w:r>
              <w:rPr>
                <w:sz w:val="17"/>
              </w:rPr>
              <w:t>Bank statements and gateway reports</w:t>
            </w:r>
          </w:p>
        </w:tc>
        <w:tc>
          <w:tcPr>
            <w:tcW w:type="dxa" w:w="1820"/>
            <w:shd w:val="clear" w:color="auto" w:fill="EAF1F4"/>
          </w:tcPr>
          <w:p>
            <w:pPr>
              <w:spacing w:after="50" w:before="50" w:line="252" w:lineRule="auto"/>
            </w:pPr>
            <w:r>
              <w:rPr>
                <w:sz w:val="17"/>
              </w:rPr>
              <w:t>8 years</w:t>
            </w:r>
          </w:p>
        </w:tc>
      </w:tr>
      <w:tr>
        <w:tc>
          <w:tcPr>
            <w:tcW w:type="dxa" w:w="7648"/>
          </w:tcPr>
          <w:p>
            <w:pPr>
              <w:spacing w:after="50" w:before="50" w:line="252" w:lineRule="auto"/>
            </w:pPr>
            <w:r>
              <w:rPr>
                <w:sz w:val="17"/>
              </w:rPr>
              <w:t>Collection correspondence</w:t>
            </w:r>
          </w:p>
        </w:tc>
        <w:tc>
          <w:tcPr>
            <w:tcW w:type="dxa" w:w="1820"/>
          </w:tcPr>
          <w:p>
            <w:pPr>
              <w:spacing w:after="50" w:before="50" w:line="252" w:lineRule="auto"/>
            </w:pPr>
            <w:r>
              <w:rPr>
                <w:sz w:val="17"/>
              </w:rPr>
              <w:t>8 years</w:t>
            </w:r>
          </w:p>
        </w:tc>
      </w:tr>
      <w:tr>
        <w:tc>
          <w:tcPr>
            <w:tcW w:type="dxa" w:w="7648"/>
            <w:shd w:val="clear" w:color="auto" w:fill="EAF1F4"/>
          </w:tcPr>
          <w:p>
            <w:pPr>
              <w:spacing w:after="50" w:before="50" w:line="252" w:lineRule="auto"/>
            </w:pPr>
            <w:r>
              <w:rPr>
                <w:sz w:val="17"/>
              </w:rPr>
              <w:t>Disputes register</w:t>
            </w:r>
          </w:p>
        </w:tc>
        <w:tc>
          <w:tcPr>
            <w:tcW w:type="dxa" w:w="1820"/>
            <w:shd w:val="clear" w:color="auto" w:fill="EAF1F4"/>
          </w:tcPr>
          <w:p>
            <w:pPr>
              <w:spacing w:after="50" w:before="50" w:line="252" w:lineRule="auto"/>
            </w:pPr>
            <w:r>
              <w:rPr>
                <w:sz w:val="17"/>
              </w:rPr>
              <w:t>8 years</w:t>
            </w:r>
          </w:p>
        </w:tc>
      </w:tr>
    </w:tbl>
    <w:p>
      <w:pPr>
        <w:spacing w:after="80" w:before="0"/>
      </w:pP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3156"/>
        <w:gridCol w:w="3156"/>
        <w:gridCol w:w="3156"/>
      </w:tblGrid>
      <w:tr>
        <w:trPr>
          <w:tblHeader w:val="true"/>
        </w:trPr>
        <w:tc>
          <w:tcPr>
            <w:tcW w:type="dxa" w:w="850"/>
            <w:shd w:val="clear" w:color="auto" w:fill="10375C"/>
          </w:tcPr>
          <w:p>
            <w:pPr>
              <w:spacing w:after="50" w:before="50"/>
            </w:pPr>
            <w:r>
              <w:rPr>
                <w:b/>
                <w:color w:val="FFFFFF"/>
                <w:sz w:val="17"/>
              </w:rPr>
              <w:t>#</w:t>
            </w:r>
          </w:p>
        </w:tc>
        <w:tc>
          <w:tcPr>
            <w:tcW w:type="dxa" w:w="6638"/>
            <w:shd w:val="clear" w:color="auto" w:fill="10375C"/>
          </w:tcPr>
          <w:p>
            <w:pPr>
              <w:spacing w:after="50" w:before="50"/>
            </w:pPr>
            <w:r>
              <w:rPr>
                <w:b/>
                <w:color w:val="FFFFFF"/>
                <w:sz w:val="17"/>
              </w:rPr>
              <w:t>Control</w:t>
            </w:r>
          </w:p>
        </w:tc>
        <w:tc>
          <w:tcPr>
            <w:tcW w:type="dxa" w:w="2130"/>
            <w:shd w:val="clear" w:color="auto" w:fill="10375C"/>
          </w:tcPr>
          <w:p>
            <w:pPr>
              <w:spacing w:after="50" w:before="50"/>
            </w:pPr>
            <w:r>
              <w:rPr>
                <w:b/>
                <w:color w:val="FFFFFF"/>
                <w:sz w:val="17"/>
              </w:rPr>
              <w:t>Frequency</w:t>
            </w:r>
          </w:p>
        </w:tc>
      </w:tr>
      <w:tr>
        <w:tc>
          <w:tcPr>
            <w:tcW w:type="dxa" w:w="850"/>
          </w:tcPr>
          <w:p>
            <w:pPr>
              <w:spacing w:after="50" w:before="50" w:line="252" w:lineRule="auto"/>
            </w:pPr>
            <w:r>
              <w:rPr>
                <w:sz w:val="17"/>
              </w:rPr>
              <w:t>C1</w:t>
            </w:r>
          </w:p>
        </w:tc>
        <w:tc>
          <w:tcPr>
            <w:tcW w:type="dxa" w:w="6638"/>
          </w:tcPr>
          <w:p>
            <w:pPr>
              <w:spacing w:after="50" w:before="50" w:line="252" w:lineRule="auto"/>
            </w:pPr>
            <w:r>
              <w:rPr>
                <w:sz w:val="17"/>
              </w:rPr>
              <w:t>Invoice raised only against an approved quotation or Schedule H</w:t>
            </w:r>
          </w:p>
        </w:tc>
        <w:tc>
          <w:tcPr>
            <w:tcW w:type="dxa" w:w="2130"/>
          </w:tcPr>
          <w:p>
            <w:pPr>
              <w:spacing w:after="50" w:before="50" w:line="252" w:lineRule="auto"/>
            </w:pPr>
            <w:r>
              <w:rPr>
                <w:sz w:val="17"/>
              </w:rPr>
              <w:t>Per invoice</w:t>
            </w:r>
          </w:p>
        </w:tc>
      </w:tr>
      <w:tr>
        <w:tc>
          <w:tcPr>
            <w:tcW w:type="dxa" w:w="850"/>
            <w:shd w:val="clear" w:color="auto" w:fill="EAF1F4"/>
          </w:tcPr>
          <w:p>
            <w:pPr>
              <w:spacing w:after="50" w:before="50" w:line="252" w:lineRule="auto"/>
            </w:pPr>
            <w:r>
              <w:rPr>
                <w:sz w:val="17"/>
              </w:rPr>
              <w:t>C2</w:t>
            </w:r>
          </w:p>
        </w:tc>
        <w:tc>
          <w:tcPr>
            <w:tcW w:type="dxa" w:w="6638"/>
            <w:shd w:val="clear" w:color="auto" w:fill="EAF1F4"/>
          </w:tcPr>
          <w:p>
            <w:pPr>
              <w:spacing w:after="50" w:before="50" w:line="252" w:lineRule="auto"/>
            </w:pPr>
            <w:r>
              <w:rPr>
                <w:sz w:val="17"/>
              </w:rPr>
              <w:t>Second-person check on invoices above ₹1,00,000</w:t>
            </w:r>
          </w:p>
        </w:tc>
        <w:tc>
          <w:tcPr>
            <w:tcW w:type="dxa" w:w="2130"/>
            <w:shd w:val="clear" w:color="auto" w:fill="EAF1F4"/>
          </w:tcPr>
          <w:p>
            <w:pPr>
              <w:spacing w:after="50" w:before="50" w:line="252" w:lineRule="auto"/>
            </w:pPr>
            <w:r>
              <w:rPr>
                <w:sz w:val="17"/>
              </w:rPr>
              <w:t>Per invoice</w:t>
            </w:r>
          </w:p>
        </w:tc>
      </w:tr>
      <w:tr>
        <w:tc>
          <w:tcPr>
            <w:tcW w:type="dxa" w:w="850"/>
          </w:tcPr>
          <w:p>
            <w:pPr>
              <w:spacing w:after="50" w:before="50" w:line="252" w:lineRule="auto"/>
            </w:pPr>
            <w:r>
              <w:rPr>
                <w:sz w:val="17"/>
              </w:rPr>
              <w:t>C3</w:t>
            </w:r>
          </w:p>
        </w:tc>
        <w:tc>
          <w:tcPr>
            <w:tcW w:type="dxa" w:w="6638"/>
          </w:tcPr>
          <w:p>
            <w:pPr>
              <w:spacing w:after="50" w:before="50" w:line="252" w:lineRule="auto"/>
            </w:pPr>
            <w:r>
              <w:rPr>
                <w:sz w:val="17"/>
              </w:rPr>
              <w:t>Credit notes approved by the Finance Controller</w:t>
            </w:r>
          </w:p>
        </w:tc>
        <w:tc>
          <w:tcPr>
            <w:tcW w:type="dxa" w:w="2130"/>
          </w:tcPr>
          <w:p>
            <w:pPr>
              <w:spacing w:after="50" w:before="50" w:line="252" w:lineRule="auto"/>
            </w:pPr>
            <w:r>
              <w:rPr>
                <w:sz w:val="17"/>
              </w:rPr>
              <w:t>Per note</w:t>
            </w:r>
          </w:p>
        </w:tc>
      </w:tr>
      <w:tr>
        <w:tc>
          <w:tcPr>
            <w:tcW w:type="dxa" w:w="850"/>
            <w:shd w:val="clear" w:color="auto" w:fill="EAF1F4"/>
          </w:tcPr>
          <w:p>
            <w:pPr>
              <w:spacing w:after="50" w:before="50" w:line="252" w:lineRule="auto"/>
            </w:pPr>
            <w:r>
              <w:rPr>
                <w:sz w:val="17"/>
              </w:rPr>
              <w:t>C4</w:t>
            </w:r>
          </w:p>
        </w:tc>
        <w:tc>
          <w:tcPr>
            <w:tcW w:type="dxa" w:w="6638"/>
            <w:shd w:val="clear" w:color="auto" w:fill="EAF1F4"/>
          </w:tcPr>
          <w:p>
            <w:pPr>
              <w:spacing w:after="50" w:before="50" w:line="252" w:lineRule="auto"/>
            </w:pPr>
            <w:r>
              <w:rPr>
                <w:sz w:val="17"/>
              </w:rPr>
              <w:t>Gapless sequence check on every series</w:t>
            </w:r>
          </w:p>
        </w:tc>
        <w:tc>
          <w:tcPr>
            <w:tcW w:type="dxa" w:w="2130"/>
            <w:shd w:val="clear" w:color="auto" w:fill="EAF1F4"/>
          </w:tcPr>
          <w:p>
            <w:pPr>
              <w:spacing w:after="50" w:before="50" w:line="252" w:lineRule="auto"/>
            </w:pPr>
            <w:r>
              <w:rPr>
                <w:sz w:val="17"/>
              </w:rPr>
              <w:t>Monthly</w:t>
            </w:r>
          </w:p>
        </w:tc>
      </w:tr>
      <w:tr>
        <w:tc>
          <w:tcPr>
            <w:tcW w:type="dxa" w:w="850"/>
          </w:tcPr>
          <w:p>
            <w:pPr>
              <w:spacing w:after="50" w:before="50" w:line="252" w:lineRule="auto"/>
            </w:pPr>
            <w:r>
              <w:rPr>
                <w:sz w:val="17"/>
              </w:rPr>
              <w:t>C5</w:t>
            </w:r>
          </w:p>
        </w:tc>
        <w:tc>
          <w:tcPr>
            <w:tcW w:type="dxa" w:w="6638"/>
          </w:tcPr>
          <w:p>
            <w:pPr>
              <w:spacing w:after="50" w:before="50" w:line="252" w:lineRule="auto"/>
            </w:pPr>
            <w:r>
              <w:rPr>
                <w:sz w:val="17"/>
              </w:rPr>
              <w:t>Ageing report reviewed</w:t>
            </w:r>
          </w:p>
        </w:tc>
        <w:tc>
          <w:tcPr>
            <w:tcW w:type="dxa" w:w="2130"/>
          </w:tcPr>
          <w:p>
            <w:pPr>
              <w:spacing w:after="50" w:before="50" w:line="252" w:lineRule="auto"/>
            </w:pPr>
            <w:r>
              <w:rPr>
                <w:sz w:val="17"/>
              </w:rPr>
              <w:t>Monthly</w:t>
            </w:r>
          </w:p>
        </w:tc>
      </w:tr>
      <w:tr>
        <w:tc>
          <w:tcPr>
            <w:tcW w:type="dxa" w:w="850"/>
            <w:shd w:val="clear" w:color="auto" w:fill="EAF1F4"/>
          </w:tcPr>
          <w:p>
            <w:pPr>
              <w:spacing w:after="50" w:before="50" w:line="252" w:lineRule="auto"/>
            </w:pPr>
            <w:r>
              <w:rPr>
                <w:sz w:val="17"/>
              </w:rPr>
              <w:t>C6</w:t>
            </w:r>
          </w:p>
        </w:tc>
        <w:tc>
          <w:tcPr>
            <w:tcW w:type="dxa" w:w="6638"/>
            <w:shd w:val="clear" w:color="auto" w:fill="EAF1F4"/>
          </w:tcPr>
          <w:p>
            <w:pPr>
              <w:spacing w:after="50" w:before="50" w:line="252" w:lineRule="auto"/>
            </w:pPr>
            <w:r>
              <w:rPr>
                <w:sz w:val="17"/>
              </w:rPr>
              <w:t>Bank reconciliation</w:t>
            </w:r>
          </w:p>
        </w:tc>
        <w:tc>
          <w:tcPr>
            <w:tcW w:type="dxa" w:w="2130"/>
            <w:shd w:val="clear" w:color="auto" w:fill="EAF1F4"/>
          </w:tcPr>
          <w:p>
            <w:pPr>
              <w:spacing w:after="50" w:before="50" w:line="252" w:lineRule="auto"/>
            </w:pPr>
            <w:r>
              <w:rPr>
                <w:sz w:val="17"/>
              </w:rPr>
              <w:t>Monthly</w:t>
            </w:r>
          </w:p>
        </w:tc>
      </w:tr>
      <w:tr>
        <w:tc>
          <w:tcPr>
            <w:tcW w:type="dxa" w:w="850"/>
          </w:tcPr>
          <w:p>
            <w:pPr>
              <w:spacing w:after="50" w:before="50" w:line="252" w:lineRule="auto"/>
            </w:pPr>
            <w:r>
              <w:rPr>
                <w:sz w:val="17"/>
              </w:rPr>
              <w:t>C7</w:t>
            </w:r>
          </w:p>
        </w:tc>
        <w:tc>
          <w:tcPr>
            <w:tcW w:type="dxa" w:w="6638"/>
          </w:tcPr>
          <w:p>
            <w:pPr>
              <w:spacing w:after="50" w:before="50" w:line="252" w:lineRule="auto"/>
            </w:pPr>
            <w:r>
              <w:rPr>
                <w:sz w:val="17"/>
              </w:rPr>
              <w:t>Withholding reconciliation against 26AS</w:t>
            </w:r>
          </w:p>
        </w:tc>
        <w:tc>
          <w:tcPr>
            <w:tcW w:type="dxa" w:w="2130"/>
          </w:tcPr>
          <w:p>
            <w:pPr>
              <w:spacing w:after="50" w:before="50" w:line="252" w:lineRule="auto"/>
            </w:pPr>
            <w:r>
              <w:rPr>
                <w:sz w:val="17"/>
              </w:rPr>
              <w:t>Quarterly</w:t>
            </w:r>
          </w:p>
        </w:tc>
      </w:tr>
      <w:tr>
        <w:tc>
          <w:tcPr>
            <w:tcW w:type="dxa" w:w="850"/>
            <w:shd w:val="clear" w:color="auto" w:fill="EAF1F4"/>
          </w:tcPr>
          <w:p>
            <w:pPr>
              <w:spacing w:after="50" w:before="50" w:line="252" w:lineRule="auto"/>
            </w:pPr>
            <w:r>
              <w:rPr>
                <w:sz w:val="17"/>
              </w:rPr>
              <w:t>C8</w:t>
            </w:r>
          </w:p>
        </w:tc>
        <w:tc>
          <w:tcPr>
            <w:tcW w:type="dxa" w:w="6638"/>
            <w:shd w:val="clear" w:color="auto" w:fill="EAF1F4"/>
          </w:tcPr>
          <w:p>
            <w:pPr>
              <w:spacing w:after="50" w:before="50" w:line="252" w:lineRule="auto"/>
            </w:pPr>
            <w:r>
              <w:rPr>
                <w:sz w:val="17"/>
              </w:rPr>
              <w:t>Open [verify] tax items reviewed</w:t>
            </w:r>
          </w:p>
        </w:tc>
        <w:tc>
          <w:tcPr>
            <w:tcW w:type="dxa" w:w="2130"/>
            <w:shd w:val="clear" w:color="auto" w:fill="EAF1F4"/>
          </w:tcPr>
          <w:p>
            <w:pPr>
              <w:spacing w:after="50" w:before="50" w:line="252" w:lineRule="auto"/>
            </w:pPr>
            <w:r>
              <w:rPr>
                <w:sz w:val="17"/>
              </w:rPr>
              <w:t>Quarterly, until closed</w:t>
            </w:r>
          </w:p>
        </w:tc>
      </w:tr>
    </w:tbl>
    <w:p>
      <w:pPr>
        <w:spacing w:after="80" w:before="0"/>
      </w:pPr>
    </w:p>
    <w:sectPr w:rsidR="00FC693F" w:rsidRPr="0006063C" w:rsidSect="00034616">
      <w:headerReference w:type="default" r:id="rId9"/>
      <w:footerReference w:type="default" r:id="rId10"/>
      <w:pgSz w:w="11906" w:h="16838"/>
      <w:pgMar w:top="1134" w:right="1134" w:bottom="1020" w:left="130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734" w:val="center"/>
        <w:tab w:pos="9468" w:val="right"/>
      </w:tabs>
      <w:pBdr>
        <w:top w:val="single" w:sz="6" w:space="3" w:color="C9D6DE"/>
      </w:pBdr>
    </w:pPr>
    <w:r/>
    <w:r>
      <w:rPr>
        <w:color w:val="595959"/>
        <w:sz w:val="15"/>
      </w:rPr>
      <w:t>EQ-UAP-046  ·  v1.0</w:t>
    </w:r>
    <w:r>
      <w:tab/>
    </w:r>
    <w:r>
      <w:rPr>
        <w:b/>
        <w:color w:val="595959"/>
        <w:sz w:val="15"/>
      </w:rPr>
      <w:t>EQUATOR RESOLUTION</w:t>
    </w:r>
    <w:r>
      <w:tab/>
    </w:r>
    <w:r>
      <w:rPr>
        <w:color w:val="595959"/>
        <w:sz w:val="15"/>
      </w:rPr>
      <w:t xml:space="preserve">Page </w:t>
    </w:r>
    <w:r>
      <w:fldChar w:fldCharType="begin"/>
    </w:r>
    <w:r>
      <w:instrText xml:space="preserve"> PAGE </w:instrText>
    </w:r>
    <w:r>
      <w:fldChar w:fldCharType="separate"/>
    </w:r>
    <w:r>
      <w:rPr>
        <w:color w:val="595959"/>
        <w:sz w:val="15"/>
      </w:rPr>
      <w:t>…</w:t>
    </w:r>
    <w:r>
      <w:fldChar w:fldCharType="end"/>
    </w:r>
    <w:r>
      <w:rPr>
        <w:color w:val="595959"/>
        <w:sz w:val="15"/>
      </w:rPr>
      <w:t xml:space="preserve"> of </w:t>
    </w:r>
    <w:r>
      <w:fldChar w:fldCharType="begin"/>
    </w:r>
    <w:r>
      <w:instrText xml:space="preserve"> NUMPAGES </w:instrText>
    </w:r>
    <w:r>
      <w:fldChar w:fldCharType="separate"/>
    </w:r>
    <w:r>
      <w:rPr>
        <w:color w:val="595959"/>
        <w:sz w:val="15"/>
      </w:rPr>
      <w:t>…</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468" w:val="right"/>
      </w:tabs>
      <w:pBdr>
        <w:bottom w:val="single" w:sz="6" w:space="3" w:color="C9D6DE"/>
      </w:pBdr>
    </w:pPr>
    <w:r/>
    <w:r>
      <w:rPr>
        <w:rFonts w:ascii="Calibri" w:hAnsi="Calibri"/>
        <w:b/>
        <w:color w:val="10375C"/>
        <w:sz w:val="16"/>
      </w:rPr>
      <w:t>Invoicing, GST &amp; Collections SOP</w:t>
    </w:r>
    <w:r>
      <w:rPr>
        <w:rFonts w:ascii="Calibri" w:hAnsi="Calibri"/>
        <w:color w:val="595959"/>
        <w:sz w:val="16"/>
      </w:rPr>
      <w:tab/>
      <w:t>Confidential — Internal · Tax positions subject to open item U1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before="0" w:lineRule="auto" w:line="271"/>
    </w:pPr>
    <w:rPr>
      <w:rFonts w:ascii="Calibri" w:hAnsi="Calibri" w:eastAsia="Calibri"/>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60" w:lineRule="auto" w:line="240"/>
      <w:outlineLvl w:val="0"/>
    </w:pPr>
    <w:rPr>
      <w:rFonts w:asciiTheme="majorHAnsi" w:eastAsiaTheme="majorEastAsia" w:hAnsiTheme="majorHAnsi" w:cstheme="majorBidi" w:ascii="Calibri" w:hAnsi="Calibri" w:eastAsia="Calibri"/>
      <w:b/>
      <w:bCs/>
      <w:i w:val="0"/>
      <w:caps w:val="0"/>
      <w:color w:val="10375C"/>
      <w:sz w:val="31"/>
      <w:szCs w:val="28"/>
    </w:rPr>
  </w:style>
  <w:style w:type="paragraph" w:styleId="Heading2">
    <w:name w:val="heading 2"/>
    <w:basedOn w:val="Normal"/>
    <w:next w:val="Normal"/>
    <w:link w:val="Heading2Char"/>
    <w:uiPriority w:val="9"/>
    <w:unhideWhenUsed/>
    <w:qFormat/>
    <w:rsid w:val="00FC693F"/>
    <w:pPr>
      <w:keepNext/>
      <w:keepLines/>
      <w:spacing w:before="320" w:after="100" w:lineRule="auto" w:line="240"/>
      <w:outlineLvl w:val="1"/>
    </w:pPr>
    <w:rPr>
      <w:rFonts w:asciiTheme="majorHAnsi" w:eastAsiaTheme="majorEastAsia" w:hAnsiTheme="majorHAnsi" w:cstheme="majorBidi" w:ascii="Calibri" w:hAnsi="Calibri" w:eastAsia="Calibri"/>
      <w:b/>
      <w:bCs/>
      <w:i w:val="0"/>
      <w:caps w:val="0"/>
      <w:color w:val="0E7C7B"/>
      <w:sz w:val="25"/>
      <w:szCs w:val="26"/>
    </w:rPr>
  </w:style>
  <w:style w:type="paragraph" w:styleId="Heading3">
    <w:name w:val="heading 3"/>
    <w:basedOn w:val="Normal"/>
    <w:next w:val="Normal"/>
    <w:link w:val="Heading3Char"/>
    <w:uiPriority w:val="9"/>
    <w:unhideWhenUsed/>
    <w:qFormat/>
    <w:rsid w:val="00FC693F"/>
    <w:pPr>
      <w:keepNext/>
      <w:keepLines/>
      <w:spacing w:before="260" w:after="80" w:lineRule="auto" w:line="240"/>
      <w:outlineLvl w:val="2"/>
    </w:pPr>
    <w:rPr>
      <w:rFonts w:asciiTheme="majorHAnsi" w:eastAsiaTheme="majorEastAsia" w:hAnsiTheme="majorHAnsi" w:cstheme="majorBidi" w:ascii="Calibri" w:hAnsi="Calibri" w:eastAsia="Calibri"/>
      <w:b/>
      <w:bCs/>
      <w:i w:val="0"/>
      <w:caps w:val="0"/>
      <w:color w:val="10375C"/>
      <w:sz w:val="22"/>
    </w:rPr>
  </w:style>
  <w:style w:type="paragraph" w:styleId="Heading4">
    <w:name w:val="heading 4"/>
    <w:basedOn w:val="Normal"/>
    <w:next w:val="Normal"/>
    <w:link w:val="Heading4Char"/>
    <w:uiPriority w:val="9"/>
    <w:semiHidden/>
    <w:unhideWhenUsed/>
    <w:qFormat/>
    <w:rsid w:val="00FC693F"/>
    <w:pPr>
      <w:keepNext/>
      <w:keepLines/>
      <w:spacing w:before="220" w:after="60" w:lineRule="auto" w:line="240"/>
      <w:outlineLvl w:val="3"/>
    </w:pPr>
    <w:rPr>
      <w:rFonts w:asciiTheme="majorHAnsi" w:eastAsiaTheme="majorEastAsia" w:hAnsiTheme="majorHAnsi" w:cstheme="majorBidi" w:ascii="Calibri" w:hAnsi="Calibri" w:eastAsia="Calibri"/>
      <w:b/>
      <w:bCs/>
      <w:i/>
      <w:iCs/>
      <w:caps w:val="0"/>
      <w:color w:val="595959"/>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contextualSpacing/>
    </w:pPr>
    <w:rPr>
      <w:rFonts w:ascii="Calibri" w:hAnsi="Calibri"/>
      <w:color w:val="262626"/>
      <w:sz w:val="21"/>
    </w:rPr>
  </w:style>
  <w:style w:type="paragraph" w:styleId="ListBullet2">
    <w:name w:val="List Bullet 2"/>
    <w:basedOn w:val="Normal"/>
    <w:uiPriority w:val="99"/>
    <w:unhideWhenUsed/>
    <w:rsid w:val="00326F90"/>
    <w:pPr>
      <w:numPr>
        <w:numId w:val="2"/>
      </w:numPr>
      <w:spacing w:after="40"/>
      <w:contextualSpacing/>
    </w:pPr>
    <w:rPr>
      <w:rFonts w:ascii="Calibri" w:hAnsi="Calibri"/>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contextualSpacing/>
    </w:pPr>
    <w:rPr>
      <w:rFonts w:ascii="Calibri" w:hAnsi="Calibri"/>
      <w:color w:val="262626"/>
      <w:sz w:val="21"/>
    </w:rPr>
  </w:style>
  <w:style w:type="paragraph" w:styleId="ListNumber2">
    <w:name w:val="List Number 2"/>
    <w:basedOn w:val="Normal"/>
    <w:uiPriority w:val="99"/>
    <w:unhideWhenUsed/>
    <w:rsid w:val="0029639D"/>
    <w:pPr>
      <w:numPr>
        <w:numId w:val="6"/>
      </w:numPr>
      <w:spacing w:after="40"/>
      <w:contextualSpacing/>
    </w:pPr>
    <w:rPr>
      <w:rFonts w:ascii="Calibri" w:hAnsi="Calibri"/>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3D5D88ED318E546B0BAD9611B3061C9" ma:contentTypeVersion="9" ma:contentTypeDescription="Create a new document." ma:contentTypeScope="" ma:versionID="d50db782a5ec69b02a0131a0f200a05c">
  <xsd:schema xmlns:xsd="http://www.w3.org/2001/XMLSchema" xmlns:xs="http://www.w3.org/2001/XMLSchema" xmlns:p="http://schemas.microsoft.com/office/2006/metadata/properties" xmlns:ns2="30dddea4-ca15-4972-99ca-320a89f10386" targetNamespace="http://schemas.microsoft.com/office/2006/metadata/properties" ma:root="true" ma:fieldsID="2e09d9990d161d2f2733b865e15bb167" ns2:_="">
    <xsd:import namespace="30dddea4-ca15-4972-99ca-320a89f103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ddea4-ca15-4972-99ca-320a89f103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dddea4-ca15-4972-99ca-320a89f103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08D69612-4FC0-4FAB-9719-6E5213B4C170}"/>
</file>

<file path=customXml/itemProps3.xml><?xml version="1.0" encoding="utf-8"?>
<ds:datastoreItem xmlns:ds="http://schemas.openxmlformats.org/officeDocument/2006/customXml" ds:itemID="{21EA1708-2681-4D18-AEDA-2466790D0A2D}"/>
</file>

<file path=customXml/itemProps4.xml><?xml version="1.0" encoding="utf-8"?>
<ds:datastoreItem xmlns:ds="http://schemas.openxmlformats.org/officeDocument/2006/customXml" ds:itemID="{77AB3B11-002E-42F3-870D-C44E83E72B24}"/>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0x01010053D5D88ED318E546B0BAD9611B3061C9</vt:lpwstr>
  </property>
</Properties>
</file>