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Sponsorship Prospectus</w:t>
      </w:r>
    </w:p>
    <w:p>
      <w:pPr>
        <w:spacing w:after="280" w:line="276" w:lineRule="auto"/>
      </w:pPr>
      <w:r>
        <w:rPr>
          <w:rFonts w:ascii="Calibri" w:hAnsi="Calibri"/>
          <w:i/>
          <w:color w:val="3E6B8A"/>
          <w:sz w:val="25"/>
        </w:rPr>
        <w:t>The commercial proposition to sponsors of the Equator National Mediation Championship and allied programmes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EQ-UAP-047</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Commercial</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Approved for external release once [●] fields are completed</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The proposition</w:t>
      </w:r>
    </w:p>
    <w:p>
      <w:r>
        <w:t xml:space="preserve">Every year the strongest dispute-resolution students in India compete in front of a panel drawn from the bench, the bar and in-house practice. The </w:t>
      </w:r>
      <w:r>
        <w:rPr>
          <w:b/>
        </w:rPr>
        <w:t>Equator National Mediation Championship</w:t>
      </w:r>
      <w:r>
        <w:t xml:space="preserve"> is where that happens.</w:t>
      </w:r>
    </w:p>
    <w:p>
      <w:r>
        <w:t>For a sponsor, three things are on offer that are difficult to buy separately:</w:t>
      </w:r>
    </w:p>
    <w:p>
      <w:r>
        <w:rPr>
          <w:b/>
        </w:rPr>
        <w:t>Recruitment access.</w:t>
      </w:r>
      <w:r>
        <w:t xml:space="preserve"> Not a careers fair. Four days of watching identified individuals handle pressure, ambiguity, difficult counterparties and imperfect information — which is what the work actually consists of. Sponsors receive the CV book of participants who have opted in, and their nominees sit on the judging panel.</w:t>
      </w:r>
    </w:p>
    <w:p>
      <w:r>
        <w:rPr>
          <w:b/>
        </w:rPr>
        <w:t>Standing with the bench and the bar.</w:t>
      </w:r>
      <w:r>
        <w:t xml:space="preserve"> The judging panel and the valedictory session bring together serving and retired judicial officers, senior counsel, general counsel and institutional practitioners. A sponsor is present as a convenor of that room, not as an advertiser in it.</w:t>
      </w:r>
    </w:p>
    <w:p>
      <w:r>
        <w:rPr>
          <w:b/>
        </w:rPr>
        <w:t>Association with a subject that is expanding under statute.</w:t>
      </w:r>
      <w:r>
        <w:t xml:space="preserve"> The Mediation Act, 2023 and the pre-institution mediation requirement under section 12A of the Commercial Courts Act, 2015 have made mediation a gateway condition to commercial litigation rather than an optional courtesy. Institutions that position themselves early in this shift are noticed.</w:t>
      </w:r>
    </w:p>
    <w:p>
      <w:pPr>
        <w:spacing w:before="80" w:after="160"/>
        <w:pBdr>
          <w:bottom w:val="single" w:sz="6" w:space="1" w:color="C9D6DE"/>
        </w:pBdr>
      </w:pPr>
    </w:p>
    <w:p>
      <w:pPr>
        <w:pStyle w:val="Heading1"/>
        <w:pBdr>
          <w:bottom w:val="single" w:sz="8" w:space="4" w:color="C9D6DE"/>
        </w:pBdr>
      </w:pPr>
      <w:r>
        <w:t>The event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84"/>
            <w:shd w:val="clear" w:color="auto" w:fill="10375C"/>
          </w:tcPr>
          <w:p>
            <w:pPr>
              <w:spacing w:after="50" w:before="50"/>
            </w:pPr>
            <w:r>
              <w:rPr>
                <w:b/>
                <w:color w:val="FFFFFF"/>
                <w:sz w:val="17"/>
              </w:rPr>
              <w:t>Item</w:t>
            </w:r>
          </w:p>
        </w:tc>
        <w:tc>
          <w:tcPr>
            <w:tcW w:type="dxa" w:w="6784"/>
            <w:shd w:val="clear" w:color="auto" w:fill="10375C"/>
          </w:tcPr>
          <w:p>
            <w:pPr>
              <w:spacing w:after="50" w:before="50"/>
            </w:pPr>
            <w:r>
              <w:rPr>
                <w:b/>
                <w:color w:val="FFFFFF"/>
                <w:sz w:val="17"/>
              </w:rPr>
              <w:t>Detail</w:t>
            </w:r>
          </w:p>
        </w:tc>
      </w:tr>
      <w:tr>
        <w:tc>
          <w:tcPr>
            <w:tcW w:type="dxa" w:w="2684"/>
          </w:tcPr>
          <w:p>
            <w:pPr>
              <w:spacing w:after="50" w:before="50" w:line="252" w:lineRule="auto"/>
            </w:pPr>
            <w:r>
              <w:rPr>
                <w:sz w:val="17"/>
              </w:rPr>
              <w:t>Competition</w:t>
            </w:r>
          </w:p>
        </w:tc>
        <w:tc>
          <w:tcPr>
            <w:tcW w:type="dxa" w:w="6784"/>
          </w:tcPr>
          <w:p>
            <w:pPr>
              <w:spacing w:after="50" w:before="50" w:line="252" w:lineRule="auto"/>
            </w:pPr>
            <w:r>
              <w:rPr>
                <w:sz w:val="17"/>
              </w:rPr>
              <w:t>Equator National Mediation Championship</w:t>
            </w:r>
          </w:p>
        </w:tc>
      </w:tr>
      <w:tr>
        <w:tc>
          <w:tcPr>
            <w:tcW w:type="dxa" w:w="2684"/>
            <w:shd w:val="clear" w:color="auto" w:fill="EAF1F4"/>
          </w:tcPr>
          <w:p>
            <w:pPr>
              <w:spacing w:after="50" w:before="50" w:line="252" w:lineRule="auto"/>
            </w:pPr>
            <w:r>
              <w:rPr>
                <w:sz w:val="17"/>
              </w:rPr>
              <w:t>Edition and dates</w:t>
            </w:r>
          </w:p>
        </w:tc>
        <w:tc>
          <w:tcPr>
            <w:tcW w:type="dxa" w:w="6784"/>
            <w:shd w:val="clear" w:color="auto" w:fill="EAF1F4"/>
          </w:tcPr>
          <w:p>
            <w:pPr>
              <w:spacing w:after="50" w:before="50" w:line="252" w:lineRule="auto"/>
            </w:pPr>
            <w:r>
              <w:rPr>
                <w:sz w:val="17"/>
              </w:rPr>
              <w:t>[●]</w:t>
            </w:r>
          </w:p>
        </w:tc>
      </w:tr>
      <w:tr>
        <w:tc>
          <w:tcPr>
            <w:tcW w:type="dxa" w:w="2684"/>
          </w:tcPr>
          <w:p>
            <w:pPr>
              <w:spacing w:after="50" w:before="50" w:line="252" w:lineRule="auto"/>
            </w:pPr>
            <w:r>
              <w:rPr>
                <w:sz w:val="17"/>
              </w:rPr>
              <w:t>Host campus</w:t>
            </w:r>
          </w:p>
        </w:tc>
        <w:tc>
          <w:tcPr>
            <w:tcW w:type="dxa" w:w="6784"/>
          </w:tcPr>
          <w:p>
            <w:pPr>
              <w:spacing w:after="50" w:before="50" w:line="252" w:lineRule="auto"/>
            </w:pPr>
            <w:r>
              <w:rPr>
                <w:sz w:val="17"/>
              </w:rPr>
              <w:t>[●]</w:t>
            </w:r>
          </w:p>
        </w:tc>
      </w:tr>
      <w:tr>
        <w:tc>
          <w:tcPr>
            <w:tcW w:type="dxa" w:w="2684"/>
            <w:shd w:val="clear" w:color="auto" w:fill="EAF1F4"/>
          </w:tcPr>
          <w:p>
            <w:pPr>
              <w:spacing w:after="50" w:before="50" w:line="252" w:lineRule="auto"/>
            </w:pPr>
            <w:r>
              <w:rPr>
                <w:sz w:val="17"/>
              </w:rPr>
              <w:t>Teams expected</w:t>
            </w:r>
          </w:p>
        </w:tc>
        <w:tc>
          <w:tcPr>
            <w:tcW w:type="dxa" w:w="6784"/>
            <w:shd w:val="clear" w:color="auto" w:fill="EAF1F4"/>
          </w:tcPr>
          <w:p>
            <w:pPr>
              <w:spacing w:after="50" w:before="50" w:line="252" w:lineRule="auto"/>
            </w:pPr>
            <w:r>
              <w:rPr>
                <w:sz w:val="17"/>
              </w:rPr>
              <w:t>[●]</w:t>
            </w:r>
          </w:p>
        </w:tc>
      </w:tr>
      <w:tr>
        <w:tc>
          <w:tcPr>
            <w:tcW w:type="dxa" w:w="2684"/>
          </w:tcPr>
          <w:p>
            <w:pPr>
              <w:spacing w:after="50" w:before="50" w:line="252" w:lineRule="auto"/>
            </w:pPr>
            <w:r>
              <w:rPr>
                <w:sz w:val="17"/>
              </w:rPr>
              <w:t>Institutions represented</w:t>
            </w:r>
          </w:p>
        </w:tc>
        <w:tc>
          <w:tcPr>
            <w:tcW w:type="dxa" w:w="6784"/>
          </w:tcPr>
          <w:p>
            <w:pPr>
              <w:spacing w:after="50" w:before="50" w:line="252" w:lineRule="auto"/>
            </w:pPr>
            <w:r>
              <w:rPr>
                <w:sz w:val="17"/>
              </w:rPr>
              <w:t>[●]</w:t>
            </w:r>
          </w:p>
        </w:tc>
      </w:tr>
      <w:tr>
        <w:tc>
          <w:tcPr>
            <w:tcW w:type="dxa" w:w="2684"/>
            <w:shd w:val="clear" w:color="auto" w:fill="EAF1F4"/>
          </w:tcPr>
          <w:p>
            <w:pPr>
              <w:spacing w:after="50" w:before="50" w:line="252" w:lineRule="auto"/>
            </w:pPr>
            <w:r>
              <w:rPr>
                <w:sz w:val="17"/>
              </w:rPr>
              <w:t>Participants and delegates</w:t>
            </w:r>
          </w:p>
        </w:tc>
        <w:tc>
          <w:tcPr>
            <w:tcW w:type="dxa" w:w="6784"/>
            <w:shd w:val="clear" w:color="auto" w:fill="EAF1F4"/>
          </w:tcPr>
          <w:p>
            <w:pPr>
              <w:spacing w:after="50" w:before="50" w:line="252" w:lineRule="auto"/>
            </w:pPr>
            <w:r>
              <w:rPr>
                <w:sz w:val="17"/>
              </w:rPr>
              <w:t>[●]</w:t>
            </w:r>
          </w:p>
        </w:tc>
      </w:tr>
      <w:tr>
        <w:tc>
          <w:tcPr>
            <w:tcW w:type="dxa" w:w="2684"/>
          </w:tcPr>
          <w:p>
            <w:pPr>
              <w:spacing w:after="50" w:before="50" w:line="252" w:lineRule="auto"/>
            </w:pPr>
            <w:r>
              <w:rPr>
                <w:sz w:val="17"/>
              </w:rPr>
              <w:t>Judges and assessors</w:t>
            </w:r>
          </w:p>
        </w:tc>
        <w:tc>
          <w:tcPr>
            <w:tcW w:type="dxa" w:w="6784"/>
          </w:tcPr>
          <w:p>
            <w:pPr>
              <w:spacing w:after="50" w:before="50" w:line="252" w:lineRule="auto"/>
            </w:pPr>
            <w:r>
              <w:rPr>
                <w:sz w:val="17"/>
              </w:rPr>
              <w:t>[●]</w:t>
            </w:r>
          </w:p>
        </w:tc>
      </w:tr>
      <w:tr>
        <w:tc>
          <w:tcPr>
            <w:tcW w:type="dxa" w:w="2684"/>
            <w:shd w:val="clear" w:color="auto" w:fill="EAF1F4"/>
          </w:tcPr>
          <w:p>
            <w:pPr>
              <w:spacing w:after="50" w:before="50" w:line="252" w:lineRule="auto"/>
            </w:pPr>
            <w:r>
              <w:rPr>
                <w:sz w:val="17"/>
              </w:rPr>
              <w:t>Format</w:t>
            </w:r>
          </w:p>
        </w:tc>
        <w:tc>
          <w:tcPr>
            <w:tcW w:type="dxa" w:w="6784"/>
            <w:shd w:val="clear" w:color="auto" w:fill="EAF1F4"/>
          </w:tcPr>
          <w:p>
            <w:pPr>
              <w:spacing w:after="50" w:before="50" w:line="252" w:lineRule="auto"/>
            </w:pPr>
            <w:r>
              <w:rPr>
                <w:sz w:val="17"/>
              </w:rPr>
              <w:t>Preliminary sessions, knockout rounds, final; judged on interest-based negotiation and mediation advocacy</w:t>
            </w:r>
          </w:p>
        </w:tc>
      </w:tr>
      <w:tr>
        <w:tc>
          <w:tcPr>
            <w:tcW w:type="dxa" w:w="2684"/>
          </w:tcPr>
          <w:p>
            <w:pPr>
              <w:spacing w:after="50" w:before="50" w:line="252" w:lineRule="auto"/>
            </w:pPr>
            <w:r>
              <w:rPr>
                <w:sz w:val="17"/>
              </w:rPr>
              <w:t>Allied programmes</w:t>
            </w:r>
          </w:p>
        </w:tc>
        <w:tc>
          <w:tcPr>
            <w:tcW w:type="dxa" w:w="6784"/>
          </w:tcPr>
          <w:p>
            <w:pPr>
              <w:spacing w:after="50" w:before="50" w:line="252" w:lineRule="auto"/>
            </w:pPr>
            <w:r>
              <w:rPr>
                <w:sz w:val="17"/>
              </w:rPr>
              <w:t>Judicial–academic roundtable; masterclass; valedictory session and dinner</w:t>
            </w:r>
          </w:p>
        </w:tc>
      </w:tr>
      <w:tr>
        <w:tc>
          <w:tcPr>
            <w:tcW w:type="dxa" w:w="2684"/>
            <w:shd w:val="clear" w:color="auto" w:fill="EAF1F4"/>
          </w:tcPr>
          <w:p>
            <w:pPr>
              <w:spacing w:after="50" w:before="50" w:line="252" w:lineRule="auto"/>
            </w:pPr>
            <w:r>
              <w:rPr>
                <w:sz w:val="17"/>
              </w:rPr>
              <w:t>Convened by</w:t>
            </w:r>
          </w:p>
        </w:tc>
        <w:tc>
          <w:tcPr>
            <w:tcW w:type="dxa" w:w="6784"/>
            <w:shd w:val="clear" w:color="auto" w:fill="EAF1F4"/>
          </w:tcPr>
          <w:p>
            <w:pPr>
              <w:spacing w:after="50" w:before="50" w:line="252" w:lineRule="auto"/>
            </w:pPr>
            <w:r>
              <w:rPr>
                <w:sz w:val="17"/>
              </w:rPr>
              <w:t>Equator ADR Institute, the academic arm of Equator Resolution</w:t>
            </w:r>
          </w:p>
        </w:tc>
      </w:tr>
    </w:tbl>
    <w:p>
      <w:pPr>
        <w:spacing w:after="80" w:before="0"/>
      </w:pPr>
    </w:p>
    <w:p>
      <w:r>
        <w:rPr>
          <w:b/>
        </w:rPr>
        <w:t>A word on how it is judged.</w:t>
      </w:r>
      <w:r>
        <w:t xml:space="preserve"> Teams compete as Client and Counsel in a simulated commercial dispute before a professional mediator, and are scored on how well they advance their own interests, work with the other side, work with the mediator, and plan the session. </w:t>
      </w:r>
      <w:r>
        <w:rPr>
          <w:b/>
        </w:rPr>
        <w:t>No marks are awarded for reaching a settlement as such</w:t>
      </w:r>
      <w:r>
        <w:t xml:space="preserve"> — which is what distinguishes a mediation competition from a negotiation game, and what makes it worth watching.</w:t>
      </w:r>
    </w:p>
    <w:p>
      <w:pPr>
        <w:spacing w:before="80" w:after="160"/>
        <w:pBdr>
          <w:bottom w:val="single" w:sz="6" w:space="1" w:color="C9D6DE"/>
        </w:pBdr>
      </w:pPr>
    </w:p>
    <w:p>
      <w:pPr>
        <w:pStyle w:val="Heading1"/>
        <w:pBdr>
          <w:bottom w:val="single" w:sz="8" w:space="4" w:color="C9D6DE"/>
        </w:pBdr>
      </w:pPr>
      <w:r>
        <w:t>Sponsorship tiers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4881"/>
            <w:shd w:val="clear" w:color="auto" w:fill="10375C"/>
          </w:tcPr>
          <w:p>
            <w:pPr>
              <w:spacing w:after="50" w:before="50"/>
            </w:pPr>
          </w:p>
        </w:tc>
        <w:tc>
          <w:tcPr>
            <w:tcW w:type="dxa" w:w="977"/>
            <w:shd w:val="clear" w:color="auto" w:fill="10375C"/>
          </w:tcPr>
          <w:p>
            <w:pPr>
              <w:spacing w:after="50" w:before="50"/>
            </w:pPr>
            <w:r>
              <w:rPr>
                <w:b/>
                <w:color w:val="FFFFFF"/>
                <w:sz w:val="17"/>
              </w:rPr>
              <w:t>Title</w:t>
            </w:r>
          </w:p>
        </w:tc>
        <w:tc>
          <w:tcPr>
            <w:tcW w:type="dxa" w:w="1336"/>
            <w:shd w:val="clear" w:color="auto" w:fill="10375C"/>
          </w:tcPr>
          <w:p>
            <w:pPr>
              <w:spacing w:after="50" w:before="50"/>
            </w:pPr>
            <w:r>
              <w:rPr>
                <w:b/>
                <w:color w:val="FFFFFF"/>
                <w:sz w:val="17"/>
              </w:rPr>
              <w:t>Associate</w:t>
            </w:r>
          </w:p>
        </w:tc>
        <w:tc>
          <w:tcPr>
            <w:tcW w:type="dxa" w:w="850"/>
            <w:shd w:val="clear" w:color="auto" w:fill="10375C"/>
          </w:tcPr>
          <w:p>
            <w:pPr>
              <w:spacing w:after="50" w:before="50"/>
            </w:pPr>
            <w:r>
              <w:rPr>
                <w:b/>
                <w:color w:val="FFFFFF"/>
                <w:sz w:val="17"/>
              </w:rPr>
              <w:t>Round</w:t>
            </w:r>
          </w:p>
        </w:tc>
        <w:tc>
          <w:tcPr>
            <w:tcW w:type="dxa" w:w="850"/>
            <w:shd w:val="clear" w:color="auto" w:fill="10375C"/>
          </w:tcPr>
          <w:p>
            <w:pPr>
              <w:spacing w:after="50" w:before="50"/>
            </w:pPr>
            <w:r>
              <w:rPr>
                <w:b/>
                <w:color w:val="FFFFFF"/>
                <w:sz w:val="17"/>
              </w:rPr>
              <w:t>Award</w:t>
            </w:r>
          </w:p>
        </w:tc>
        <w:tc>
          <w:tcPr>
            <w:tcW w:type="dxa" w:w="850"/>
            <w:shd w:val="clear" w:color="auto" w:fill="10375C"/>
          </w:tcPr>
          <w:p>
            <w:pPr>
              <w:spacing w:after="50" w:before="50"/>
            </w:pPr>
            <w:r>
              <w:rPr>
                <w:b/>
                <w:color w:val="FFFFFF"/>
                <w:sz w:val="17"/>
              </w:rPr>
              <w:t>Hospitality</w:t>
            </w:r>
          </w:p>
        </w:tc>
      </w:tr>
      <w:tr>
        <w:tc>
          <w:tcPr>
            <w:tcW w:type="dxa" w:w="4881"/>
          </w:tcPr>
          <w:p>
            <w:pPr>
              <w:spacing w:after="50" w:before="50" w:line="252" w:lineRule="auto"/>
            </w:pPr>
            <w:r>
              <w:rPr>
                <w:sz w:val="17"/>
              </w:rPr>
              <w:t>Contribution</w:t>
            </w:r>
          </w:p>
        </w:tc>
        <w:tc>
          <w:tcPr>
            <w:tcW w:type="dxa" w:w="977"/>
          </w:tcPr>
          <w:p>
            <w:pPr>
              <w:spacing w:after="50" w:before="50" w:line="252" w:lineRule="auto"/>
            </w:pPr>
            <w:r>
              <w:rPr>
                <w:sz w:val="17"/>
              </w:rPr>
              <w:t>₹12,00,000</w:t>
            </w:r>
          </w:p>
        </w:tc>
        <w:tc>
          <w:tcPr>
            <w:tcW w:type="dxa" w:w="1336"/>
          </w:tcPr>
          <w:p>
            <w:pPr>
              <w:spacing w:after="50" w:before="50" w:line="252" w:lineRule="auto"/>
            </w:pPr>
            <w:r>
              <w:rPr>
                <w:sz w:val="17"/>
              </w:rPr>
              <w:t>₹6,00,000</w:t>
            </w:r>
          </w:p>
        </w:tc>
        <w:tc>
          <w:tcPr>
            <w:tcW w:type="dxa" w:w="850"/>
          </w:tcPr>
          <w:p>
            <w:pPr>
              <w:spacing w:after="50" w:before="50" w:line="252" w:lineRule="auto"/>
            </w:pPr>
            <w:r>
              <w:rPr>
                <w:sz w:val="17"/>
              </w:rPr>
              <w:t>₹2,50,000</w:t>
            </w:r>
          </w:p>
        </w:tc>
        <w:tc>
          <w:tcPr>
            <w:tcW w:type="dxa" w:w="850"/>
          </w:tcPr>
          <w:p>
            <w:pPr>
              <w:spacing w:after="50" w:before="50" w:line="252" w:lineRule="auto"/>
            </w:pPr>
            <w:r>
              <w:rPr>
                <w:sz w:val="17"/>
              </w:rPr>
              <w:t>₹1,00,000</w:t>
            </w:r>
          </w:p>
        </w:tc>
        <w:tc>
          <w:tcPr>
            <w:tcW w:type="dxa" w:w="850"/>
          </w:tcPr>
          <w:p>
            <w:pPr>
              <w:spacing w:after="50" w:before="50" w:line="252" w:lineRule="auto"/>
            </w:pPr>
            <w:r>
              <w:rPr>
                <w:sz w:val="17"/>
              </w:rPr>
              <w:t>₹75,000</w:t>
            </w:r>
          </w:p>
        </w:tc>
      </w:tr>
      <w:tr>
        <w:tc>
          <w:tcPr>
            <w:tcW w:type="dxa" w:w="4881"/>
            <w:shd w:val="clear" w:color="auto" w:fill="EAF1F4"/>
          </w:tcPr>
          <w:p>
            <w:pPr>
              <w:spacing w:after="50" w:before="50" w:line="252" w:lineRule="auto"/>
            </w:pPr>
            <w:r>
              <w:rPr>
                <w:sz w:val="17"/>
              </w:rPr>
              <w:t>Positions available</w:t>
            </w:r>
          </w:p>
        </w:tc>
        <w:tc>
          <w:tcPr>
            <w:tcW w:type="dxa" w:w="977"/>
            <w:shd w:val="clear" w:color="auto" w:fill="EAF1F4"/>
          </w:tcPr>
          <w:p>
            <w:pPr>
              <w:spacing w:after="50" w:before="50" w:line="252" w:lineRule="auto"/>
            </w:pPr>
            <w:r>
              <w:rPr>
                <w:sz w:val="17"/>
              </w:rPr>
              <w:t>1</w:t>
            </w:r>
          </w:p>
        </w:tc>
        <w:tc>
          <w:tcPr>
            <w:tcW w:type="dxa" w:w="1336"/>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4881"/>
          </w:tcPr>
          <w:p>
            <w:pPr>
              <w:spacing w:after="50" w:before="50" w:line="252" w:lineRule="auto"/>
            </w:pPr>
            <w:r>
              <w:rPr>
                <w:sz w:val="17"/>
              </w:rPr>
              <w:t>Name in the competition title</w:t>
            </w:r>
          </w:p>
        </w:tc>
        <w:tc>
          <w:tcPr>
            <w:tcW w:type="dxa" w:w="977"/>
          </w:tcPr>
          <w:p>
            <w:pPr>
              <w:spacing w:after="50" w:before="50" w:line="252" w:lineRule="auto"/>
            </w:pPr>
            <w:r>
              <w:rPr>
                <w:sz w:val="17"/>
              </w:rPr>
              <w:t>✔</w:t>
            </w:r>
          </w:p>
        </w:tc>
        <w:tc>
          <w:tcPr>
            <w:tcW w:type="dxa" w:w="1336"/>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r>
        <w:tc>
          <w:tcPr>
            <w:tcW w:type="dxa" w:w="4881"/>
            <w:shd w:val="clear" w:color="auto" w:fill="EAF1F4"/>
          </w:tcPr>
          <w:p>
            <w:pPr>
              <w:spacing w:after="50" w:before="50" w:line="252" w:lineRule="auto"/>
            </w:pPr>
            <w:r>
              <w:rPr>
                <w:sz w:val="17"/>
              </w:rPr>
              <w:t>Logo on backdrop, standees, website, programme</w:t>
            </w:r>
          </w:p>
        </w:tc>
        <w:tc>
          <w:tcPr>
            <w:tcW w:type="dxa" w:w="977"/>
            <w:shd w:val="clear" w:color="auto" w:fill="EAF1F4"/>
          </w:tcPr>
          <w:p>
            <w:pPr>
              <w:spacing w:after="50" w:before="50" w:line="252" w:lineRule="auto"/>
            </w:pPr>
            <w:r>
              <w:rPr>
                <w:sz w:val="17"/>
              </w:rPr>
              <w:t>✔</w:t>
            </w:r>
          </w:p>
        </w:tc>
        <w:tc>
          <w:tcPr>
            <w:tcW w:type="dxa" w:w="1336"/>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r>
      <w:tr>
        <w:tc>
          <w:tcPr>
            <w:tcW w:type="dxa" w:w="4881"/>
          </w:tcPr>
          <w:p>
            <w:pPr>
              <w:spacing w:after="50" w:before="50" w:line="252" w:lineRule="auto"/>
            </w:pPr>
            <w:r>
              <w:rPr>
                <w:sz w:val="17"/>
              </w:rPr>
              <w:t>Logo on participant certificates</w:t>
            </w:r>
          </w:p>
        </w:tc>
        <w:tc>
          <w:tcPr>
            <w:tcW w:type="dxa" w:w="977"/>
          </w:tcPr>
          <w:p>
            <w:pPr>
              <w:spacing w:after="50" w:before="50" w:line="252" w:lineRule="auto"/>
            </w:pPr>
            <w:r>
              <w:rPr>
                <w:sz w:val="17"/>
              </w:rPr>
              <w:t>✔</w:t>
            </w:r>
          </w:p>
        </w:tc>
        <w:tc>
          <w:tcPr>
            <w:tcW w:type="dxa" w:w="1336"/>
          </w:tcPr>
          <w:p>
            <w:pPr>
              <w:spacing w:after="50" w:before="50" w:line="252" w:lineRule="auto"/>
            </w:pPr>
            <w:r>
              <w:rPr>
                <w:sz w:val="17"/>
              </w:rPr>
              <w:t>✔</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r>
        <w:tc>
          <w:tcPr>
            <w:tcW w:type="dxa" w:w="4881"/>
            <w:shd w:val="clear" w:color="auto" w:fill="EAF1F4"/>
          </w:tcPr>
          <w:p>
            <w:pPr>
              <w:spacing w:after="50" w:before="50" w:line="252" w:lineRule="auto"/>
            </w:pPr>
            <w:r>
              <w:rPr>
                <w:sz w:val="17"/>
              </w:rPr>
              <w:t>Named round</w:t>
            </w:r>
          </w:p>
        </w:tc>
        <w:tc>
          <w:tcPr>
            <w:tcW w:type="dxa" w:w="977"/>
            <w:shd w:val="clear" w:color="auto" w:fill="EAF1F4"/>
          </w:tcPr>
          <w:p>
            <w:pPr>
              <w:spacing w:after="50" w:before="50" w:line="252" w:lineRule="auto"/>
            </w:pPr>
            <w:r>
              <w:rPr>
                <w:sz w:val="17"/>
              </w:rPr>
              <w:t>✔</w:t>
            </w:r>
          </w:p>
        </w:tc>
        <w:tc>
          <w:tcPr>
            <w:tcW w:type="dxa" w:w="1336"/>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r>
      <w:tr>
        <w:tc>
          <w:tcPr>
            <w:tcW w:type="dxa" w:w="4881"/>
          </w:tcPr>
          <w:p>
            <w:pPr>
              <w:spacing w:after="50" w:before="50" w:line="252" w:lineRule="auto"/>
            </w:pPr>
            <w:r>
              <w:rPr>
                <w:sz w:val="17"/>
              </w:rPr>
              <w:t>Named award</w:t>
            </w:r>
          </w:p>
        </w:tc>
        <w:tc>
          <w:tcPr>
            <w:tcW w:type="dxa" w:w="977"/>
          </w:tcPr>
          <w:p>
            <w:pPr>
              <w:spacing w:after="50" w:before="50" w:line="252" w:lineRule="auto"/>
            </w:pPr>
            <w:r>
              <w:rPr>
                <w:sz w:val="17"/>
              </w:rPr>
              <w:t>✔</w:t>
            </w:r>
          </w:p>
        </w:tc>
        <w:tc>
          <w:tcPr>
            <w:tcW w:type="dxa" w:w="1336"/>
          </w:tcPr>
          <w:p>
            <w:pPr>
              <w:spacing w:after="50" w:before="50" w:line="252" w:lineRule="auto"/>
            </w:pPr>
            <w:r>
              <w:rPr>
                <w:sz w:val="17"/>
              </w:rPr>
              <w:t>✔</w:t>
            </w:r>
          </w:p>
        </w:tc>
        <w:tc>
          <w:tcPr>
            <w:tcW w:type="dxa" w:w="850"/>
          </w:tcPr>
          <w:p>
            <w:pPr>
              <w:spacing w:after="50" w:before="50" w:line="252" w:lineRule="auto"/>
            </w:pPr>
          </w:p>
        </w:tc>
        <w:tc>
          <w:tcPr>
            <w:tcW w:type="dxa" w:w="850"/>
          </w:tcPr>
          <w:p>
            <w:pPr>
              <w:spacing w:after="50" w:before="50" w:line="252" w:lineRule="auto"/>
            </w:pPr>
            <w:r>
              <w:rPr>
                <w:sz w:val="17"/>
              </w:rPr>
              <w:t>✔</w:t>
            </w:r>
          </w:p>
        </w:tc>
        <w:tc>
          <w:tcPr>
            <w:tcW w:type="dxa" w:w="850"/>
          </w:tcPr>
          <w:p>
            <w:pPr>
              <w:spacing w:after="50" w:before="50" w:line="252" w:lineRule="auto"/>
            </w:pPr>
          </w:p>
        </w:tc>
      </w:tr>
      <w:tr>
        <w:tc>
          <w:tcPr>
            <w:tcW w:type="dxa" w:w="4881"/>
            <w:shd w:val="clear" w:color="auto" w:fill="EAF1F4"/>
          </w:tcPr>
          <w:p>
            <w:pPr>
              <w:spacing w:after="50" w:before="50" w:line="252" w:lineRule="auto"/>
            </w:pPr>
            <w:r>
              <w:rPr>
                <w:sz w:val="17"/>
              </w:rPr>
              <w:t>Positions on the judging panel</w:t>
            </w:r>
          </w:p>
        </w:tc>
        <w:tc>
          <w:tcPr>
            <w:tcW w:type="dxa" w:w="977"/>
            <w:shd w:val="clear" w:color="auto" w:fill="EAF1F4"/>
          </w:tcPr>
          <w:p>
            <w:pPr>
              <w:spacing w:after="50" w:before="50" w:line="252" w:lineRule="auto"/>
            </w:pPr>
            <w:r>
              <w:rPr>
                <w:sz w:val="17"/>
              </w:rPr>
              <w:t>4</w:t>
            </w:r>
          </w:p>
        </w:tc>
        <w:tc>
          <w:tcPr>
            <w:tcW w:type="dxa" w:w="1336"/>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1</w:t>
            </w: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r>
      <w:tr>
        <w:tc>
          <w:tcPr>
            <w:tcW w:type="dxa" w:w="4881"/>
          </w:tcPr>
          <w:p>
            <w:pPr>
              <w:spacing w:after="50" w:before="50" w:line="252" w:lineRule="auto"/>
            </w:pPr>
            <w:r>
              <w:rPr>
                <w:sz w:val="17"/>
              </w:rPr>
              <w:t>Speaking slot</w:t>
            </w:r>
          </w:p>
        </w:tc>
        <w:tc>
          <w:tcPr>
            <w:tcW w:type="dxa" w:w="977"/>
          </w:tcPr>
          <w:p>
            <w:pPr>
              <w:spacing w:after="50" w:before="50" w:line="252" w:lineRule="auto"/>
            </w:pPr>
            <w:r>
              <w:rPr>
                <w:sz w:val="17"/>
              </w:rPr>
              <w:t>Keynote, 10 min</w:t>
            </w:r>
          </w:p>
        </w:tc>
        <w:tc>
          <w:tcPr>
            <w:tcW w:type="dxa" w:w="1336"/>
          </w:tcPr>
          <w:p>
            <w:pPr>
              <w:spacing w:after="50" w:before="50" w:line="252" w:lineRule="auto"/>
            </w:pPr>
            <w:r>
              <w:rPr>
                <w:sz w:val="17"/>
              </w:rPr>
              <w:t>Session address, 5 min</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r>
        <w:tc>
          <w:tcPr>
            <w:tcW w:type="dxa" w:w="4881"/>
            <w:shd w:val="clear" w:color="auto" w:fill="EAF1F4"/>
          </w:tcPr>
          <w:p>
            <w:pPr>
              <w:spacing w:after="50" w:before="50" w:line="252" w:lineRule="auto"/>
            </w:pPr>
            <w:r>
              <w:rPr>
                <w:sz w:val="17"/>
              </w:rPr>
              <w:t>Exhibition or engagement space</w:t>
            </w:r>
          </w:p>
        </w:tc>
        <w:tc>
          <w:tcPr>
            <w:tcW w:type="dxa" w:w="977"/>
            <w:shd w:val="clear" w:color="auto" w:fill="EAF1F4"/>
          </w:tcPr>
          <w:p>
            <w:pPr>
              <w:spacing w:after="50" w:before="50" w:line="252" w:lineRule="auto"/>
            </w:pPr>
            <w:r>
              <w:rPr>
                <w:sz w:val="17"/>
              </w:rPr>
              <w:t>✔</w:t>
            </w:r>
          </w:p>
        </w:tc>
        <w:tc>
          <w:tcPr>
            <w:tcW w:type="dxa" w:w="1336"/>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r>
      <w:tr>
        <w:tc>
          <w:tcPr>
            <w:tcW w:type="dxa" w:w="4881"/>
          </w:tcPr>
          <w:p>
            <w:pPr>
              <w:spacing w:after="50" w:before="50" w:line="252" w:lineRule="auto"/>
            </w:pPr>
            <w:r>
              <w:rPr>
                <w:sz w:val="17"/>
              </w:rPr>
              <w:t>Participant CV book (opt-in participants only)</w:t>
            </w:r>
          </w:p>
        </w:tc>
        <w:tc>
          <w:tcPr>
            <w:tcW w:type="dxa" w:w="977"/>
          </w:tcPr>
          <w:p>
            <w:pPr>
              <w:spacing w:after="50" w:before="50" w:line="252" w:lineRule="auto"/>
            </w:pPr>
            <w:r>
              <w:rPr>
                <w:sz w:val="17"/>
              </w:rPr>
              <w:t>✔</w:t>
            </w:r>
          </w:p>
        </w:tc>
        <w:tc>
          <w:tcPr>
            <w:tcW w:type="dxa" w:w="1336"/>
          </w:tcPr>
          <w:p>
            <w:pPr>
              <w:spacing w:after="50" w:before="50" w:line="252" w:lineRule="auto"/>
            </w:pPr>
            <w:r>
              <w:rPr>
                <w:sz w:val="17"/>
              </w:rPr>
              <w:t>✔</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r>
        <w:tc>
          <w:tcPr>
            <w:tcW w:type="dxa" w:w="4881"/>
            <w:shd w:val="clear" w:color="auto" w:fill="EAF1F4"/>
          </w:tcPr>
          <w:p>
            <w:pPr>
              <w:spacing w:after="50" w:before="50" w:line="252" w:lineRule="auto"/>
            </w:pPr>
            <w:r>
              <w:rPr>
                <w:sz w:val="17"/>
              </w:rPr>
              <w:t>Complimentary passes and dinner seats</w:t>
            </w:r>
          </w:p>
        </w:tc>
        <w:tc>
          <w:tcPr>
            <w:tcW w:type="dxa" w:w="977"/>
            <w:shd w:val="clear" w:color="auto" w:fill="EAF1F4"/>
          </w:tcPr>
          <w:p>
            <w:pPr>
              <w:spacing w:after="50" w:before="50" w:line="252" w:lineRule="auto"/>
            </w:pPr>
            <w:r>
              <w:rPr>
                <w:sz w:val="17"/>
              </w:rPr>
              <w:t>8</w:t>
            </w:r>
          </w:p>
        </w:tc>
        <w:tc>
          <w:tcPr>
            <w:tcW w:type="dxa" w:w="1336"/>
            <w:shd w:val="clear" w:color="auto" w:fill="EAF1F4"/>
          </w:tcPr>
          <w:p>
            <w:pPr>
              <w:spacing w:after="50" w:before="50" w:line="252" w:lineRule="auto"/>
            </w:pPr>
            <w:r>
              <w:rPr>
                <w:sz w:val="17"/>
              </w:rPr>
              <w:t>5</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4</w:t>
            </w:r>
          </w:p>
        </w:tc>
      </w:tr>
      <w:tr>
        <w:tc>
          <w:tcPr>
            <w:tcW w:type="dxa" w:w="4881"/>
          </w:tcPr>
          <w:p>
            <w:pPr>
              <w:spacing w:after="50" w:before="50" w:line="252" w:lineRule="auto"/>
            </w:pPr>
            <w:r>
              <w:rPr>
                <w:sz w:val="17"/>
              </w:rPr>
              <w:t>Social media features</w:t>
            </w:r>
          </w:p>
        </w:tc>
        <w:tc>
          <w:tcPr>
            <w:tcW w:type="dxa" w:w="977"/>
          </w:tcPr>
          <w:p>
            <w:pPr>
              <w:spacing w:after="50" w:before="50" w:line="252" w:lineRule="auto"/>
            </w:pPr>
            <w:r>
              <w:rPr>
                <w:sz w:val="17"/>
              </w:rPr>
              <w:t>6</w:t>
            </w:r>
          </w:p>
        </w:tc>
        <w:tc>
          <w:tcPr>
            <w:tcW w:type="dxa" w:w="1336"/>
          </w:tcPr>
          <w:p>
            <w:pPr>
              <w:spacing w:after="50" w:before="50" w:line="252" w:lineRule="auto"/>
            </w:pPr>
            <w:r>
              <w:rPr>
                <w:sz w:val="17"/>
              </w:rPr>
              <w:t>4</w:t>
            </w:r>
          </w:p>
        </w:tc>
        <w:tc>
          <w:tcPr>
            <w:tcW w:type="dxa" w:w="850"/>
          </w:tcPr>
          <w:p>
            <w:pPr>
              <w:spacing w:after="50" w:before="50" w:line="252" w:lineRule="auto"/>
            </w:pPr>
            <w:r>
              <w:rPr>
                <w:sz w:val="17"/>
              </w:rPr>
              <w:t>2</w:t>
            </w:r>
          </w:p>
        </w:tc>
        <w:tc>
          <w:tcPr>
            <w:tcW w:type="dxa" w:w="850"/>
          </w:tcPr>
          <w:p>
            <w:pPr>
              <w:spacing w:after="50" w:before="50" w:line="252" w:lineRule="auto"/>
            </w:pPr>
            <w:r>
              <w:rPr>
                <w:sz w:val="17"/>
              </w:rPr>
              <w:t>1</w:t>
            </w:r>
          </w:p>
        </w:tc>
        <w:tc>
          <w:tcPr>
            <w:tcW w:type="dxa" w:w="850"/>
          </w:tcPr>
          <w:p>
            <w:pPr>
              <w:spacing w:after="50" w:before="50" w:line="252" w:lineRule="auto"/>
            </w:pPr>
            <w:r>
              <w:rPr>
                <w:sz w:val="17"/>
              </w:rPr>
              <w:t>1</w:t>
            </w:r>
          </w:p>
        </w:tc>
      </w:tr>
      <w:tr>
        <w:tc>
          <w:tcPr>
            <w:tcW w:type="dxa" w:w="4881"/>
            <w:shd w:val="clear" w:color="auto" w:fill="EAF1F4"/>
          </w:tcPr>
          <w:p>
            <w:pPr>
              <w:spacing w:after="50" w:before="50" w:line="252" w:lineRule="auto"/>
            </w:pPr>
            <w:r>
              <w:rPr>
                <w:sz w:val="17"/>
              </w:rPr>
              <w:t>Post-event report</w:t>
            </w:r>
          </w:p>
        </w:tc>
        <w:tc>
          <w:tcPr>
            <w:tcW w:type="dxa" w:w="977"/>
            <w:shd w:val="clear" w:color="auto" w:fill="EAF1F4"/>
          </w:tcPr>
          <w:p>
            <w:pPr>
              <w:spacing w:after="50" w:before="50" w:line="252" w:lineRule="auto"/>
            </w:pPr>
            <w:r>
              <w:rPr>
                <w:sz w:val="17"/>
              </w:rPr>
              <w:t>✔</w:t>
            </w:r>
          </w:p>
        </w:tc>
        <w:tc>
          <w:tcPr>
            <w:tcW w:type="dxa" w:w="1336"/>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4881"/>
          </w:tcPr>
          <w:p>
            <w:pPr>
              <w:spacing w:after="50" w:before="50" w:line="252" w:lineRule="auto"/>
            </w:pPr>
            <w:r>
              <w:rPr>
                <w:sz w:val="17"/>
              </w:rPr>
              <w:t>Right of first refusal for the next edition</w:t>
            </w:r>
          </w:p>
        </w:tc>
        <w:tc>
          <w:tcPr>
            <w:tcW w:type="dxa" w:w="977"/>
          </w:tcPr>
          <w:p>
            <w:pPr>
              <w:spacing w:after="50" w:before="50" w:line="252" w:lineRule="auto"/>
            </w:pPr>
            <w:r>
              <w:rPr>
                <w:sz w:val="17"/>
              </w:rPr>
              <w:t>✔</w:t>
            </w:r>
          </w:p>
        </w:tc>
        <w:tc>
          <w:tcPr>
            <w:tcW w:type="dxa" w:w="1336"/>
          </w:tcPr>
          <w:p>
            <w:pPr>
              <w:spacing w:after="50" w:before="50" w:line="252" w:lineRule="auto"/>
            </w:pPr>
            <w:r>
              <w:rPr>
                <w:sz w:val="17"/>
              </w:rPr>
              <w:t>✔</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bl>
    <w:p>
      <w:pPr>
        <w:spacing w:after="80" w:before="0"/>
      </w:pPr>
    </w:p>
    <w:p>
      <w:r>
        <w:rPr>
          <w:i/>
        </w:rPr>
        <w:t>Value-in-kind sponsorship — hospitality, travel, technology, printing, publishing — is welcomed and is valued against the tiers above.</w:t>
      </w:r>
    </w:p>
    <w:p>
      <w:pPr>
        <w:spacing w:before="80" w:after="160"/>
        <w:pBdr>
          <w:bottom w:val="single" w:sz="6" w:space="1" w:color="C9D6DE"/>
        </w:pBdr>
      </w:pPr>
    </w:p>
    <w:p>
      <w:pPr>
        <w:pStyle w:val="Heading1"/>
        <w:pBdr>
          <w:bottom w:val="single" w:sz="8" w:space="4" w:color="C9D6DE"/>
        </w:pBdr>
      </w:pPr>
      <w:r>
        <w:t>Other sponsorable properties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287"/>
            <w:shd w:val="clear" w:color="auto" w:fill="10375C"/>
          </w:tcPr>
          <w:p>
            <w:pPr>
              <w:spacing w:after="50" w:before="50"/>
            </w:pPr>
            <w:r>
              <w:rPr>
                <w:b/>
                <w:color w:val="FFFFFF"/>
                <w:sz w:val="17"/>
              </w:rPr>
              <w:t>Property</w:t>
            </w:r>
          </w:p>
        </w:tc>
        <w:tc>
          <w:tcPr>
            <w:tcW w:type="dxa" w:w="5196"/>
            <w:shd w:val="clear" w:color="auto" w:fill="10375C"/>
          </w:tcPr>
          <w:p>
            <w:pPr>
              <w:spacing w:after="50" w:before="50"/>
            </w:pPr>
            <w:r>
              <w:rPr>
                <w:b/>
                <w:color w:val="FFFFFF"/>
                <w:sz w:val="17"/>
              </w:rPr>
              <w:t>Description</w:t>
            </w:r>
          </w:p>
        </w:tc>
        <w:tc>
          <w:tcPr>
            <w:tcW w:type="dxa" w:w="985"/>
            <w:shd w:val="clear" w:color="auto" w:fill="10375C"/>
          </w:tcPr>
          <w:p>
            <w:pPr>
              <w:spacing w:after="50" w:before="50"/>
            </w:pPr>
            <w:r>
              <w:rPr>
                <w:b/>
                <w:color w:val="FFFFFF"/>
                <w:sz w:val="17"/>
              </w:rPr>
              <w:t>Indicative</w:t>
            </w:r>
          </w:p>
        </w:tc>
      </w:tr>
      <w:tr>
        <w:tc>
          <w:tcPr>
            <w:tcW w:type="dxa" w:w="3287"/>
          </w:tcPr>
          <w:p>
            <w:pPr>
              <w:spacing w:after="50" w:before="50" w:line="252" w:lineRule="auto"/>
            </w:pPr>
            <w:r>
              <w:rPr>
                <w:b/>
                <w:sz w:val="17"/>
              </w:rPr>
              <w:t>Equator ADR Laboratory</w:t>
            </w:r>
          </w:p>
        </w:tc>
        <w:tc>
          <w:tcPr>
            <w:tcW w:type="dxa" w:w="5196"/>
          </w:tcPr>
          <w:p>
            <w:pPr>
              <w:spacing w:after="50" w:before="50" w:line="252" w:lineRule="auto"/>
            </w:pPr>
            <w:r>
              <w:rPr>
                <w:sz w:val="17"/>
              </w:rPr>
              <w:t>A named, co-branded mediation and simulation facility on a partner campus, established for a term of years</w:t>
            </w:r>
          </w:p>
        </w:tc>
        <w:tc>
          <w:tcPr>
            <w:tcW w:type="dxa" w:w="985"/>
          </w:tcPr>
          <w:p>
            <w:pPr>
              <w:spacing w:after="50" w:before="50" w:line="252" w:lineRule="auto"/>
            </w:pPr>
            <w:r>
              <w:rPr>
                <w:sz w:val="17"/>
              </w:rPr>
              <w:t>₹[●]</w:t>
            </w:r>
          </w:p>
        </w:tc>
      </w:tr>
      <w:tr>
        <w:tc>
          <w:tcPr>
            <w:tcW w:type="dxa" w:w="3287"/>
            <w:shd w:val="clear" w:color="auto" w:fill="EAF1F4"/>
          </w:tcPr>
          <w:p>
            <w:pPr>
              <w:spacing w:after="50" w:before="50" w:line="252" w:lineRule="auto"/>
            </w:pPr>
            <w:r>
              <w:rPr>
                <w:b/>
                <w:sz w:val="17"/>
              </w:rPr>
              <w:t>Scholarship fund</w:t>
            </w:r>
          </w:p>
        </w:tc>
        <w:tc>
          <w:tcPr>
            <w:tcW w:type="dxa" w:w="5196"/>
            <w:shd w:val="clear" w:color="auto" w:fill="EAF1F4"/>
          </w:tcPr>
          <w:p>
            <w:pPr>
              <w:spacing w:after="50" w:before="50" w:line="252" w:lineRule="auto"/>
            </w:pPr>
            <w:r>
              <w:rPr>
                <w:sz w:val="17"/>
              </w:rPr>
              <w:t>Named scholarships covering certificate course fees for students unable to pay</w:t>
            </w:r>
          </w:p>
        </w:tc>
        <w:tc>
          <w:tcPr>
            <w:tcW w:type="dxa" w:w="985"/>
            <w:shd w:val="clear" w:color="auto" w:fill="EAF1F4"/>
          </w:tcPr>
          <w:p>
            <w:pPr>
              <w:spacing w:after="50" w:before="50" w:line="252" w:lineRule="auto"/>
            </w:pPr>
            <w:r>
              <w:rPr>
                <w:sz w:val="17"/>
              </w:rPr>
              <w:t>₹[●] per cohort</w:t>
            </w:r>
          </w:p>
        </w:tc>
      </w:tr>
      <w:tr>
        <w:tc>
          <w:tcPr>
            <w:tcW w:type="dxa" w:w="3287"/>
          </w:tcPr>
          <w:p>
            <w:pPr>
              <w:spacing w:after="50" w:before="50" w:line="252" w:lineRule="auto"/>
            </w:pPr>
            <w:r>
              <w:rPr>
                <w:b/>
                <w:sz w:val="17"/>
              </w:rPr>
              <w:t>Annual research report</w:t>
            </w:r>
          </w:p>
        </w:tc>
        <w:tc>
          <w:tcPr>
            <w:tcW w:type="dxa" w:w="5196"/>
          </w:tcPr>
          <w:p>
            <w:pPr>
              <w:spacing w:after="50" w:before="50" w:line="252" w:lineRule="auto"/>
            </w:pPr>
            <w:r>
              <w:rPr>
                <w:sz w:val="17"/>
              </w:rPr>
              <w:t>Named support for the annual national report on mediation practice</w:t>
            </w:r>
          </w:p>
        </w:tc>
        <w:tc>
          <w:tcPr>
            <w:tcW w:type="dxa" w:w="985"/>
          </w:tcPr>
          <w:p>
            <w:pPr>
              <w:spacing w:after="50" w:before="50" w:line="252" w:lineRule="auto"/>
            </w:pPr>
            <w:r>
              <w:rPr>
                <w:sz w:val="17"/>
              </w:rPr>
              <w:t>₹[●]</w:t>
            </w:r>
          </w:p>
        </w:tc>
      </w:tr>
      <w:tr>
        <w:tc>
          <w:tcPr>
            <w:tcW w:type="dxa" w:w="3287"/>
            <w:shd w:val="clear" w:color="auto" w:fill="EAF1F4"/>
          </w:tcPr>
          <w:p>
            <w:pPr>
              <w:spacing w:after="50" w:before="50" w:line="252" w:lineRule="auto"/>
            </w:pPr>
            <w:r>
              <w:rPr>
                <w:b/>
                <w:sz w:val="17"/>
              </w:rPr>
              <w:t>Faculty Development Programme</w:t>
            </w:r>
          </w:p>
        </w:tc>
        <w:tc>
          <w:tcPr>
            <w:tcW w:type="dxa" w:w="5196"/>
            <w:shd w:val="clear" w:color="auto" w:fill="EAF1F4"/>
          </w:tcPr>
          <w:p>
            <w:pPr>
              <w:spacing w:after="50" w:before="50" w:line="252" w:lineRule="auto"/>
            </w:pPr>
            <w:r>
              <w:rPr>
                <w:sz w:val="17"/>
              </w:rPr>
              <w:t>Named support for a programme training law and management faculty</w:t>
            </w:r>
          </w:p>
        </w:tc>
        <w:tc>
          <w:tcPr>
            <w:tcW w:type="dxa" w:w="985"/>
            <w:shd w:val="clear" w:color="auto" w:fill="EAF1F4"/>
          </w:tcPr>
          <w:p>
            <w:pPr>
              <w:spacing w:after="50" w:before="50" w:line="252" w:lineRule="auto"/>
            </w:pPr>
            <w:r>
              <w:rPr>
                <w:sz w:val="17"/>
              </w:rPr>
              <w:t>₹[●]</w:t>
            </w:r>
          </w:p>
        </w:tc>
      </w:tr>
      <w:tr>
        <w:tc>
          <w:tcPr>
            <w:tcW w:type="dxa" w:w="3287"/>
          </w:tcPr>
          <w:p>
            <w:pPr>
              <w:spacing w:after="50" w:before="50" w:line="252" w:lineRule="auto"/>
            </w:pPr>
            <w:r>
              <w:rPr>
                <w:b/>
                <w:sz w:val="17"/>
              </w:rPr>
              <w:t>Community mediation clinic</w:t>
            </w:r>
          </w:p>
        </w:tc>
        <w:tc>
          <w:tcPr>
            <w:tcW w:type="dxa" w:w="5196"/>
          </w:tcPr>
          <w:p>
            <w:pPr>
              <w:spacing w:after="50" w:before="50" w:line="252" w:lineRule="auto"/>
            </w:pPr>
            <w:r>
              <w:rPr>
                <w:sz w:val="17"/>
              </w:rPr>
              <w:t>Named support for legal aid and community mediation activity conducted with the District Legal Services Authority</w:t>
            </w:r>
          </w:p>
        </w:tc>
        <w:tc>
          <w:tcPr>
            <w:tcW w:type="dxa" w:w="985"/>
          </w:tcPr>
          <w:p>
            <w:pPr>
              <w:spacing w:after="50" w:before="50" w:line="252" w:lineRule="auto"/>
            </w:pPr>
            <w:r>
              <w:rPr>
                <w:sz w:val="17"/>
              </w:rPr>
              <w:t>₹[●]</w:t>
            </w:r>
          </w:p>
        </w:tc>
      </w:tr>
      <w:tr>
        <w:tc>
          <w:tcPr>
            <w:tcW w:type="dxa" w:w="3287"/>
            <w:shd w:val="clear" w:color="auto" w:fill="EAF1F4"/>
          </w:tcPr>
          <w:p>
            <w:pPr>
              <w:spacing w:after="50" w:before="50" w:line="252" w:lineRule="auto"/>
            </w:pPr>
            <w:r>
              <w:rPr>
                <w:b/>
                <w:sz w:val="17"/>
              </w:rPr>
              <w:t>Arbitration moot</w:t>
            </w:r>
          </w:p>
        </w:tc>
        <w:tc>
          <w:tcPr>
            <w:tcW w:type="dxa" w:w="5196"/>
            <w:shd w:val="clear" w:color="auto" w:fill="EAF1F4"/>
          </w:tcPr>
          <w:p>
            <w:pPr>
              <w:spacing w:after="50" w:before="50" w:line="252" w:lineRule="auto"/>
            </w:pPr>
            <w:r>
              <w:rPr>
                <w:sz w:val="17"/>
              </w:rPr>
              <w:t>A separate competition on the arbitration side</w:t>
            </w:r>
          </w:p>
        </w:tc>
        <w:tc>
          <w:tcPr>
            <w:tcW w:type="dxa" w:w="985"/>
            <w:shd w:val="clear" w:color="auto" w:fill="EAF1F4"/>
          </w:tcPr>
          <w:p>
            <w:pPr>
              <w:spacing w:after="50" w:before="50" w:line="252" w:lineRule="auto"/>
            </w:pPr>
            <w:r>
              <w:rPr>
                <w:sz w:val="17"/>
              </w:rPr>
              <w:t>₹[●]</w:t>
            </w:r>
          </w:p>
        </w:tc>
      </w:tr>
      <w:tr>
        <w:tc>
          <w:tcPr>
            <w:tcW w:type="dxa" w:w="3287"/>
          </w:tcPr>
          <w:p>
            <w:pPr>
              <w:spacing w:after="50" w:before="50" w:line="252" w:lineRule="auto"/>
            </w:pPr>
            <w:r>
              <w:rPr>
                <w:b/>
                <w:sz w:val="17"/>
              </w:rPr>
              <w:t>National negotiation championship</w:t>
            </w:r>
          </w:p>
        </w:tc>
        <w:tc>
          <w:tcPr>
            <w:tcW w:type="dxa" w:w="5196"/>
          </w:tcPr>
          <w:p>
            <w:pPr>
              <w:spacing w:after="50" w:before="50" w:line="252" w:lineRule="auto"/>
            </w:pPr>
            <w:r>
              <w:rPr>
                <w:sz w:val="17"/>
              </w:rPr>
              <w:t>For management and commerce schools</w:t>
            </w:r>
          </w:p>
        </w:tc>
        <w:tc>
          <w:tcPr>
            <w:tcW w:type="dxa" w:w="985"/>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Corporate social responsibility</w:t>
      </w:r>
    </w:p>
    <w:p>
      <w:r>
        <w:t>Schedule VII to the Companies Act, 2013 includes promotion of education among permitted CSR activities. Whether any particular contribution — a scholarship fund, a campus laboratory, a community clinic — qualifies as CSR expenditure for a given company depends on the CSR Rules, on the identity and registration of the implementing entity, and on the company's own position.</w:t>
      </w:r>
    </w:p>
    <w:p>
      <w:r>
        <w:rPr>
          <w:b/>
        </w:rPr>
        <w:t>We do not advise on this and we make no representation about it.</w:t>
      </w:r>
      <w:r>
        <w:t xml:space="preserve"> We are glad to structure a contribution in the form a sponsor's advisers consider appropriate, and to provide whatever documentation they require. </w:t>
      </w:r>
      <w:r>
        <w:rPr>
          <w:b/>
        </w:rPr>
        <w:t>[verify — U7.]</w:t>
      </w:r>
    </w:p>
    <w:p>
      <w:pPr>
        <w:spacing w:before="80" w:after="160"/>
        <w:pBdr>
          <w:bottom w:val="single" w:sz="6" w:space="1" w:color="C9D6DE"/>
        </w:pBdr>
      </w:pPr>
    </w:p>
    <w:p>
      <w:pPr>
        <w:pStyle w:val="Heading1"/>
        <w:pBdr>
          <w:bottom w:val="single" w:sz="8" w:space="4" w:color="C9D6DE"/>
        </w:pBdr>
      </w:pPr>
      <w:r>
        <w:t>What a sponsor cannot buy</w:t>
      </w:r>
    </w:p>
    <w:p>
      <w:r>
        <w:t>We state this plainly, because it protects both sides.</w:t>
      </w:r>
    </w:p>
    <w:p>
      <w:r>
        <w:t xml:space="preserve">Sponsorship confers </w:t>
      </w:r>
      <w:r>
        <w:rPr>
          <w:b/>
        </w:rPr>
        <w:t>no</w:t>
      </w:r>
      <w:r>
        <w:t xml:space="preserve"> influence over the competition problem, the rules, the selection or scoring of judges, any result, or the content of any academic programme. A judge nominated by a sponsor is appointed at our discretion, must complete the conflict declaration and the calibration briefing, and will not be allotted to a session involving an institution with which they are associated.</w:t>
      </w:r>
    </w:p>
    <w:p>
      <w:r>
        <w:t>We also screen sponsors. We do not accept sponsorship from tobacco or gambling businesses, from lenders marketing high-cost unsecured credit to students, from any entity subject to a current consumer-protection or predatory-practice proceeding, or from any party to a dispute administered by Equator Resolution.</w:t>
      </w:r>
    </w:p>
    <w:p>
      <w:r>
        <w:t>A competition whose results could be bought would be worth nothing to a sponsor. That is the point of the restriction.</w:t>
      </w:r>
    </w:p>
    <w:p>
      <w:pPr>
        <w:spacing w:before="80" w:after="160"/>
        <w:pBdr>
          <w:bottom w:val="single" w:sz="6" w:space="1" w:color="C9D6DE"/>
        </w:pBdr>
      </w:pPr>
    </w:p>
    <w:p>
      <w:pPr>
        <w:pStyle w:val="Heading1"/>
        <w:pBdr>
          <w:bottom w:val="single" w:sz="8" w:space="4" w:color="C9D6DE"/>
        </w:pBdr>
      </w:pPr>
      <w:r>
        <w:t>What a sponsor receives afterwards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836"/>
            <w:shd w:val="clear" w:color="auto" w:fill="10375C"/>
          </w:tcPr>
          <w:p>
            <w:pPr>
              <w:spacing w:after="50" w:before="50"/>
            </w:pPr>
            <w:r>
              <w:rPr>
                <w:b/>
                <w:color w:val="FFFFFF"/>
                <w:sz w:val="17"/>
              </w:rPr>
              <w:t>Deliverable</w:t>
            </w:r>
          </w:p>
        </w:tc>
        <w:tc>
          <w:tcPr>
            <w:tcW w:type="dxa" w:w="2632"/>
            <w:shd w:val="clear" w:color="auto" w:fill="10375C"/>
          </w:tcPr>
          <w:p>
            <w:pPr>
              <w:spacing w:after="50" w:before="50"/>
            </w:pPr>
            <w:r>
              <w:rPr>
                <w:b/>
                <w:color w:val="FFFFFF"/>
                <w:sz w:val="17"/>
              </w:rPr>
              <w:t>Timing</w:t>
            </w:r>
          </w:p>
        </w:tc>
      </w:tr>
      <w:tr>
        <w:tc>
          <w:tcPr>
            <w:tcW w:type="dxa" w:w="6836"/>
          </w:tcPr>
          <w:p>
            <w:pPr>
              <w:spacing w:after="50" w:before="50" w:line="252" w:lineRule="auto"/>
            </w:pPr>
            <w:r>
              <w:rPr>
                <w:sz w:val="17"/>
              </w:rPr>
              <w:t>Post-event report — participation, institutions, judges, media coverage, social reach, photographs</w:t>
            </w:r>
          </w:p>
        </w:tc>
        <w:tc>
          <w:tcPr>
            <w:tcW w:type="dxa" w:w="2632"/>
          </w:tcPr>
          <w:p>
            <w:pPr>
              <w:spacing w:after="50" w:before="50" w:line="252" w:lineRule="auto"/>
            </w:pPr>
            <w:r>
              <w:rPr>
                <w:sz w:val="17"/>
              </w:rPr>
              <w:t>Within 30 days</w:t>
            </w:r>
          </w:p>
        </w:tc>
      </w:tr>
      <w:tr>
        <w:tc>
          <w:tcPr>
            <w:tcW w:type="dxa" w:w="6836"/>
            <w:shd w:val="clear" w:color="auto" w:fill="EAF1F4"/>
          </w:tcPr>
          <w:p>
            <w:pPr>
              <w:spacing w:after="50" w:before="50" w:line="252" w:lineRule="auto"/>
            </w:pPr>
            <w:r>
              <w:rPr>
                <w:sz w:val="17"/>
              </w:rPr>
              <w:t>Participant CV book, opt-in participants only</w:t>
            </w:r>
          </w:p>
        </w:tc>
        <w:tc>
          <w:tcPr>
            <w:tcW w:type="dxa" w:w="2632"/>
            <w:shd w:val="clear" w:color="auto" w:fill="EAF1F4"/>
          </w:tcPr>
          <w:p>
            <w:pPr>
              <w:spacing w:after="50" w:before="50" w:line="252" w:lineRule="auto"/>
            </w:pPr>
            <w:r>
              <w:rPr>
                <w:sz w:val="17"/>
              </w:rPr>
              <w:t>Within 21 days</w:t>
            </w:r>
          </w:p>
        </w:tc>
      </w:tr>
      <w:tr>
        <w:tc>
          <w:tcPr>
            <w:tcW w:type="dxa" w:w="6836"/>
          </w:tcPr>
          <w:p>
            <w:pPr>
              <w:spacing w:after="50" w:before="50" w:line="252" w:lineRule="auto"/>
            </w:pPr>
            <w:r>
              <w:rPr>
                <w:sz w:val="17"/>
              </w:rPr>
              <w:t>Photograph and video library for the sponsor's own use, within the brand licence</w:t>
            </w:r>
          </w:p>
        </w:tc>
        <w:tc>
          <w:tcPr>
            <w:tcW w:type="dxa" w:w="2632"/>
          </w:tcPr>
          <w:p>
            <w:pPr>
              <w:spacing w:after="50" w:before="50" w:line="252" w:lineRule="auto"/>
            </w:pPr>
            <w:r>
              <w:rPr>
                <w:sz w:val="17"/>
              </w:rPr>
              <w:t>Within 30 days</w:t>
            </w:r>
          </w:p>
        </w:tc>
      </w:tr>
      <w:tr>
        <w:tc>
          <w:tcPr>
            <w:tcW w:type="dxa" w:w="6836"/>
            <w:shd w:val="clear" w:color="auto" w:fill="EAF1F4"/>
          </w:tcPr>
          <w:p>
            <w:pPr>
              <w:spacing w:after="50" w:before="50" w:line="252" w:lineRule="auto"/>
            </w:pPr>
            <w:r>
              <w:rPr>
                <w:sz w:val="17"/>
              </w:rPr>
              <w:t>Introduction to shortlisted participants, where the participant consents</w:t>
            </w:r>
          </w:p>
        </w:tc>
        <w:tc>
          <w:tcPr>
            <w:tcW w:type="dxa" w:w="2632"/>
            <w:shd w:val="clear" w:color="auto" w:fill="EAF1F4"/>
          </w:tcPr>
          <w:p>
            <w:pPr>
              <w:spacing w:after="50" w:before="50" w:line="252" w:lineRule="auto"/>
            </w:pPr>
            <w:r>
              <w:rPr>
                <w:sz w:val="17"/>
              </w:rPr>
              <w:t>On request</w:t>
            </w:r>
          </w:p>
        </w:tc>
      </w:tr>
      <w:tr>
        <w:tc>
          <w:tcPr>
            <w:tcW w:type="dxa" w:w="6836"/>
          </w:tcPr>
          <w:p>
            <w:pPr>
              <w:spacing w:after="50" w:before="50" w:line="252" w:lineRule="auto"/>
            </w:pPr>
            <w:r>
              <w:rPr>
                <w:sz w:val="17"/>
              </w:rPr>
              <w:t>Right of first refusal for the next edition</w:t>
            </w:r>
          </w:p>
        </w:tc>
        <w:tc>
          <w:tcPr>
            <w:tcW w:type="dxa" w:w="2632"/>
          </w:tcPr>
          <w:p>
            <w:pPr>
              <w:spacing w:after="50" w:before="50" w:line="252" w:lineRule="auto"/>
            </w:pPr>
            <w:r>
              <w:rPr>
                <w:sz w:val="17"/>
              </w:rPr>
              <w:t>Exercisable within 30 days</w:t>
            </w:r>
          </w:p>
        </w:tc>
      </w:tr>
    </w:tbl>
    <w:p>
      <w:pPr>
        <w:spacing w:after="80" w:before="0"/>
      </w:pPr>
    </w:p>
    <w:p>
      <w:pPr>
        <w:spacing w:before="80" w:after="160"/>
        <w:pBdr>
          <w:bottom w:val="single" w:sz="6" w:space="1" w:color="C9D6DE"/>
        </w:pBdr>
      </w:pPr>
    </w:p>
    <w:p>
      <w:pPr>
        <w:pStyle w:val="Heading1"/>
        <w:pBdr>
          <w:bottom w:val="single" w:sz="8" w:space="4" w:color="C9D6DE"/>
        </w:pBdr>
      </w:pPr>
      <w:r>
        <w:t>Next steps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808"/>
            <w:shd w:val="clear" w:color="auto" w:fill="10375C"/>
          </w:tcPr>
          <w:p>
            <w:pPr>
              <w:spacing w:after="50" w:before="50"/>
            </w:pPr>
            <w:r>
              <w:rPr>
                <w:b/>
                <w:color w:val="FFFFFF"/>
                <w:sz w:val="17"/>
              </w:rPr>
              <w:t>Step</w:t>
            </w:r>
          </w:p>
        </w:tc>
        <w:tc>
          <w:tcPr>
            <w:tcW w:type="dxa" w:w="1659"/>
            <w:shd w:val="clear" w:color="auto" w:fill="10375C"/>
          </w:tcPr>
          <w:p>
            <w:pPr>
              <w:spacing w:after="50" w:before="50"/>
            </w:pPr>
            <w:r>
              <w:rPr>
                <w:b/>
                <w:color w:val="FFFFFF"/>
                <w:sz w:val="17"/>
              </w:rPr>
              <w:t>Timing</w:t>
            </w:r>
          </w:p>
        </w:tc>
      </w:tr>
      <w:tr>
        <w:tc>
          <w:tcPr>
            <w:tcW w:type="dxa" w:w="7808"/>
          </w:tcPr>
          <w:p>
            <w:pPr>
              <w:spacing w:after="50" w:before="50" w:line="252" w:lineRule="auto"/>
            </w:pPr>
            <w:r>
              <w:rPr>
                <w:sz w:val="17"/>
              </w:rPr>
              <w:t>Expression of interest</w:t>
            </w:r>
          </w:p>
        </w:tc>
        <w:tc>
          <w:tcPr>
            <w:tcW w:type="dxa" w:w="1659"/>
          </w:tcPr>
          <w:p>
            <w:pPr>
              <w:spacing w:after="50" w:before="50" w:line="252" w:lineRule="auto"/>
            </w:pPr>
            <w:r>
              <w:rPr>
                <w:sz w:val="17"/>
              </w:rPr>
              <w:t>[●]</w:t>
            </w:r>
          </w:p>
        </w:tc>
      </w:tr>
      <w:tr>
        <w:tc>
          <w:tcPr>
            <w:tcW w:type="dxa" w:w="7808"/>
            <w:shd w:val="clear" w:color="auto" w:fill="EAF1F4"/>
          </w:tcPr>
          <w:p>
            <w:pPr>
              <w:spacing w:after="50" w:before="50" w:line="252" w:lineRule="auto"/>
            </w:pPr>
            <w:r>
              <w:rPr>
                <w:sz w:val="17"/>
              </w:rPr>
              <w:t>Sponsor screening and confirmation of tier</w:t>
            </w:r>
          </w:p>
        </w:tc>
        <w:tc>
          <w:tcPr>
            <w:tcW w:type="dxa" w:w="1659"/>
            <w:shd w:val="clear" w:color="auto" w:fill="EAF1F4"/>
          </w:tcPr>
          <w:p>
            <w:pPr>
              <w:spacing w:after="50" w:before="50" w:line="252" w:lineRule="auto"/>
            </w:pPr>
            <w:r>
              <w:rPr>
                <w:sz w:val="17"/>
              </w:rPr>
              <w:t>Within 7 days</w:t>
            </w:r>
          </w:p>
        </w:tc>
      </w:tr>
      <w:tr>
        <w:tc>
          <w:tcPr>
            <w:tcW w:type="dxa" w:w="7808"/>
          </w:tcPr>
          <w:p>
            <w:pPr>
              <w:spacing w:after="50" w:before="50" w:line="252" w:lineRule="auto"/>
            </w:pPr>
            <w:r>
              <w:rPr>
                <w:sz w:val="17"/>
              </w:rPr>
              <w:t>Sponsorship agreement executed</w:t>
            </w:r>
          </w:p>
        </w:tc>
        <w:tc>
          <w:tcPr>
            <w:tcW w:type="dxa" w:w="1659"/>
          </w:tcPr>
          <w:p>
            <w:pPr>
              <w:spacing w:after="50" w:before="50" w:line="252" w:lineRule="auto"/>
            </w:pPr>
            <w:r>
              <w:rPr>
                <w:sz w:val="17"/>
              </w:rPr>
              <w:t>[●]</w:t>
            </w:r>
          </w:p>
        </w:tc>
      </w:tr>
      <w:tr>
        <w:tc>
          <w:tcPr>
            <w:tcW w:type="dxa" w:w="7808"/>
            <w:shd w:val="clear" w:color="auto" w:fill="EAF1F4"/>
          </w:tcPr>
          <w:p>
            <w:pPr>
              <w:spacing w:after="50" w:before="50" w:line="252" w:lineRule="auto"/>
            </w:pPr>
            <w:r>
              <w:rPr>
                <w:sz w:val="17"/>
              </w:rPr>
              <w:t>Brand assets and guidelines received from the sponsor</w:t>
            </w:r>
          </w:p>
        </w:tc>
        <w:tc>
          <w:tcPr>
            <w:tcW w:type="dxa" w:w="1659"/>
            <w:shd w:val="clear" w:color="auto" w:fill="EAF1F4"/>
          </w:tcPr>
          <w:p>
            <w:pPr>
              <w:spacing w:after="50" w:before="50" w:line="252" w:lineRule="auto"/>
            </w:pPr>
            <w:r>
              <w:rPr>
                <w:sz w:val="17"/>
              </w:rPr>
              <w:t>[●]</w:t>
            </w:r>
          </w:p>
        </w:tc>
      </w:tr>
      <w:tr>
        <w:tc>
          <w:tcPr>
            <w:tcW w:type="dxa" w:w="7808"/>
          </w:tcPr>
          <w:p>
            <w:pPr>
              <w:spacing w:after="50" w:before="50" w:line="252" w:lineRule="auto"/>
            </w:pPr>
            <w:r>
              <w:rPr>
                <w:sz w:val="17"/>
              </w:rPr>
              <w:t>Creative approved</w:t>
            </w:r>
          </w:p>
        </w:tc>
        <w:tc>
          <w:tcPr>
            <w:tcW w:type="dxa" w:w="1659"/>
          </w:tcPr>
          <w:p>
            <w:pPr>
              <w:spacing w:after="50" w:before="50" w:line="252" w:lineRule="auto"/>
            </w:pPr>
            <w:r>
              <w:rPr>
                <w:sz w:val="17"/>
              </w:rPr>
              <w:t>[●]</w:t>
            </w:r>
          </w:p>
        </w:tc>
      </w:tr>
      <w:tr>
        <w:tc>
          <w:tcPr>
            <w:tcW w:type="dxa" w:w="7808"/>
            <w:shd w:val="clear" w:color="auto" w:fill="EAF1F4"/>
          </w:tcPr>
          <w:p>
            <w:pPr>
              <w:spacing w:after="50" w:before="50" w:line="252" w:lineRule="auto"/>
            </w:pPr>
            <w:r>
              <w:rPr>
                <w:sz w:val="17"/>
              </w:rPr>
              <w:t>Announcement</w:t>
            </w:r>
          </w:p>
        </w:tc>
        <w:tc>
          <w:tcPr>
            <w:tcW w:type="dxa" w:w="1659"/>
            <w:shd w:val="clear" w:color="auto" w:fill="EAF1F4"/>
          </w:tcPr>
          <w:p>
            <w:pPr>
              <w:spacing w:after="50" w:before="50" w:line="252" w:lineRule="auto"/>
            </w:pPr>
            <w:r>
              <w:rPr>
                <w:sz w:val="17"/>
              </w:rPr>
              <w:t>[●]</w:t>
            </w:r>
          </w:p>
        </w:tc>
      </w:tr>
    </w:tbl>
    <w:p>
      <w:pPr>
        <w:spacing w:after="80" w:before="0"/>
      </w:pPr>
    </w:p>
    <w:p>
      <w:r>
        <w:rPr>
          <w:b/>
        </w:rPr>
        <w:t>Contact.</w:t>
      </w:r>
      <w:r>
        <w:t xml:space="preserve"> [●], Equator ADR Institute · [●] · [●] · www.equatorresolution.com</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EQ-UAP-047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Sponsorship Prospectus</w:t>
    </w:r>
    <w:r>
      <w:rPr>
        <w:rFonts w:ascii="Calibri" w:hAnsi="Calibri"/>
        <w:color w:val="595959"/>
        <w:sz w:val="16"/>
      </w:rPr>
      <w:tab/>
      <w:t>Approved for external release once [●] fields are completed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2526504-6A4B-496A-AC78-17542D90E7A4}"/>
</file>

<file path=customXml/itemProps3.xml><?xml version="1.0" encoding="utf-8"?>
<ds:datastoreItem xmlns:ds="http://schemas.openxmlformats.org/officeDocument/2006/customXml" ds:itemID="{3DBAEDF5-A3F1-4806-ACFD-30EA9E648128}"/>
</file>

<file path=customXml/itemProps4.xml><?xml version="1.0" encoding="utf-8"?>
<ds:datastoreItem xmlns:ds="http://schemas.openxmlformats.org/officeDocument/2006/customXml" ds:itemID="{E1036431-DD0B-463F-AE8C-41537A6479E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