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Institutional Membership &amp; Subscription Model</w:t>
      </w:r>
    </w:p>
    <w:p>
      <w:pPr>
        <w:spacing w:after="280" w:line="276" w:lineRule="auto"/>
      </w:pPr>
      <w:r>
        <w:rPr>
          <w:rFonts w:ascii="Calibri" w:hAnsi="Calibri"/>
          <w:i/>
          <w:color w:val="3E6B8A"/>
          <w:sz w:val="25"/>
        </w:rPr>
        <w:t>Converting lumpy project revenue into recurring revenue — what membership includes, what it costs to serve, and why it is worth ₹18 lakh of year 2 contribution</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EQ-UAP-111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Commercial</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problem membership solves</w:t>
      </w:r>
    </w:p>
    <w:p>
      <w:r>
        <w:t>The programme's revenue is transactional. Every rupee requires a separate purchase decision by an institution whose approval process is slow. A partner that bought a workshop in March has to be sold again in September.</w:t>
      </w:r>
    </w:p>
    <w:p>
      <w:r>
        <w:rPr>
          <w:b/>
        </w:rPr>
        <w:t>Membership converts five separate purchase decisions into one.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972"/>
            <w:shd w:val="clear" w:color="auto" w:fill="10375C"/>
          </w:tcPr>
          <w:p>
            <w:pPr>
              <w:spacing w:after="50" w:before="50"/>
            </w:pPr>
          </w:p>
        </w:tc>
        <w:tc>
          <w:tcPr>
            <w:tcW w:type="dxa" w:w="2610"/>
            <w:shd w:val="clear" w:color="auto" w:fill="10375C"/>
          </w:tcPr>
          <w:p>
            <w:pPr>
              <w:spacing w:after="50" w:before="50"/>
            </w:pPr>
            <w:r>
              <w:rPr>
                <w:b/>
                <w:color w:val="FFFFFF"/>
                <w:sz w:val="17"/>
              </w:rPr>
              <w:t>Without membership</w:t>
            </w:r>
          </w:p>
        </w:tc>
        <w:tc>
          <w:tcPr>
            <w:tcW w:type="dxa" w:w="2886"/>
            <w:shd w:val="clear" w:color="auto" w:fill="10375C"/>
          </w:tcPr>
          <w:p>
            <w:pPr>
              <w:spacing w:after="50" w:before="50"/>
            </w:pPr>
            <w:r>
              <w:rPr>
                <w:b/>
                <w:color w:val="FFFFFF"/>
                <w:sz w:val="17"/>
              </w:rPr>
              <w:t>With membership</w:t>
            </w:r>
          </w:p>
        </w:tc>
      </w:tr>
      <w:tr>
        <w:tc>
          <w:tcPr>
            <w:tcW w:type="dxa" w:w="3972"/>
          </w:tcPr>
          <w:p>
            <w:pPr>
              <w:spacing w:after="50" w:before="50" w:line="252" w:lineRule="auto"/>
            </w:pPr>
            <w:r>
              <w:rPr>
                <w:sz w:val="17"/>
              </w:rPr>
              <w:t>Purchase decisions per institution per year</w:t>
            </w:r>
          </w:p>
        </w:tc>
        <w:tc>
          <w:tcPr>
            <w:tcW w:type="dxa" w:w="2610"/>
          </w:tcPr>
          <w:p>
            <w:pPr>
              <w:spacing w:after="50" w:before="50" w:line="252" w:lineRule="auto"/>
            </w:pPr>
            <w:r>
              <w:rPr>
                <w:sz w:val="17"/>
              </w:rPr>
              <w:t>4 to 6</w:t>
            </w:r>
          </w:p>
        </w:tc>
        <w:tc>
          <w:tcPr>
            <w:tcW w:type="dxa" w:w="2886"/>
          </w:tcPr>
          <w:p>
            <w:pPr>
              <w:spacing w:after="50" w:before="50" w:line="252" w:lineRule="auto"/>
            </w:pPr>
            <w:r>
              <w:rPr>
                <w:sz w:val="17"/>
              </w:rPr>
              <w:t>1</w:t>
            </w:r>
          </w:p>
        </w:tc>
      </w:tr>
      <w:tr>
        <w:tc>
          <w:tcPr>
            <w:tcW w:type="dxa" w:w="3972"/>
            <w:shd w:val="clear" w:color="auto" w:fill="EAF1F4"/>
          </w:tcPr>
          <w:p>
            <w:pPr>
              <w:spacing w:after="50" w:before="50" w:line="252" w:lineRule="auto"/>
            </w:pPr>
            <w:r>
              <w:rPr>
                <w:sz w:val="17"/>
              </w:rPr>
              <w:t>Approval cycles</w:t>
            </w:r>
          </w:p>
        </w:tc>
        <w:tc>
          <w:tcPr>
            <w:tcW w:type="dxa" w:w="2610"/>
            <w:shd w:val="clear" w:color="auto" w:fill="EAF1F4"/>
          </w:tcPr>
          <w:p>
            <w:pPr>
              <w:spacing w:after="50" w:before="50" w:line="252" w:lineRule="auto"/>
            </w:pPr>
            <w:r>
              <w:rPr>
                <w:sz w:val="17"/>
              </w:rPr>
              <w:t>4 to 6</w:t>
            </w:r>
          </w:p>
        </w:tc>
        <w:tc>
          <w:tcPr>
            <w:tcW w:type="dxa" w:w="2886"/>
            <w:shd w:val="clear" w:color="auto" w:fill="EAF1F4"/>
          </w:tcPr>
          <w:p>
            <w:pPr>
              <w:spacing w:after="50" w:before="50" w:line="252" w:lineRule="auto"/>
            </w:pPr>
            <w:r>
              <w:rPr>
                <w:sz w:val="17"/>
              </w:rPr>
              <w:t>1</w:t>
            </w:r>
          </w:p>
        </w:tc>
      </w:tr>
      <w:tr>
        <w:tc>
          <w:tcPr>
            <w:tcW w:type="dxa" w:w="3972"/>
          </w:tcPr>
          <w:p>
            <w:pPr>
              <w:spacing w:after="50" w:before="50" w:line="252" w:lineRule="auto"/>
            </w:pPr>
            <w:r>
              <w:rPr>
                <w:sz w:val="17"/>
              </w:rPr>
              <w:t>Revenue predictability</w:t>
            </w:r>
          </w:p>
        </w:tc>
        <w:tc>
          <w:tcPr>
            <w:tcW w:type="dxa" w:w="2610"/>
          </w:tcPr>
          <w:p>
            <w:pPr>
              <w:spacing w:after="50" w:before="50" w:line="252" w:lineRule="auto"/>
            </w:pPr>
            <w:r>
              <w:rPr>
                <w:sz w:val="17"/>
              </w:rPr>
              <w:t>Low</w:t>
            </w:r>
          </w:p>
        </w:tc>
        <w:tc>
          <w:tcPr>
            <w:tcW w:type="dxa" w:w="2886"/>
          </w:tcPr>
          <w:p>
            <w:pPr>
              <w:spacing w:after="50" w:before="50" w:line="252" w:lineRule="auto"/>
            </w:pPr>
            <w:r>
              <w:rPr>
                <w:sz w:val="17"/>
              </w:rPr>
              <w:t>High, and billed in advance</w:t>
            </w:r>
          </w:p>
        </w:tc>
      </w:tr>
      <w:tr>
        <w:tc>
          <w:tcPr>
            <w:tcW w:type="dxa" w:w="3972"/>
            <w:shd w:val="clear" w:color="auto" w:fill="EAF1F4"/>
          </w:tcPr>
          <w:p>
            <w:pPr>
              <w:spacing w:after="50" w:before="50" w:line="252" w:lineRule="auto"/>
            </w:pPr>
            <w:r>
              <w:rPr>
                <w:sz w:val="17"/>
              </w:rPr>
              <w:t>Renewal effort</w:t>
            </w:r>
          </w:p>
        </w:tc>
        <w:tc>
          <w:tcPr>
            <w:tcW w:type="dxa" w:w="2610"/>
            <w:shd w:val="clear" w:color="auto" w:fill="EAF1F4"/>
          </w:tcPr>
          <w:p>
            <w:pPr>
              <w:spacing w:after="50" w:before="50" w:line="252" w:lineRule="auto"/>
            </w:pPr>
            <w:r>
              <w:rPr>
                <w:sz w:val="17"/>
              </w:rPr>
              <w:t>Full re-sale each time</w:t>
            </w:r>
          </w:p>
        </w:tc>
        <w:tc>
          <w:tcPr>
            <w:tcW w:type="dxa" w:w="2886"/>
            <w:shd w:val="clear" w:color="auto" w:fill="EAF1F4"/>
          </w:tcPr>
          <w:p>
            <w:pPr>
              <w:spacing w:after="50" w:before="50" w:line="252" w:lineRule="auto"/>
            </w:pPr>
            <w:r>
              <w:rPr>
                <w:sz w:val="17"/>
              </w:rPr>
              <w:t>One conversation</w:t>
            </w:r>
          </w:p>
        </w:tc>
      </w:tr>
      <w:tr>
        <w:tc>
          <w:tcPr>
            <w:tcW w:type="dxa" w:w="3972"/>
          </w:tcPr>
          <w:p>
            <w:pPr>
              <w:spacing w:after="50" w:before="50" w:line="252" w:lineRule="auto"/>
            </w:pPr>
            <w:r>
              <w:rPr>
                <w:sz w:val="17"/>
              </w:rPr>
              <w:t>Cash</w:t>
            </w:r>
          </w:p>
        </w:tc>
        <w:tc>
          <w:tcPr>
            <w:tcW w:type="dxa" w:w="2610"/>
          </w:tcPr>
          <w:p>
            <w:pPr>
              <w:spacing w:after="50" w:before="50" w:line="252" w:lineRule="auto"/>
            </w:pPr>
            <w:r>
              <w:rPr>
                <w:sz w:val="17"/>
              </w:rPr>
              <w:t>On delivery, in arrears</w:t>
            </w:r>
          </w:p>
        </w:tc>
        <w:tc>
          <w:tcPr>
            <w:tcW w:type="dxa" w:w="2886"/>
          </w:tcPr>
          <w:p>
            <w:pPr>
              <w:spacing w:after="50" w:before="50" w:line="252" w:lineRule="auto"/>
            </w:pPr>
            <w:r>
              <w:rPr>
                <w:b/>
                <w:sz w:val="17"/>
              </w:rPr>
              <w:t>In advance</w:t>
            </w:r>
          </w:p>
        </w:tc>
      </w:tr>
      <w:tr>
        <w:tc>
          <w:tcPr>
            <w:tcW w:type="dxa" w:w="3972"/>
            <w:shd w:val="clear" w:color="auto" w:fill="EAF1F4"/>
          </w:tcPr>
          <w:p>
            <w:pPr>
              <w:spacing w:after="50" w:before="50" w:line="252" w:lineRule="auto"/>
            </w:pPr>
            <w:r>
              <w:rPr>
                <w:sz w:val="17"/>
              </w:rPr>
              <w:t>Institution's experience</w:t>
            </w:r>
          </w:p>
        </w:tc>
        <w:tc>
          <w:tcPr>
            <w:tcW w:type="dxa" w:w="2610"/>
            <w:shd w:val="clear" w:color="auto" w:fill="EAF1F4"/>
          </w:tcPr>
          <w:p>
            <w:pPr>
              <w:spacing w:after="50" w:before="50" w:line="252" w:lineRule="auto"/>
            </w:pPr>
            <w:r>
              <w:rPr>
                <w:sz w:val="17"/>
              </w:rPr>
              <w:t>Repeated asking</w:t>
            </w:r>
          </w:p>
        </w:tc>
        <w:tc>
          <w:tcPr>
            <w:tcW w:type="dxa" w:w="2886"/>
            <w:shd w:val="clear" w:color="auto" w:fill="EAF1F4"/>
          </w:tcPr>
          <w:p>
            <w:pPr>
              <w:spacing w:after="50" w:before="50" w:line="252" w:lineRule="auto"/>
            </w:pPr>
            <w:r>
              <w:rPr>
                <w:sz w:val="17"/>
              </w:rPr>
              <w:t>A relationship with a fee</w:t>
            </w:r>
          </w:p>
        </w:tc>
      </w:tr>
    </w:tbl>
    <w:p>
      <w:pPr>
        <w:spacing w:after="80" w:before="0"/>
      </w:pPr>
    </w:p>
    <w:p>
      <w:r>
        <w:t xml:space="preserve">It also does something less obvious. </w:t>
      </w:r>
      <w:r>
        <w:rPr>
          <w:b/>
        </w:rPr>
        <w:t>It gives a Tier 3 partnership an economic basis.</w:t>
      </w:r>
      <w:r>
        <w:t xml:space="preserve"> Tier 3 currently returns ₹6,000 of net contribution a year and takes three years to repay its acquisition cost. A Tier 3 partner who becomes a member returns ₹1.2 lakh.</w:t>
      </w:r>
    </w:p>
    <w:p>
      <w:pPr>
        <w:spacing w:before="80" w:after="160"/>
        <w:pBdr>
          <w:bottom w:val="single" w:sz="6" w:space="1" w:color="C9D6DE"/>
        </w:pBdr>
      </w:pPr>
    </w:p>
    <w:p>
      <w:pPr>
        <w:pStyle w:val="Heading1"/>
        <w:pBdr>
          <w:bottom w:val="single" w:sz="8" w:space="4" w:color="C9D6DE"/>
        </w:pBdr>
      </w:pPr>
      <w:r>
        <w:t>2. What membership is</w:t>
      </w:r>
    </w:p>
    <w:p>
      <w:r>
        <w:rPr>
          <w:b/>
        </w:rPr>
        <w:t>Equator Institutional Membership</w:t>
      </w:r>
      <w:r>
        <w:t xml:space="preserve"> — an annual subscription for a higher education institution, giving defined access for all of its students and faculty.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241"/>
            <w:shd w:val="clear" w:color="auto" w:fill="10375C"/>
          </w:tcPr>
          <w:p>
            <w:pPr>
              <w:spacing w:after="50" w:before="50"/>
            </w:pPr>
            <w:r>
              <w:rPr>
                <w:b/>
                <w:color w:val="FFFFFF"/>
                <w:sz w:val="17"/>
              </w:rPr>
              <w:t>Item</w:t>
            </w:r>
          </w:p>
        </w:tc>
        <w:tc>
          <w:tcPr>
            <w:tcW w:type="dxa" w:w="7226"/>
            <w:shd w:val="clear" w:color="auto" w:fill="10375C"/>
          </w:tcPr>
          <w:p>
            <w:pPr>
              <w:spacing w:after="50" w:before="50"/>
            </w:pPr>
            <w:r>
              <w:rPr>
                <w:b/>
                <w:color w:val="FFFFFF"/>
                <w:sz w:val="17"/>
              </w:rPr>
              <w:t>Detail</w:t>
            </w:r>
          </w:p>
        </w:tc>
      </w:tr>
      <w:tr>
        <w:tc>
          <w:tcPr>
            <w:tcW w:type="dxa" w:w="2241"/>
          </w:tcPr>
          <w:p>
            <w:pPr>
              <w:spacing w:after="50" w:before="50" w:line="252" w:lineRule="auto"/>
            </w:pPr>
            <w:r>
              <w:rPr>
                <w:sz w:val="17"/>
              </w:rPr>
              <w:t>Annual fee</w:t>
            </w:r>
          </w:p>
        </w:tc>
        <w:tc>
          <w:tcPr>
            <w:tcW w:type="dxa" w:w="7226"/>
          </w:tcPr>
          <w:p>
            <w:pPr>
              <w:spacing w:after="50" w:before="50" w:line="252" w:lineRule="auto"/>
            </w:pPr>
            <w:r>
              <w:rPr>
                <w:b/>
                <w:sz w:val="17"/>
              </w:rPr>
              <w:t>₹1,75,000</w:t>
            </w:r>
            <w:r>
              <w:rPr>
                <w:sz w:val="17"/>
              </w:rPr>
              <w:t>, exclusive of applicable taxes</w:t>
            </w:r>
          </w:p>
        </w:tc>
      </w:tr>
      <w:tr>
        <w:tc>
          <w:tcPr>
            <w:tcW w:type="dxa" w:w="2241"/>
            <w:shd w:val="clear" w:color="auto" w:fill="EAF1F4"/>
          </w:tcPr>
          <w:p>
            <w:pPr>
              <w:spacing w:after="50" w:before="50" w:line="252" w:lineRule="auto"/>
            </w:pPr>
            <w:r>
              <w:rPr>
                <w:sz w:val="17"/>
              </w:rPr>
              <w:t>Term</w:t>
            </w:r>
          </w:p>
        </w:tc>
        <w:tc>
          <w:tcPr>
            <w:tcW w:type="dxa" w:w="7226"/>
            <w:shd w:val="clear" w:color="auto" w:fill="EAF1F4"/>
          </w:tcPr>
          <w:p>
            <w:pPr>
              <w:spacing w:after="50" w:before="50" w:line="252" w:lineRule="auto"/>
            </w:pPr>
            <w:r>
              <w:rPr>
                <w:sz w:val="17"/>
              </w:rPr>
              <w:t>12 months from the commencement date</w:t>
            </w:r>
          </w:p>
        </w:tc>
      </w:tr>
      <w:tr>
        <w:tc>
          <w:tcPr>
            <w:tcW w:type="dxa" w:w="2241"/>
          </w:tcPr>
          <w:p>
            <w:pPr>
              <w:spacing w:after="50" w:before="50" w:line="252" w:lineRule="auto"/>
            </w:pPr>
            <w:r>
              <w:rPr>
                <w:sz w:val="17"/>
              </w:rPr>
              <w:t>Renewal</w:t>
            </w:r>
          </w:p>
        </w:tc>
        <w:tc>
          <w:tcPr>
            <w:tcW w:type="dxa" w:w="7226"/>
          </w:tcPr>
          <w:p>
            <w:pPr>
              <w:spacing w:after="50" w:before="50" w:line="252" w:lineRule="auto"/>
            </w:pPr>
            <w:r>
              <w:rPr>
                <w:sz w:val="17"/>
              </w:rPr>
              <w:t>On notice; not automatic</w:t>
            </w:r>
          </w:p>
        </w:tc>
      </w:tr>
      <w:tr>
        <w:tc>
          <w:tcPr>
            <w:tcW w:type="dxa" w:w="2241"/>
            <w:shd w:val="clear" w:color="auto" w:fill="EAF1F4"/>
          </w:tcPr>
          <w:p>
            <w:pPr>
              <w:spacing w:after="50" w:before="50" w:line="252" w:lineRule="auto"/>
            </w:pPr>
            <w:r>
              <w:rPr>
                <w:sz w:val="17"/>
              </w:rPr>
              <w:t>Payable</w:t>
            </w:r>
          </w:p>
        </w:tc>
        <w:tc>
          <w:tcPr>
            <w:tcW w:type="dxa" w:w="7226"/>
            <w:shd w:val="clear" w:color="auto" w:fill="EAF1F4"/>
          </w:tcPr>
          <w:p>
            <w:pPr>
              <w:spacing w:after="50" w:before="50" w:line="252" w:lineRule="auto"/>
            </w:pPr>
            <w:r>
              <w:rPr>
                <w:sz w:val="17"/>
              </w:rPr>
              <w:t>Annually in advance</w:t>
            </w:r>
          </w:p>
        </w:tc>
      </w:tr>
      <w:tr>
        <w:tc>
          <w:tcPr>
            <w:tcW w:type="dxa" w:w="2241"/>
          </w:tcPr>
          <w:p>
            <w:pPr>
              <w:spacing w:after="50" w:before="50" w:line="252" w:lineRule="auto"/>
            </w:pPr>
            <w:r>
              <w:rPr>
                <w:sz w:val="17"/>
              </w:rPr>
              <w:t>Floor price</w:t>
            </w:r>
          </w:p>
        </w:tc>
        <w:tc>
          <w:tcPr>
            <w:tcW w:type="dxa" w:w="7226"/>
          </w:tcPr>
          <w:p>
            <w:pPr>
              <w:spacing w:after="50" w:before="50" w:line="252" w:lineRule="auto"/>
            </w:pPr>
            <w:r>
              <w:rPr>
                <w:b/>
                <w:sz w:val="17"/>
              </w:rPr>
              <w:t>₹1,35,000</w:t>
            </w:r>
          </w:p>
        </w:tc>
      </w:tr>
      <w:tr>
        <w:tc>
          <w:tcPr>
            <w:tcW w:type="dxa" w:w="2241"/>
            <w:shd w:val="clear" w:color="auto" w:fill="EAF1F4"/>
          </w:tcPr>
          <w:p>
            <w:pPr>
              <w:spacing w:after="50" w:before="50" w:line="252" w:lineRule="auto"/>
            </w:pPr>
            <w:r>
              <w:rPr>
                <w:sz w:val="17"/>
              </w:rPr>
              <w:t>Multi-year</w:t>
            </w:r>
          </w:p>
        </w:tc>
        <w:tc>
          <w:tcPr>
            <w:tcW w:type="dxa" w:w="7226"/>
            <w:shd w:val="clear" w:color="auto" w:fill="EAF1F4"/>
          </w:tcPr>
          <w:p>
            <w:pPr>
              <w:spacing w:after="50" w:before="50" w:line="252" w:lineRule="auto"/>
            </w:pPr>
            <w:r>
              <w:rPr>
                <w:sz w:val="17"/>
              </w:rPr>
              <w:t>3 years at ₹1,60,000 a year, paid annually in advance</w:t>
            </w:r>
          </w:p>
        </w:tc>
      </w:tr>
      <w:tr>
        <w:tc>
          <w:tcPr>
            <w:tcW w:type="dxa" w:w="2241"/>
          </w:tcPr>
          <w:p>
            <w:pPr>
              <w:spacing w:after="50" w:before="50" w:line="252" w:lineRule="auto"/>
            </w:pPr>
            <w:r>
              <w:rPr>
                <w:sz w:val="17"/>
              </w:rPr>
              <w:t>Multi-campus group</w:t>
            </w:r>
          </w:p>
        </w:tc>
        <w:tc>
          <w:tcPr>
            <w:tcW w:type="dxa" w:w="7226"/>
          </w:tcPr>
          <w:p>
            <w:pPr>
              <w:spacing w:after="50" w:before="50" w:line="252" w:lineRule="auto"/>
            </w:pPr>
            <w:r>
              <w:rPr>
                <w:sz w:val="17"/>
              </w:rPr>
              <w:t>Second and subsequent campuses at ₹1,20,000 each</w:t>
            </w:r>
          </w:p>
        </w:tc>
      </w:tr>
    </w:tbl>
    <w:p>
      <w:pPr>
        <w:spacing w:after="80" w:before="0"/>
      </w:pPr>
    </w:p>
    <w:p>
      <w:pPr>
        <w:pStyle w:val="Heading2"/>
      </w:pPr>
      <w:r>
        <w:t>2.1 What is included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514"/>
            <w:shd w:val="clear" w:color="auto" w:fill="10375C"/>
          </w:tcPr>
          <w:p>
            <w:pPr>
              <w:spacing w:after="50" w:before="50"/>
            </w:pPr>
            <w:r>
              <w:rPr>
                <w:b/>
                <w:color w:val="FFFFFF"/>
                <w:sz w:val="17"/>
              </w:rPr>
              <w:t>Inclusion</w:t>
            </w:r>
          </w:p>
        </w:tc>
        <w:tc>
          <w:tcPr>
            <w:tcW w:type="dxa" w:w="1202"/>
            <w:shd w:val="clear" w:color="auto" w:fill="10375C"/>
          </w:tcPr>
          <w:p>
            <w:pPr>
              <w:spacing w:after="50" w:before="50"/>
            </w:pPr>
            <w:r>
              <w:rPr>
                <w:b/>
                <w:color w:val="FFFFFF"/>
                <w:sz w:val="17"/>
              </w:rPr>
              <w:t>Standalone value</w:t>
            </w:r>
          </w:p>
        </w:tc>
      </w:tr>
      <w:tr>
        <w:tc>
          <w:tcPr>
            <w:tcW w:type="dxa" w:w="850"/>
          </w:tcPr>
          <w:p>
            <w:pPr>
              <w:spacing w:after="50" w:before="50" w:line="252" w:lineRule="auto"/>
            </w:pPr>
            <w:r>
              <w:rPr>
                <w:sz w:val="17"/>
              </w:rPr>
              <w:t>1</w:t>
            </w:r>
          </w:p>
        </w:tc>
        <w:tc>
          <w:tcPr>
            <w:tcW w:type="dxa" w:w="7514"/>
          </w:tcPr>
          <w:p>
            <w:pPr>
              <w:spacing w:after="50" w:before="50" w:line="252" w:lineRule="auto"/>
            </w:pPr>
            <w:r>
              <w:rPr>
                <w:b/>
                <w:sz w:val="17"/>
              </w:rPr>
              <w:t>National webinar programme</w:t>
            </w:r>
            <w:r>
              <w:rPr>
                <w:sz w:val="17"/>
              </w:rPr>
              <w:t xml:space="preserve"> — unlimited access for all enrolled students and faculty</w:t>
            </w:r>
          </w:p>
        </w:tc>
        <w:tc>
          <w:tcPr>
            <w:tcW w:type="dxa" w:w="1202"/>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7514"/>
            <w:shd w:val="clear" w:color="auto" w:fill="EAF1F4"/>
          </w:tcPr>
          <w:p>
            <w:pPr>
              <w:spacing w:after="50" w:before="50" w:line="252" w:lineRule="auto"/>
            </w:pPr>
            <w:r>
              <w:rPr>
                <w:b/>
                <w:sz w:val="17"/>
              </w:rPr>
              <w:t>One half-day institutional workshop</w:t>
            </w:r>
            <w:r>
              <w:rPr>
                <w:sz w:val="17"/>
              </w:rPr>
              <w:t xml:space="preserve"> a year, from the catalogue, delivered on campus</w:t>
            </w:r>
          </w:p>
        </w:tc>
        <w:tc>
          <w:tcPr>
            <w:tcW w:type="dxa" w:w="1202"/>
            <w:shd w:val="clear" w:color="auto" w:fill="EAF1F4"/>
          </w:tcPr>
          <w:p>
            <w:pPr>
              <w:spacing w:after="50" w:before="50" w:line="252" w:lineRule="auto"/>
            </w:pPr>
            <w:r>
              <w:rPr>
                <w:sz w:val="17"/>
              </w:rPr>
              <w:t>₹38,000</w:t>
            </w:r>
          </w:p>
        </w:tc>
      </w:tr>
      <w:tr>
        <w:tc>
          <w:tcPr>
            <w:tcW w:type="dxa" w:w="850"/>
          </w:tcPr>
          <w:p>
            <w:pPr>
              <w:spacing w:after="50" w:before="50" w:line="252" w:lineRule="auto"/>
            </w:pPr>
            <w:r>
              <w:rPr>
                <w:sz w:val="17"/>
              </w:rPr>
              <w:t>3</w:t>
            </w:r>
          </w:p>
        </w:tc>
        <w:tc>
          <w:tcPr>
            <w:tcW w:type="dxa" w:w="7514"/>
          </w:tcPr>
          <w:p>
            <w:pPr>
              <w:spacing w:after="50" w:before="50" w:line="252" w:lineRule="auto"/>
            </w:pPr>
            <w:r>
              <w:rPr>
                <w:b/>
                <w:sz w:val="17"/>
              </w:rPr>
              <w:t>Two competition team entries</w:t>
            </w:r>
            <w:r>
              <w:rPr>
                <w:sz w:val="17"/>
              </w:rPr>
              <w:t xml:space="preserve"> a year in any Equator competition</w:t>
            </w:r>
          </w:p>
        </w:tc>
        <w:tc>
          <w:tcPr>
            <w:tcW w:type="dxa" w:w="1202"/>
          </w:tcPr>
          <w:p>
            <w:pPr>
              <w:spacing w:after="50" w:before="50" w:line="252" w:lineRule="auto"/>
            </w:pPr>
            <w:r>
              <w:rPr>
                <w:sz w:val="17"/>
              </w:rPr>
              <w:t>₹15,000</w:t>
            </w:r>
          </w:p>
        </w:tc>
      </w:tr>
      <w:tr>
        <w:tc>
          <w:tcPr>
            <w:tcW w:type="dxa" w:w="850"/>
            <w:shd w:val="clear" w:color="auto" w:fill="EAF1F4"/>
          </w:tcPr>
          <w:p>
            <w:pPr>
              <w:spacing w:after="50" w:before="50" w:line="252" w:lineRule="auto"/>
            </w:pPr>
            <w:r>
              <w:rPr>
                <w:sz w:val="17"/>
              </w:rPr>
              <w:t>4</w:t>
            </w:r>
          </w:p>
        </w:tc>
        <w:tc>
          <w:tcPr>
            <w:tcW w:type="dxa" w:w="7514"/>
            <w:shd w:val="clear" w:color="auto" w:fill="EAF1F4"/>
          </w:tcPr>
          <w:p>
            <w:pPr>
              <w:spacing w:after="50" w:before="50" w:line="252" w:lineRule="auto"/>
            </w:pPr>
            <w:r>
              <w:rPr>
                <w:b/>
                <w:sz w:val="17"/>
              </w:rPr>
              <w:t>One guest lecture</w:t>
            </w:r>
            <w:r>
              <w:rPr>
                <w:sz w:val="17"/>
              </w:rPr>
              <w:t xml:space="preserve"> a year, 90 minutes, on campus</w:t>
            </w:r>
          </w:p>
        </w:tc>
        <w:tc>
          <w:tcPr>
            <w:tcW w:type="dxa" w:w="1202"/>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7514"/>
          </w:tcPr>
          <w:p>
            <w:pPr>
              <w:spacing w:after="50" w:before="50" w:line="252" w:lineRule="auto"/>
            </w:pPr>
            <w:r>
              <w:rPr>
                <w:b/>
                <w:sz w:val="17"/>
              </w:rPr>
              <w:t>Curriculum consultation</w:t>
            </w:r>
            <w:r>
              <w:rPr>
                <w:sz w:val="17"/>
              </w:rPr>
              <w:t>, two sessions a year</w:t>
            </w:r>
          </w:p>
        </w:tc>
        <w:tc>
          <w:tcPr>
            <w:tcW w:type="dxa" w:w="1202"/>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7514"/>
            <w:shd w:val="clear" w:color="auto" w:fill="EAF1F4"/>
          </w:tcPr>
          <w:p>
            <w:pPr>
              <w:spacing w:after="50" w:before="50" w:line="252" w:lineRule="auto"/>
            </w:pPr>
            <w:r>
              <w:rPr>
                <w:b/>
                <w:sz w:val="17"/>
              </w:rPr>
              <w:t>Student platform access</w:t>
            </w:r>
            <w:r>
              <w:rPr>
                <w:sz w:val="17"/>
              </w:rPr>
              <w:t xml:space="preserve"> — sandboxed tier, for enrolled students, per 13.1</w:t>
            </w:r>
          </w:p>
        </w:tc>
        <w:tc>
          <w:tcPr>
            <w:tcW w:type="dxa" w:w="1202"/>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7514"/>
          </w:tcPr>
          <w:p>
            <w:pPr>
              <w:spacing w:after="50" w:before="50" w:line="252" w:lineRule="auto"/>
            </w:pPr>
            <w:r>
              <w:rPr>
                <w:b/>
                <w:sz w:val="17"/>
              </w:rPr>
              <w:t>Priority internship consideration</w:t>
            </w:r>
            <w:r>
              <w:rPr>
                <w:sz w:val="17"/>
              </w:rPr>
              <w:t xml:space="preserve"> for five nominated students — a guaranteed full review, not a guaranteed place</w:t>
            </w:r>
          </w:p>
        </w:tc>
        <w:tc>
          <w:tcPr>
            <w:tcW w:type="dxa" w:w="1202"/>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7514"/>
            <w:shd w:val="clear" w:color="auto" w:fill="EAF1F4"/>
          </w:tcPr>
          <w:p>
            <w:pPr>
              <w:spacing w:after="50" w:before="50" w:line="252" w:lineRule="auto"/>
            </w:pPr>
            <w:r>
              <w:rPr>
                <w:b/>
                <w:sz w:val="17"/>
              </w:rPr>
              <w:t>10% discount</w:t>
            </w:r>
            <w:r>
              <w:rPr>
                <w:sz w:val="17"/>
              </w:rPr>
              <w:t xml:space="preserve"> on every other programme in the catalogue</w:t>
            </w:r>
          </w:p>
        </w:tc>
        <w:tc>
          <w:tcPr>
            <w:tcW w:type="dxa" w:w="1202"/>
            <w:shd w:val="clear" w:color="auto" w:fill="EAF1F4"/>
          </w:tcPr>
          <w:p>
            <w:pPr>
              <w:spacing w:after="50" w:before="50" w:line="252" w:lineRule="auto"/>
            </w:pPr>
            <w:r>
              <w:rPr>
                <w:sz w:val="17"/>
              </w:rPr>
              <w:t>Varies</w:t>
            </w:r>
          </w:p>
        </w:tc>
      </w:tr>
      <w:tr>
        <w:tc>
          <w:tcPr>
            <w:tcW w:type="dxa" w:w="850"/>
          </w:tcPr>
          <w:p>
            <w:pPr>
              <w:spacing w:after="50" w:before="50" w:line="252" w:lineRule="auto"/>
            </w:pPr>
            <w:r>
              <w:rPr>
                <w:sz w:val="17"/>
              </w:rPr>
              <w:t>9</w:t>
            </w:r>
          </w:p>
        </w:tc>
        <w:tc>
          <w:tcPr>
            <w:tcW w:type="dxa" w:w="7514"/>
          </w:tcPr>
          <w:p>
            <w:pPr>
              <w:spacing w:after="50" w:before="50" w:line="252" w:lineRule="auto"/>
            </w:pPr>
            <w:r>
              <w:rPr>
                <w:sz w:val="17"/>
              </w:rPr>
              <w:t>Certification verification access</w:t>
            </w:r>
          </w:p>
        </w:tc>
        <w:tc>
          <w:tcPr>
            <w:tcW w:type="dxa" w:w="1202"/>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7514"/>
            <w:shd w:val="clear" w:color="auto" w:fill="EAF1F4"/>
          </w:tcPr>
          <w:p>
            <w:pPr>
              <w:spacing w:after="50" w:before="50" w:line="252" w:lineRule="auto"/>
            </w:pPr>
            <w:r>
              <w:rPr>
                <w:sz w:val="17"/>
              </w:rPr>
              <w:t xml:space="preserve">Listing and use of the mark </w:t>
            </w:r>
            <w:r>
              <w:rPr>
                <w:b/>
                <w:sz w:val="17"/>
              </w:rPr>
              <w:t>Equator Member Institution</w:t>
            </w:r>
          </w:p>
        </w:tc>
        <w:tc>
          <w:tcPr>
            <w:tcW w:type="dxa" w:w="1202"/>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11</w:t>
            </w:r>
          </w:p>
        </w:tc>
        <w:tc>
          <w:tcPr>
            <w:tcW w:type="dxa" w:w="7514"/>
          </w:tcPr>
          <w:p>
            <w:pPr>
              <w:spacing w:after="50" w:before="50" w:line="252" w:lineRule="auto"/>
            </w:pPr>
            <w:r>
              <w:rPr>
                <w:sz w:val="17"/>
              </w:rPr>
              <w:t>Named contact and a two-working-day response undertaking</w:t>
            </w:r>
          </w:p>
        </w:tc>
        <w:tc>
          <w:tcPr>
            <w:tcW w:type="dxa" w:w="1202"/>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7514"/>
            <w:shd w:val="clear" w:color="auto" w:fill="EAF1F4"/>
          </w:tcPr>
          <w:p>
            <w:pPr>
              <w:spacing w:after="50" w:before="50" w:line="252" w:lineRule="auto"/>
            </w:pPr>
            <w:r>
              <w:rPr>
                <w:sz w:val="17"/>
              </w:rPr>
              <w:t>Annual activity report in a form usable for accreditation</w:t>
            </w:r>
          </w:p>
        </w:tc>
        <w:tc>
          <w:tcPr>
            <w:tcW w:type="dxa" w:w="1202"/>
            <w:shd w:val="clear" w:color="auto" w:fill="EAF1F4"/>
          </w:tcPr>
          <w:p>
            <w:pPr>
              <w:spacing w:after="50" w:before="50" w:line="252" w:lineRule="auto"/>
            </w:pPr>
            <w:r>
              <w:rPr>
                <w:sz w:val="17"/>
              </w:rPr>
              <w:t>—</w:t>
            </w:r>
          </w:p>
        </w:tc>
      </w:tr>
      <w:tr>
        <w:tc>
          <w:tcPr>
            <w:tcW w:type="dxa" w:w="850"/>
          </w:tcPr>
          <w:p>
            <w:pPr>
              <w:spacing w:after="50" w:before="50" w:line="252" w:lineRule="auto"/>
            </w:pPr>
          </w:p>
        </w:tc>
        <w:tc>
          <w:tcPr>
            <w:tcW w:type="dxa" w:w="7514"/>
          </w:tcPr>
          <w:p>
            <w:pPr>
              <w:spacing w:after="50" w:before="50" w:line="252" w:lineRule="auto"/>
            </w:pPr>
            <w:r>
              <w:rPr>
                <w:b/>
                <w:sz w:val="17"/>
              </w:rPr>
              <w:t>Total standalone value of items 2 and 3 alone</w:t>
            </w:r>
          </w:p>
        </w:tc>
        <w:tc>
          <w:tcPr>
            <w:tcW w:type="dxa" w:w="1202"/>
          </w:tcPr>
          <w:p>
            <w:pPr>
              <w:spacing w:after="50" w:before="50" w:line="252" w:lineRule="auto"/>
            </w:pPr>
            <w:r>
              <w:rPr>
                <w:b/>
                <w:sz w:val="17"/>
              </w:rPr>
              <w:t>₹53,000</w:t>
            </w:r>
          </w:p>
        </w:tc>
      </w:tr>
    </w:tbl>
    <w:p>
      <w:pPr>
        <w:spacing w:after="80" w:before="0"/>
      </w:pPr>
    </w:p>
    <w:p>
      <w:pPr>
        <w:pStyle w:val="Heading2"/>
      </w:pPr>
      <w:r>
        <w:t>2.2 What is not included</w:t>
      </w:r>
    </w:p>
    <w:p>
      <w:r>
        <w:t xml:space="preserve">Certificate courses · Faculty Development Programmes · full-day workshops · coaching · residential schools · advisory retainers · competition hosting · external IC member appointments. </w:t>
      </w:r>
      <w:r>
        <w:rPr>
          <w:b/>
        </w:rPr>
        <w:t>All are available to members at a 10% discount.</w:t>
      </w:r>
    </w:p>
    <w:p>
      <w:pPr>
        <w:pStyle w:val="Heading2"/>
      </w:pPr>
      <w:r>
        <w:t>2.3 The two rules that keep it honest</w:t>
      </w:r>
    </w:p>
    <w:p>
      <w:pPr>
        <w:pStyle w:val="ListNumber"/>
      </w:pPr>
      <w:r>
        <w:rPr>
          <w:b/>
          <w:sz w:val="21"/>
        </w:rPr>
        <w:t>Membership is not a discount scheme.</w:t>
      </w:r>
      <w:r>
        <w:rPr>
          <w:sz w:val="21"/>
        </w:rPr>
        <w:t xml:space="preserve"> It is access. If an institution's only interest is the 10%, sell them programmes instead.</w:t>
      </w:r>
    </w:p>
    <w:p>
      <w:pPr>
        <w:pStyle w:val="ListNumber"/>
      </w:pPr>
      <w:r>
        <w:rPr>
          <w:b/>
          <w:sz w:val="21"/>
        </w:rPr>
        <w:t>Membership does not substitute for an MOU</w:t>
      </w:r>
      <w:r>
        <w:rPr>
          <w:sz w:val="21"/>
        </w:rPr>
        <w:t xml:space="preserve"> where academic activity is contemplated. It sits alongside a Tier 2 or Tier 3 MOU, or it stands alone.</w:t>
      </w:r>
    </w:p>
    <w:p>
      <w:pPr>
        <w:spacing w:before="80" w:after="160"/>
        <w:pBdr>
          <w:bottom w:val="single" w:sz="6" w:space="1" w:color="C9D6DE"/>
        </w:pBdr>
      </w:pPr>
    </w:p>
    <w:p>
      <w:pPr>
        <w:pStyle w:val="Heading1"/>
        <w:pBdr>
          <w:bottom w:val="single" w:sz="8" w:space="4" w:color="C9D6DE"/>
        </w:pBdr>
      </w:pPr>
      <w:r>
        <w:t>3. Cost to serve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390"/>
            <w:shd w:val="clear" w:color="auto" w:fill="10375C"/>
          </w:tcPr>
          <w:p>
            <w:pPr>
              <w:spacing w:after="50" w:before="50"/>
            </w:pPr>
            <w:r>
              <w:rPr>
                <w:b/>
                <w:color w:val="FFFFFF"/>
                <w:sz w:val="17"/>
              </w:rPr>
              <w:t>Item</w:t>
            </w:r>
          </w:p>
        </w:tc>
        <w:tc>
          <w:tcPr>
            <w:tcW w:type="dxa" w:w="1338"/>
            <w:shd w:val="clear" w:color="auto" w:fill="10375C"/>
          </w:tcPr>
          <w:p>
            <w:pPr>
              <w:spacing w:after="50" w:before="50"/>
            </w:pPr>
            <w:r>
              <w:rPr>
                <w:b/>
                <w:color w:val="FFFFFF"/>
                <w:sz w:val="17"/>
              </w:rPr>
              <w:t>Cost</w:t>
            </w:r>
          </w:p>
        </w:tc>
      </w:tr>
      <w:tr>
        <w:tc>
          <w:tcPr>
            <w:tcW w:type="dxa" w:w="850"/>
          </w:tcPr>
          <w:p>
            <w:pPr>
              <w:spacing w:after="50" w:before="50" w:line="252" w:lineRule="auto"/>
            </w:pPr>
            <w:r>
              <w:rPr>
                <w:sz w:val="17"/>
              </w:rPr>
              <w:t>1</w:t>
            </w:r>
          </w:p>
        </w:tc>
        <w:tc>
          <w:tcPr>
            <w:tcW w:type="dxa" w:w="7390"/>
          </w:tcPr>
          <w:p>
            <w:pPr>
              <w:spacing w:after="50" w:before="50" w:line="252" w:lineRule="auto"/>
            </w:pPr>
            <w:r>
              <w:rPr>
                <w:sz w:val="17"/>
              </w:rPr>
              <w:t>Webinar access — marginal cost of additional attendees</w:t>
            </w:r>
          </w:p>
        </w:tc>
        <w:tc>
          <w:tcPr>
            <w:tcW w:type="dxa" w:w="1338"/>
          </w:tcPr>
          <w:p>
            <w:pPr>
              <w:spacing w:after="50" w:before="50" w:line="252" w:lineRule="auto"/>
            </w:pPr>
            <w:r>
              <w:rPr>
                <w:sz w:val="17"/>
              </w:rPr>
              <w:t>5,000</w:t>
            </w:r>
          </w:p>
        </w:tc>
      </w:tr>
      <w:tr>
        <w:tc>
          <w:tcPr>
            <w:tcW w:type="dxa" w:w="850"/>
            <w:shd w:val="clear" w:color="auto" w:fill="EAF1F4"/>
          </w:tcPr>
          <w:p>
            <w:pPr>
              <w:spacing w:after="50" w:before="50" w:line="252" w:lineRule="auto"/>
            </w:pPr>
            <w:r>
              <w:rPr>
                <w:sz w:val="17"/>
              </w:rPr>
              <w:t>2</w:t>
            </w:r>
          </w:p>
        </w:tc>
        <w:tc>
          <w:tcPr>
            <w:tcW w:type="dxa" w:w="7390"/>
            <w:shd w:val="clear" w:color="auto" w:fill="EAF1F4"/>
          </w:tcPr>
          <w:p>
            <w:pPr>
              <w:spacing w:after="50" w:before="50" w:line="252" w:lineRule="auto"/>
            </w:pPr>
            <w:r>
              <w:rPr>
                <w:sz w:val="17"/>
              </w:rPr>
              <w:t>Half-day workshop — trainer, materials, travel amortised</w:t>
            </w:r>
          </w:p>
        </w:tc>
        <w:tc>
          <w:tcPr>
            <w:tcW w:type="dxa" w:w="1338"/>
            <w:shd w:val="clear" w:color="auto" w:fill="EAF1F4"/>
          </w:tcPr>
          <w:p>
            <w:pPr>
              <w:spacing w:after="50" w:before="50" w:line="252" w:lineRule="auto"/>
            </w:pPr>
            <w:r>
              <w:rPr>
                <w:sz w:val="17"/>
              </w:rPr>
              <w:t>16,000</w:t>
            </w:r>
          </w:p>
        </w:tc>
      </w:tr>
      <w:tr>
        <w:tc>
          <w:tcPr>
            <w:tcW w:type="dxa" w:w="850"/>
          </w:tcPr>
          <w:p>
            <w:pPr>
              <w:spacing w:after="50" w:before="50" w:line="252" w:lineRule="auto"/>
            </w:pPr>
            <w:r>
              <w:rPr>
                <w:sz w:val="17"/>
              </w:rPr>
              <w:t>3</w:t>
            </w:r>
          </w:p>
        </w:tc>
        <w:tc>
          <w:tcPr>
            <w:tcW w:type="dxa" w:w="7390"/>
          </w:tcPr>
          <w:p>
            <w:pPr>
              <w:spacing w:after="50" w:before="50" w:line="252" w:lineRule="auto"/>
            </w:pPr>
            <w:r>
              <w:rPr>
                <w:sz w:val="17"/>
              </w:rPr>
              <w:t>Two competition entries — marginal cost of materials, catering, certificates</w:t>
            </w:r>
          </w:p>
        </w:tc>
        <w:tc>
          <w:tcPr>
            <w:tcW w:type="dxa" w:w="1338"/>
          </w:tcPr>
          <w:p>
            <w:pPr>
              <w:spacing w:after="50" w:before="50" w:line="252" w:lineRule="auto"/>
            </w:pPr>
            <w:r>
              <w:rPr>
                <w:sz w:val="17"/>
              </w:rPr>
              <w:t>8,000</w:t>
            </w:r>
          </w:p>
        </w:tc>
      </w:tr>
      <w:tr>
        <w:tc>
          <w:tcPr>
            <w:tcW w:type="dxa" w:w="850"/>
            <w:shd w:val="clear" w:color="auto" w:fill="EAF1F4"/>
          </w:tcPr>
          <w:p>
            <w:pPr>
              <w:spacing w:after="50" w:before="50" w:line="252" w:lineRule="auto"/>
            </w:pPr>
            <w:r>
              <w:rPr>
                <w:sz w:val="17"/>
              </w:rPr>
              <w:t>4</w:t>
            </w:r>
          </w:p>
        </w:tc>
        <w:tc>
          <w:tcPr>
            <w:tcW w:type="dxa" w:w="7390"/>
            <w:shd w:val="clear" w:color="auto" w:fill="EAF1F4"/>
          </w:tcPr>
          <w:p>
            <w:pPr>
              <w:spacing w:after="50" w:before="50" w:line="252" w:lineRule="auto"/>
            </w:pPr>
            <w:r>
              <w:rPr>
                <w:sz w:val="17"/>
              </w:rPr>
              <w:t>Guest lecture — incremental cost beyond the existing loss-leader</w:t>
            </w:r>
          </w:p>
        </w:tc>
        <w:tc>
          <w:tcPr>
            <w:tcW w:type="dxa" w:w="1338"/>
            <w:shd w:val="clear" w:color="auto" w:fill="EAF1F4"/>
          </w:tcPr>
          <w:p>
            <w:pPr>
              <w:spacing w:after="50" w:before="50" w:line="252" w:lineRule="auto"/>
            </w:pPr>
            <w:r>
              <w:rPr>
                <w:sz w:val="17"/>
              </w:rPr>
              <w:t>8,000</w:t>
            </w:r>
          </w:p>
        </w:tc>
      </w:tr>
      <w:tr>
        <w:tc>
          <w:tcPr>
            <w:tcW w:type="dxa" w:w="850"/>
          </w:tcPr>
          <w:p>
            <w:pPr>
              <w:spacing w:after="50" w:before="50" w:line="252" w:lineRule="auto"/>
            </w:pPr>
            <w:r>
              <w:rPr>
                <w:sz w:val="17"/>
              </w:rPr>
              <w:t>5</w:t>
            </w:r>
          </w:p>
        </w:tc>
        <w:tc>
          <w:tcPr>
            <w:tcW w:type="dxa" w:w="7390"/>
          </w:tcPr>
          <w:p>
            <w:pPr>
              <w:spacing w:after="50" w:before="50" w:line="252" w:lineRule="auto"/>
            </w:pPr>
            <w:r>
              <w:rPr>
                <w:sz w:val="17"/>
              </w:rPr>
              <w:t>Curriculum consultation — senior time, two sessions</w:t>
            </w:r>
          </w:p>
        </w:tc>
        <w:tc>
          <w:tcPr>
            <w:tcW w:type="dxa" w:w="1338"/>
          </w:tcPr>
          <w:p>
            <w:pPr>
              <w:spacing w:after="50" w:before="50" w:line="252" w:lineRule="auto"/>
            </w:pPr>
            <w:r>
              <w:rPr>
                <w:sz w:val="17"/>
              </w:rPr>
              <w:t>10,000</w:t>
            </w:r>
          </w:p>
        </w:tc>
      </w:tr>
      <w:tr>
        <w:tc>
          <w:tcPr>
            <w:tcW w:type="dxa" w:w="850"/>
            <w:shd w:val="clear" w:color="auto" w:fill="EAF1F4"/>
          </w:tcPr>
          <w:p>
            <w:pPr>
              <w:spacing w:after="50" w:before="50" w:line="252" w:lineRule="auto"/>
            </w:pPr>
            <w:r>
              <w:rPr>
                <w:sz w:val="17"/>
              </w:rPr>
              <w:t>6</w:t>
            </w:r>
          </w:p>
        </w:tc>
        <w:tc>
          <w:tcPr>
            <w:tcW w:type="dxa" w:w="7390"/>
            <w:shd w:val="clear" w:color="auto" w:fill="EAF1F4"/>
          </w:tcPr>
          <w:p>
            <w:pPr>
              <w:spacing w:after="50" w:before="50" w:line="252" w:lineRule="auto"/>
            </w:pPr>
            <w:r>
              <w:rPr>
                <w:sz w:val="17"/>
              </w:rPr>
              <w:t>Platform access tier</w:t>
            </w:r>
          </w:p>
        </w:tc>
        <w:tc>
          <w:tcPr>
            <w:tcW w:type="dxa" w:w="1338"/>
            <w:shd w:val="clear" w:color="auto" w:fill="EAF1F4"/>
          </w:tcPr>
          <w:p>
            <w:pPr>
              <w:spacing w:after="50" w:before="50" w:line="252" w:lineRule="auto"/>
            </w:pPr>
            <w:r>
              <w:rPr>
                <w:sz w:val="17"/>
              </w:rPr>
              <w:t>3,000</w:t>
            </w:r>
          </w:p>
        </w:tc>
      </w:tr>
      <w:tr>
        <w:tc>
          <w:tcPr>
            <w:tcW w:type="dxa" w:w="850"/>
          </w:tcPr>
          <w:p>
            <w:pPr>
              <w:spacing w:after="50" w:before="50" w:line="252" w:lineRule="auto"/>
            </w:pPr>
            <w:r>
              <w:rPr>
                <w:sz w:val="17"/>
              </w:rPr>
              <w:t>7</w:t>
            </w:r>
          </w:p>
        </w:tc>
        <w:tc>
          <w:tcPr>
            <w:tcW w:type="dxa" w:w="7390"/>
          </w:tcPr>
          <w:p>
            <w:pPr>
              <w:spacing w:after="50" w:before="50" w:line="252" w:lineRule="auto"/>
            </w:pPr>
            <w:r>
              <w:rPr>
                <w:sz w:val="17"/>
              </w:rPr>
              <w:t>Account administration, reporting, renewal</w:t>
            </w:r>
          </w:p>
        </w:tc>
        <w:tc>
          <w:tcPr>
            <w:tcW w:type="dxa" w:w="1338"/>
          </w:tcPr>
          <w:p>
            <w:pPr>
              <w:spacing w:after="50" w:before="50" w:line="252" w:lineRule="auto"/>
            </w:pPr>
            <w:r>
              <w:rPr>
                <w:sz w:val="17"/>
              </w:rPr>
              <w:t>5,000</w:t>
            </w:r>
          </w:p>
        </w:tc>
      </w:tr>
      <w:tr>
        <w:tc>
          <w:tcPr>
            <w:tcW w:type="dxa" w:w="850"/>
            <w:shd w:val="clear" w:color="auto" w:fill="EAF1F4"/>
          </w:tcPr>
          <w:p>
            <w:pPr>
              <w:spacing w:after="50" w:before="50" w:line="252" w:lineRule="auto"/>
            </w:pPr>
          </w:p>
        </w:tc>
        <w:tc>
          <w:tcPr>
            <w:tcW w:type="dxa" w:w="7390"/>
            <w:shd w:val="clear" w:color="auto" w:fill="EAF1F4"/>
          </w:tcPr>
          <w:p>
            <w:pPr>
              <w:spacing w:after="50" w:before="50" w:line="252" w:lineRule="auto"/>
            </w:pPr>
            <w:r>
              <w:rPr>
                <w:b/>
                <w:sz w:val="17"/>
              </w:rPr>
              <w:t>Total cost to serve</w:t>
            </w:r>
          </w:p>
        </w:tc>
        <w:tc>
          <w:tcPr>
            <w:tcW w:type="dxa" w:w="1338"/>
            <w:shd w:val="clear" w:color="auto" w:fill="EAF1F4"/>
          </w:tcPr>
          <w:p>
            <w:pPr>
              <w:spacing w:after="50" w:before="50" w:line="252" w:lineRule="auto"/>
            </w:pPr>
            <w:r>
              <w:rPr>
                <w:b/>
                <w:sz w:val="17"/>
              </w:rPr>
              <w:t>55,000</w:t>
            </w:r>
          </w:p>
        </w:tc>
      </w:tr>
      <w:tr>
        <w:tc>
          <w:tcPr>
            <w:tcW w:type="dxa" w:w="850"/>
          </w:tcPr>
          <w:p>
            <w:pPr>
              <w:spacing w:after="50" w:before="50" w:line="252" w:lineRule="auto"/>
            </w:pPr>
          </w:p>
        </w:tc>
        <w:tc>
          <w:tcPr>
            <w:tcW w:type="dxa" w:w="7390"/>
          </w:tcPr>
          <w:p>
            <w:pPr>
              <w:spacing w:after="50" w:before="50" w:line="252" w:lineRule="auto"/>
            </w:pPr>
            <w:r>
              <w:rPr>
                <w:sz w:val="17"/>
              </w:rPr>
              <w:t>Revenue</w:t>
            </w:r>
          </w:p>
        </w:tc>
        <w:tc>
          <w:tcPr>
            <w:tcW w:type="dxa" w:w="1338"/>
          </w:tcPr>
          <w:p>
            <w:pPr>
              <w:spacing w:after="50" w:before="50" w:line="252" w:lineRule="auto"/>
            </w:pPr>
            <w:r>
              <w:rPr>
                <w:sz w:val="17"/>
              </w:rPr>
              <w:t>1,75,000</w:t>
            </w:r>
          </w:p>
        </w:tc>
      </w:tr>
      <w:tr>
        <w:tc>
          <w:tcPr>
            <w:tcW w:type="dxa" w:w="850"/>
            <w:shd w:val="clear" w:color="auto" w:fill="EAF1F4"/>
          </w:tcPr>
          <w:p>
            <w:pPr>
              <w:spacing w:after="50" w:before="50" w:line="252" w:lineRule="auto"/>
            </w:pPr>
          </w:p>
        </w:tc>
        <w:tc>
          <w:tcPr>
            <w:tcW w:type="dxa" w:w="7390"/>
            <w:shd w:val="clear" w:color="auto" w:fill="EAF1F4"/>
          </w:tcPr>
          <w:p>
            <w:pPr>
              <w:spacing w:after="50" w:before="50" w:line="252" w:lineRule="auto"/>
            </w:pPr>
            <w:r>
              <w:rPr>
                <w:b/>
                <w:sz w:val="17"/>
              </w:rPr>
              <w:t>Contribution</w:t>
            </w:r>
          </w:p>
        </w:tc>
        <w:tc>
          <w:tcPr>
            <w:tcW w:type="dxa" w:w="1338"/>
            <w:shd w:val="clear" w:color="auto" w:fill="EAF1F4"/>
          </w:tcPr>
          <w:p>
            <w:pPr>
              <w:spacing w:after="50" w:before="50" w:line="252" w:lineRule="auto"/>
            </w:pPr>
            <w:r>
              <w:rPr>
                <w:b/>
                <w:sz w:val="17"/>
              </w:rPr>
              <w:t>1,20,000</w:t>
            </w:r>
          </w:p>
        </w:tc>
      </w:tr>
      <w:tr>
        <w:tc>
          <w:tcPr>
            <w:tcW w:type="dxa" w:w="850"/>
          </w:tcPr>
          <w:p>
            <w:pPr>
              <w:spacing w:after="50" w:before="50" w:line="252" w:lineRule="auto"/>
            </w:pPr>
          </w:p>
        </w:tc>
        <w:tc>
          <w:tcPr>
            <w:tcW w:type="dxa" w:w="7390"/>
          </w:tcPr>
          <w:p>
            <w:pPr>
              <w:spacing w:after="50" w:before="50" w:line="252" w:lineRule="auto"/>
            </w:pPr>
            <w:r>
              <w:rPr>
                <w:b/>
                <w:sz w:val="17"/>
              </w:rPr>
              <w:t>Margin</w:t>
            </w:r>
          </w:p>
        </w:tc>
        <w:tc>
          <w:tcPr>
            <w:tcW w:type="dxa" w:w="1338"/>
          </w:tcPr>
          <w:p>
            <w:pPr>
              <w:spacing w:after="50" w:before="50" w:line="252" w:lineRule="auto"/>
            </w:pPr>
            <w:r>
              <w:rPr>
                <w:b/>
                <w:sz w:val="17"/>
              </w:rPr>
              <w:t>68.6%</w:t>
            </w:r>
          </w:p>
        </w:tc>
      </w:tr>
    </w:tbl>
    <w:p>
      <w:pPr>
        <w:spacing w:after="80" w:before="0"/>
      </w:pPr>
    </w:p>
    <w:p>
      <w:pPr>
        <w:pStyle w:val="Heading2"/>
      </w:pPr>
      <w:r>
        <w:t>3.1 Why the margin is high, and where it breaks</w:t>
      </w:r>
    </w:p>
    <w:p>
      <w:r>
        <w:t>The margin is high because six of the eleven inclusions have near-zero marginal cost, and because the two that do not — the workshop and the competition entries — are things Equator delivers anyway at a marginal rather than a full cost.</w:t>
      </w:r>
    </w:p>
    <w:p>
      <w:r>
        <w:rPr>
          <w:b/>
        </w:rPr>
        <w:t>It breaks in two circumstances: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Risk</w:t>
            </w:r>
          </w:p>
        </w:tc>
        <w:tc>
          <w:tcPr>
            <w:tcW w:type="dxa" w:w="4734"/>
            <w:shd w:val="clear" w:color="auto" w:fill="10375C"/>
          </w:tcPr>
          <w:p>
            <w:pPr>
              <w:spacing w:after="50" w:before="50"/>
            </w:pPr>
            <w:r>
              <w:rPr>
                <w:b/>
                <w:color w:val="FFFFFF"/>
                <w:sz w:val="17"/>
              </w:rPr>
              <w:t>Control</w:t>
            </w:r>
          </w:p>
        </w:tc>
      </w:tr>
      <w:tr>
        <w:tc>
          <w:tcPr>
            <w:tcW w:type="dxa" w:w="4734"/>
          </w:tcPr>
          <w:p>
            <w:pPr>
              <w:spacing w:after="50" w:before="50" w:line="252" w:lineRule="auto"/>
            </w:pPr>
            <w:r>
              <w:rPr>
                <w:sz w:val="17"/>
              </w:rPr>
              <w:t>A member consumes far more than the inclusions — repeated consultation, constant queries, a workshop that becomes three</w:t>
            </w:r>
          </w:p>
        </w:tc>
        <w:tc>
          <w:tcPr>
            <w:tcW w:type="dxa" w:w="4734"/>
          </w:tcPr>
          <w:p>
            <w:pPr>
              <w:spacing w:after="50" w:before="50" w:line="252" w:lineRule="auto"/>
            </w:pPr>
            <w:r>
              <w:rPr>
                <w:sz w:val="17"/>
              </w:rPr>
              <w:t xml:space="preserve">Inclusions are stated as numbers, not as </w:t>
            </w:r>
            <w:r>
              <w:rPr>
                <w:i/>
                <w:sz w:val="17"/>
              </w:rPr>
              <w:t>access to</w:t>
            </w:r>
            <w:r>
              <w:rPr>
                <w:sz w:val="17"/>
              </w:rPr>
              <w:t>. Anything beyond is quoted at the discounted rate</w:t>
            </w:r>
          </w:p>
        </w:tc>
      </w:tr>
      <w:tr>
        <w:tc>
          <w:tcPr>
            <w:tcW w:type="dxa" w:w="4734"/>
            <w:shd w:val="clear" w:color="auto" w:fill="EAF1F4"/>
          </w:tcPr>
          <w:p>
            <w:pPr>
              <w:spacing w:after="50" w:before="50" w:line="252" w:lineRule="auto"/>
            </w:pPr>
            <w:r>
              <w:rPr>
                <w:sz w:val="17"/>
              </w:rPr>
              <w:t>Members concentrate in non-bench cities, so the workshop carries full travel</w:t>
            </w:r>
          </w:p>
        </w:tc>
        <w:tc>
          <w:tcPr>
            <w:tcW w:type="dxa" w:w="4734"/>
            <w:shd w:val="clear" w:color="auto" w:fill="EAF1F4"/>
          </w:tcPr>
          <w:p>
            <w:pPr>
              <w:spacing w:after="50" w:before="50" w:line="252" w:lineRule="auto"/>
            </w:pPr>
            <w:r>
              <w:rPr>
                <w:sz w:val="17"/>
              </w:rPr>
              <w:t>Cluster membership sales in bench cities; where a member is remote, deliver the workshop online or at a regional session</w:t>
            </w:r>
          </w:p>
        </w:tc>
      </w:tr>
    </w:tbl>
    <w:p>
      <w:pPr>
        <w:spacing w:after="80" w:before="0"/>
      </w:pPr>
    </w:p>
    <w:p>
      <w:pPr>
        <w:spacing w:before="80" w:after="160"/>
        <w:pBdr>
          <w:bottom w:val="single" w:sz="6" w:space="1" w:color="C9D6DE"/>
        </w:pBdr>
      </w:pPr>
    </w:p>
    <w:p>
      <w:pPr>
        <w:pStyle w:val="Heading1"/>
        <w:pBdr>
          <w:bottom w:val="single" w:sz="8" w:space="4" w:color="C9D6DE"/>
        </w:pBdr>
      </w:pPr>
      <w:r>
        <w:t>4. Portfolio effect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557"/>
            <w:shd w:val="clear" w:color="auto" w:fill="10375C"/>
          </w:tcPr>
          <w:p>
            <w:pPr>
              <w:spacing w:after="50" w:before="50"/>
            </w:pPr>
          </w:p>
        </w:tc>
        <w:tc>
          <w:tcPr>
            <w:tcW w:type="dxa" w:w="1955"/>
            <w:shd w:val="clear" w:color="auto" w:fill="10375C"/>
          </w:tcPr>
          <w:p>
            <w:pPr>
              <w:spacing w:after="50" w:before="50"/>
            </w:pPr>
            <w:r>
              <w:rPr>
                <w:b/>
                <w:color w:val="FFFFFF"/>
                <w:sz w:val="17"/>
              </w:rPr>
              <w:t>Year 2</w:t>
            </w:r>
          </w:p>
        </w:tc>
        <w:tc>
          <w:tcPr>
            <w:tcW w:type="dxa" w:w="1955"/>
            <w:shd w:val="clear" w:color="auto" w:fill="10375C"/>
          </w:tcPr>
          <w:p>
            <w:pPr>
              <w:spacing w:after="50" w:before="50"/>
            </w:pPr>
            <w:r>
              <w:rPr>
                <w:b/>
                <w:color w:val="FFFFFF"/>
                <w:sz w:val="17"/>
              </w:rPr>
              <w:t>Year 3</w:t>
            </w:r>
          </w:p>
        </w:tc>
      </w:tr>
      <w:tr>
        <w:tc>
          <w:tcPr>
            <w:tcW w:type="dxa" w:w="5557"/>
          </w:tcPr>
          <w:p>
            <w:pPr>
              <w:spacing w:after="50" w:before="50" w:line="252" w:lineRule="auto"/>
            </w:pPr>
            <w:r>
              <w:rPr>
                <w:sz w:val="17"/>
              </w:rPr>
              <w:t>Members</w:t>
            </w:r>
          </w:p>
        </w:tc>
        <w:tc>
          <w:tcPr>
            <w:tcW w:type="dxa" w:w="1955"/>
          </w:tcPr>
          <w:p>
            <w:pPr>
              <w:spacing w:after="50" w:before="50" w:line="252" w:lineRule="auto"/>
            </w:pPr>
            <w:r>
              <w:rPr>
                <w:sz w:val="17"/>
              </w:rPr>
              <w:t>15</w:t>
            </w:r>
          </w:p>
        </w:tc>
        <w:tc>
          <w:tcPr>
            <w:tcW w:type="dxa" w:w="1955"/>
          </w:tcPr>
          <w:p>
            <w:pPr>
              <w:spacing w:after="50" w:before="50" w:line="252" w:lineRule="auto"/>
            </w:pPr>
            <w:r>
              <w:rPr>
                <w:sz w:val="17"/>
              </w:rPr>
              <w:t>34</w:t>
            </w:r>
          </w:p>
        </w:tc>
      </w:tr>
      <w:tr>
        <w:tc>
          <w:tcPr>
            <w:tcW w:type="dxa" w:w="5557"/>
            <w:shd w:val="clear" w:color="auto" w:fill="EAF1F4"/>
          </w:tcPr>
          <w:p>
            <w:pPr>
              <w:spacing w:after="50" w:before="50" w:line="252" w:lineRule="auto"/>
            </w:pPr>
            <w:r>
              <w:rPr>
                <w:sz w:val="17"/>
              </w:rPr>
              <w:t>Revenue</w:t>
            </w:r>
          </w:p>
        </w:tc>
        <w:tc>
          <w:tcPr>
            <w:tcW w:type="dxa" w:w="1955"/>
            <w:shd w:val="clear" w:color="auto" w:fill="EAF1F4"/>
          </w:tcPr>
          <w:p>
            <w:pPr>
              <w:spacing w:after="50" w:before="50" w:line="252" w:lineRule="auto"/>
            </w:pPr>
            <w:r>
              <w:rPr>
                <w:sz w:val="17"/>
              </w:rPr>
              <w:t>26,25,000</w:t>
            </w:r>
          </w:p>
        </w:tc>
        <w:tc>
          <w:tcPr>
            <w:tcW w:type="dxa" w:w="1955"/>
            <w:shd w:val="clear" w:color="auto" w:fill="EAF1F4"/>
          </w:tcPr>
          <w:p>
            <w:pPr>
              <w:spacing w:after="50" w:before="50" w:line="252" w:lineRule="auto"/>
            </w:pPr>
            <w:r>
              <w:rPr>
                <w:sz w:val="17"/>
              </w:rPr>
              <w:t>59,50,000</w:t>
            </w:r>
          </w:p>
        </w:tc>
      </w:tr>
      <w:tr>
        <w:tc>
          <w:tcPr>
            <w:tcW w:type="dxa" w:w="5557"/>
          </w:tcPr>
          <w:p>
            <w:pPr>
              <w:spacing w:after="50" w:before="50" w:line="252" w:lineRule="auto"/>
            </w:pPr>
            <w:r>
              <w:rPr>
                <w:sz w:val="17"/>
              </w:rPr>
              <w:t>Contribution</w:t>
            </w:r>
          </w:p>
        </w:tc>
        <w:tc>
          <w:tcPr>
            <w:tcW w:type="dxa" w:w="1955"/>
          </w:tcPr>
          <w:p>
            <w:pPr>
              <w:spacing w:after="50" w:before="50" w:line="252" w:lineRule="auto"/>
            </w:pPr>
            <w:r>
              <w:rPr>
                <w:sz w:val="17"/>
              </w:rPr>
              <w:t>18,00,000</w:t>
            </w:r>
          </w:p>
        </w:tc>
        <w:tc>
          <w:tcPr>
            <w:tcW w:type="dxa" w:w="1955"/>
          </w:tcPr>
          <w:p>
            <w:pPr>
              <w:spacing w:after="50" w:before="50" w:line="252" w:lineRule="auto"/>
            </w:pPr>
            <w:r>
              <w:rPr>
                <w:sz w:val="17"/>
              </w:rPr>
              <w:t>40,80,000</w:t>
            </w:r>
          </w:p>
        </w:tc>
      </w:tr>
      <w:tr>
        <w:tc>
          <w:tcPr>
            <w:tcW w:type="dxa" w:w="5557"/>
            <w:shd w:val="clear" w:color="auto" w:fill="EAF1F4"/>
          </w:tcPr>
          <w:p>
            <w:pPr>
              <w:spacing w:after="50" w:before="50" w:line="252" w:lineRule="auto"/>
            </w:pPr>
            <w:r>
              <w:rPr>
                <w:sz w:val="17"/>
              </w:rPr>
              <w:t>Share of total programme contribution</w:t>
            </w:r>
          </w:p>
        </w:tc>
        <w:tc>
          <w:tcPr>
            <w:tcW w:type="dxa" w:w="1955"/>
            <w:shd w:val="clear" w:color="auto" w:fill="EAF1F4"/>
          </w:tcPr>
          <w:p>
            <w:pPr>
              <w:spacing w:after="50" w:before="50" w:line="252" w:lineRule="auto"/>
            </w:pPr>
            <w:r>
              <w:rPr>
                <w:sz w:val="17"/>
              </w:rPr>
              <w:t>19.2%</w:t>
            </w:r>
          </w:p>
        </w:tc>
        <w:tc>
          <w:tcPr>
            <w:tcW w:type="dxa" w:w="1955"/>
            <w:shd w:val="clear" w:color="auto" w:fill="EAF1F4"/>
          </w:tcPr>
          <w:p>
            <w:pPr>
              <w:spacing w:after="50" w:before="50" w:line="252" w:lineRule="auto"/>
            </w:pPr>
            <w:r>
              <w:rPr>
                <w:sz w:val="17"/>
              </w:rPr>
              <w:t>24.4%</w:t>
            </w:r>
          </w:p>
        </w:tc>
      </w:tr>
      <w:tr>
        <w:tc>
          <w:tcPr>
            <w:tcW w:type="dxa" w:w="5557"/>
          </w:tcPr>
          <w:p>
            <w:pPr>
              <w:spacing w:after="50" w:before="50" w:line="252" w:lineRule="auto"/>
            </w:pPr>
            <w:r>
              <w:rPr>
                <w:b/>
                <w:sz w:val="17"/>
              </w:rPr>
              <w:t>Billed in advance</w:t>
            </w:r>
          </w:p>
        </w:tc>
        <w:tc>
          <w:tcPr>
            <w:tcW w:type="dxa" w:w="1955"/>
          </w:tcPr>
          <w:p>
            <w:pPr>
              <w:spacing w:after="50" w:before="50" w:line="252" w:lineRule="auto"/>
            </w:pPr>
            <w:r>
              <w:rPr>
                <w:b/>
                <w:sz w:val="17"/>
              </w:rPr>
              <w:t>Yes</w:t>
            </w:r>
          </w:p>
        </w:tc>
        <w:tc>
          <w:tcPr>
            <w:tcW w:type="dxa" w:w="1955"/>
          </w:tcPr>
          <w:p>
            <w:pPr>
              <w:spacing w:after="50" w:before="50" w:line="252" w:lineRule="auto"/>
            </w:pPr>
            <w:r>
              <w:rPr>
                <w:b/>
                <w:sz w:val="17"/>
              </w:rPr>
              <w:t>Yes</w:t>
            </w:r>
          </w:p>
        </w:tc>
      </w:tr>
    </w:tbl>
    <w:p>
      <w:pPr>
        <w:spacing w:after="80" w:before="0"/>
      </w:pPr>
    </w:p>
    <w:p>
      <w:r>
        <w:rPr>
          <w:b/>
        </w:rPr>
        <w:t>In year 2, membership is more than the whole of the programme's profit.</w:t>
      </w:r>
      <w:r>
        <w:t xml:space="preserve"> That is not an argument for over-weighting it; it is an argument for launching it on time.</w:t>
      </w:r>
    </w:p>
    <w:p>
      <w:pPr>
        <w:pStyle w:val="Heading2"/>
      </w:pPr>
      <w:r>
        <w:t>4.1 Effect on the tier model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460"/>
            <w:shd w:val="clear" w:color="auto" w:fill="10375C"/>
          </w:tcPr>
          <w:p>
            <w:pPr>
              <w:spacing w:after="50" w:before="50"/>
            </w:pPr>
            <w:r>
              <w:rPr>
                <w:b/>
                <w:color w:val="FFFFFF"/>
                <w:sz w:val="17"/>
              </w:rPr>
              <w:t>Tier</w:t>
            </w:r>
          </w:p>
        </w:tc>
        <w:tc>
          <w:tcPr>
            <w:tcW w:type="dxa" w:w="4088"/>
            <w:shd w:val="clear" w:color="auto" w:fill="10375C"/>
          </w:tcPr>
          <w:p>
            <w:pPr>
              <w:spacing w:after="50" w:before="50"/>
            </w:pPr>
            <w:r>
              <w:rPr>
                <w:b/>
                <w:color w:val="FFFFFF"/>
                <w:sz w:val="17"/>
              </w:rPr>
              <w:t>Net contribution without membership</w:t>
            </w:r>
          </w:p>
        </w:tc>
        <w:tc>
          <w:tcPr>
            <w:tcW w:type="dxa" w:w="2445"/>
            <w:shd w:val="clear" w:color="auto" w:fill="10375C"/>
          </w:tcPr>
          <w:p>
            <w:pPr>
              <w:spacing w:after="50" w:before="50"/>
            </w:pPr>
            <w:r>
              <w:rPr>
                <w:b/>
                <w:color w:val="FFFFFF"/>
                <w:sz w:val="17"/>
              </w:rPr>
              <w:t>With membership</w:t>
            </w:r>
          </w:p>
        </w:tc>
        <w:tc>
          <w:tcPr>
            <w:tcW w:type="dxa" w:w="1475"/>
            <w:shd w:val="clear" w:color="auto" w:fill="10375C"/>
          </w:tcPr>
          <w:p>
            <w:pPr>
              <w:spacing w:after="50" w:before="50"/>
            </w:pPr>
            <w:r>
              <w:rPr>
                <w:b/>
                <w:color w:val="FFFFFF"/>
                <w:sz w:val="17"/>
              </w:rPr>
              <w:t>Change</w:t>
            </w:r>
          </w:p>
        </w:tc>
      </w:tr>
      <w:tr>
        <w:tc>
          <w:tcPr>
            <w:tcW w:type="dxa" w:w="1460"/>
          </w:tcPr>
          <w:p>
            <w:pPr>
              <w:spacing w:after="50" w:before="50" w:line="252" w:lineRule="auto"/>
            </w:pPr>
            <w:r>
              <w:rPr>
                <w:sz w:val="17"/>
              </w:rPr>
              <w:t>Tier 1</w:t>
            </w:r>
          </w:p>
        </w:tc>
        <w:tc>
          <w:tcPr>
            <w:tcW w:type="dxa" w:w="4088"/>
          </w:tcPr>
          <w:p>
            <w:pPr>
              <w:spacing w:after="50" w:before="50" w:line="252" w:lineRule="auto"/>
            </w:pPr>
            <w:r>
              <w:rPr>
                <w:sz w:val="17"/>
              </w:rPr>
              <w:t>₹6,10,700</w:t>
            </w:r>
          </w:p>
        </w:tc>
        <w:tc>
          <w:tcPr>
            <w:tcW w:type="dxa" w:w="2445"/>
          </w:tcPr>
          <w:p>
            <w:pPr>
              <w:spacing w:after="50" w:before="50" w:line="252" w:lineRule="auto"/>
            </w:pPr>
            <w:r>
              <w:rPr>
                <w:sz w:val="17"/>
              </w:rPr>
              <w:t>₹7,30,700</w:t>
            </w:r>
          </w:p>
        </w:tc>
        <w:tc>
          <w:tcPr>
            <w:tcW w:type="dxa" w:w="1475"/>
          </w:tcPr>
          <w:p>
            <w:pPr>
              <w:spacing w:after="50" w:before="50" w:line="252" w:lineRule="auto"/>
            </w:pPr>
            <w:r>
              <w:rPr>
                <w:sz w:val="17"/>
              </w:rPr>
              <w:t>+20%</w:t>
            </w:r>
          </w:p>
        </w:tc>
      </w:tr>
      <w:tr>
        <w:tc>
          <w:tcPr>
            <w:tcW w:type="dxa" w:w="1460"/>
            <w:shd w:val="clear" w:color="auto" w:fill="EAF1F4"/>
          </w:tcPr>
          <w:p>
            <w:pPr>
              <w:spacing w:after="50" w:before="50" w:line="252" w:lineRule="auto"/>
            </w:pPr>
            <w:r>
              <w:rPr>
                <w:sz w:val="17"/>
              </w:rPr>
              <w:t>Tier 2</w:t>
            </w:r>
          </w:p>
        </w:tc>
        <w:tc>
          <w:tcPr>
            <w:tcW w:type="dxa" w:w="4088"/>
            <w:shd w:val="clear" w:color="auto" w:fill="EAF1F4"/>
          </w:tcPr>
          <w:p>
            <w:pPr>
              <w:spacing w:after="50" w:before="50" w:line="252" w:lineRule="auto"/>
            </w:pPr>
            <w:r>
              <w:rPr>
                <w:sz w:val="17"/>
              </w:rPr>
              <w:t>₹2,06,150</w:t>
            </w:r>
          </w:p>
        </w:tc>
        <w:tc>
          <w:tcPr>
            <w:tcW w:type="dxa" w:w="2445"/>
            <w:shd w:val="clear" w:color="auto" w:fill="EAF1F4"/>
          </w:tcPr>
          <w:p>
            <w:pPr>
              <w:spacing w:after="50" w:before="50" w:line="252" w:lineRule="auto"/>
            </w:pPr>
            <w:r>
              <w:rPr>
                <w:sz w:val="17"/>
              </w:rPr>
              <w:t>₹3,26,150</w:t>
            </w:r>
          </w:p>
        </w:tc>
        <w:tc>
          <w:tcPr>
            <w:tcW w:type="dxa" w:w="1475"/>
            <w:shd w:val="clear" w:color="auto" w:fill="EAF1F4"/>
          </w:tcPr>
          <w:p>
            <w:pPr>
              <w:spacing w:after="50" w:before="50" w:line="252" w:lineRule="auto"/>
            </w:pPr>
            <w:r>
              <w:rPr>
                <w:sz w:val="17"/>
              </w:rPr>
              <w:t>+58%</w:t>
            </w:r>
          </w:p>
        </w:tc>
      </w:tr>
      <w:tr>
        <w:tc>
          <w:tcPr>
            <w:tcW w:type="dxa" w:w="1460"/>
          </w:tcPr>
          <w:p>
            <w:pPr>
              <w:spacing w:after="50" w:before="50" w:line="252" w:lineRule="auto"/>
            </w:pPr>
            <w:r>
              <w:rPr>
                <w:b/>
                <w:sz w:val="17"/>
              </w:rPr>
              <w:t>Tier 3</w:t>
            </w:r>
          </w:p>
        </w:tc>
        <w:tc>
          <w:tcPr>
            <w:tcW w:type="dxa" w:w="4088"/>
          </w:tcPr>
          <w:p>
            <w:pPr>
              <w:spacing w:after="50" w:before="50" w:line="252" w:lineRule="auto"/>
            </w:pPr>
            <w:r>
              <w:rPr>
                <w:b/>
                <w:sz w:val="17"/>
              </w:rPr>
              <w:t>₹6,000</w:t>
            </w:r>
          </w:p>
        </w:tc>
        <w:tc>
          <w:tcPr>
            <w:tcW w:type="dxa" w:w="2445"/>
          </w:tcPr>
          <w:p>
            <w:pPr>
              <w:spacing w:after="50" w:before="50" w:line="252" w:lineRule="auto"/>
            </w:pPr>
            <w:r>
              <w:rPr>
                <w:b/>
                <w:sz w:val="17"/>
              </w:rPr>
              <w:t>₹1,26,000</w:t>
            </w:r>
          </w:p>
        </w:tc>
        <w:tc>
          <w:tcPr>
            <w:tcW w:type="dxa" w:w="1475"/>
          </w:tcPr>
          <w:p>
            <w:pPr>
              <w:spacing w:after="50" w:before="50" w:line="252" w:lineRule="auto"/>
            </w:pPr>
            <w:r>
              <w:rPr>
                <w:b/>
                <w:sz w:val="17"/>
              </w:rPr>
              <w:t>+2,000%</w:t>
            </w:r>
          </w:p>
        </w:tc>
      </w:tr>
    </w:tbl>
    <w:p>
      <w:pPr>
        <w:spacing w:after="80" w:before="0"/>
      </w:pPr>
    </w:p>
    <w:p>
      <w:r>
        <w:rPr>
          <w:b/>
        </w:rPr>
        <w:t>Tier 3 is transformed.</w:t>
      </w:r>
      <w:r>
        <w:t xml:space="preserve"> A partnership that previously took three years to repay ₹16,000 of acquisition cost now repays it in seven weeks. This changes the argument for keeping a wide Tier 3 network: it stops being a brand cost and becomes a revenue base.</w:t>
      </w:r>
    </w:p>
    <w:p>
      <w:pPr>
        <w:spacing w:before="80" w:after="160"/>
        <w:pBdr>
          <w:bottom w:val="single" w:sz="6" w:space="1" w:color="C9D6DE"/>
        </w:pBdr>
      </w:pPr>
    </w:p>
    <w:p>
      <w:pPr>
        <w:pStyle w:val="Heading1"/>
        <w:pBdr>
          <w:bottom w:val="single" w:sz="8" w:space="4" w:color="C9D6DE"/>
        </w:pBdr>
      </w:pPr>
      <w:r>
        <w:t>5. Who to sell it to</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367"/>
            <w:shd w:val="clear" w:color="auto" w:fill="10375C"/>
          </w:tcPr>
          <w:p>
            <w:pPr>
              <w:spacing w:after="50" w:before="50"/>
            </w:pPr>
            <w:r>
              <w:rPr>
                <w:b/>
                <w:color w:val="FFFFFF"/>
                <w:sz w:val="17"/>
              </w:rPr>
              <w:t>Best fit</w:t>
            </w:r>
          </w:p>
        </w:tc>
        <w:tc>
          <w:tcPr>
            <w:tcW w:type="dxa" w:w="5100"/>
            <w:shd w:val="clear" w:color="auto" w:fill="10375C"/>
          </w:tcPr>
          <w:p>
            <w:pPr>
              <w:spacing w:after="50" w:before="50"/>
            </w:pPr>
            <w:r>
              <w:rPr>
                <w:b/>
                <w:color w:val="FFFFFF"/>
                <w:sz w:val="17"/>
              </w:rPr>
              <w:t>Why</w:t>
            </w:r>
          </w:p>
        </w:tc>
      </w:tr>
      <w:tr>
        <w:tc>
          <w:tcPr>
            <w:tcW w:type="dxa" w:w="4367"/>
          </w:tcPr>
          <w:p>
            <w:pPr>
              <w:spacing w:after="50" w:before="50" w:line="252" w:lineRule="auto"/>
            </w:pPr>
            <w:r>
              <w:rPr>
                <w:sz w:val="17"/>
              </w:rPr>
              <w:t>Tier 3 partners with no paid activity</w:t>
            </w:r>
          </w:p>
        </w:tc>
        <w:tc>
          <w:tcPr>
            <w:tcW w:type="dxa" w:w="5100"/>
          </w:tcPr>
          <w:p>
            <w:pPr>
              <w:spacing w:after="50" w:before="50" w:line="252" w:lineRule="auto"/>
            </w:pPr>
            <w:r>
              <w:rPr>
                <w:sz w:val="17"/>
              </w:rPr>
              <w:t>Converts a dormant relationship into ₹1.2 lakh</w:t>
            </w:r>
          </w:p>
        </w:tc>
      </w:tr>
      <w:tr>
        <w:tc>
          <w:tcPr>
            <w:tcW w:type="dxa" w:w="4367"/>
            <w:shd w:val="clear" w:color="auto" w:fill="EAF1F4"/>
          </w:tcPr>
          <w:p>
            <w:pPr>
              <w:spacing w:after="50" w:before="50" w:line="252" w:lineRule="auto"/>
            </w:pPr>
            <w:r>
              <w:rPr>
                <w:sz w:val="17"/>
              </w:rPr>
              <w:t>Institutions that declined a full partnership on cost</w:t>
            </w:r>
          </w:p>
        </w:tc>
        <w:tc>
          <w:tcPr>
            <w:tcW w:type="dxa" w:w="5100"/>
            <w:shd w:val="clear" w:color="auto" w:fill="EAF1F4"/>
          </w:tcPr>
          <w:p>
            <w:pPr>
              <w:spacing w:after="50" w:before="50" w:line="252" w:lineRule="auto"/>
            </w:pPr>
            <w:r>
              <w:rPr>
                <w:sz w:val="17"/>
              </w:rPr>
              <w:t>A single, approvable number</w:t>
            </w:r>
          </w:p>
        </w:tc>
      </w:tr>
      <w:tr>
        <w:tc>
          <w:tcPr>
            <w:tcW w:type="dxa" w:w="4367"/>
          </w:tcPr>
          <w:p>
            <w:pPr>
              <w:spacing w:after="50" w:before="50" w:line="252" w:lineRule="auto"/>
            </w:pPr>
            <w:r>
              <w:rPr>
                <w:sz w:val="17"/>
              </w:rPr>
              <w:t>Multi-campus groups</w:t>
            </w:r>
          </w:p>
        </w:tc>
        <w:tc>
          <w:tcPr>
            <w:tcW w:type="dxa" w:w="5100"/>
          </w:tcPr>
          <w:p>
            <w:pPr>
              <w:spacing w:after="50" w:before="50" w:line="252" w:lineRule="auto"/>
            </w:pPr>
            <w:r>
              <w:rPr>
                <w:sz w:val="17"/>
              </w:rPr>
              <w:t>Second and subsequent campuses at ₹1,20,000</w:t>
            </w:r>
          </w:p>
        </w:tc>
      </w:tr>
      <w:tr>
        <w:tc>
          <w:tcPr>
            <w:tcW w:type="dxa" w:w="4367"/>
            <w:shd w:val="clear" w:color="auto" w:fill="EAF1F4"/>
          </w:tcPr>
          <w:p>
            <w:pPr>
              <w:spacing w:after="50" w:before="50" w:line="252" w:lineRule="auto"/>
            </w:pPr>
            <w:r>
              <w:rPr>
                <w:sz w:val="17"/>
              </w:rPr>
              <w:t>Institutions in bench cities</w:t>
            </w:r>
          </w:p>
        </w:tc>
        <w:tc>
          <w:tcPr>
            <w:tcW w:type="dxa" w:w="5100"/>
            <w:shd w:val="clear" w:color="auto" w:fill="EAF1F4"/>
          </w:tcPr>
          <w:p>
            <w:pPr>
              <w:spacing w:after="50" w:before="50" w:line="252" w:lineRule="auto"/>
            </w:pPr>
            <w:r>
              <w:rPr>
                <w:sz w:val="17"/>
              </w:rPr>
              <w:t>Workshop delivery costs least</w:t>
            </w:r>
          </w:p>
        </w:tc>
      </w:tr>
      <w:tr>
        <w:tc>
          <w:tcPr>
            <w:tcW w:type="dxa" w:w="4367"/>
          </w:tcPr>
          <w:p>
            <w:pPr>
              <w:spacing w:after="50" w:before="50" w:line="252" w:lineRule="auto"/>
            </w:pPr>
            <w:r>
              <w:rPr>
                <w:sz w:val="17"/>
              </w:rPr>
              <w:t>Management schools</w:t>
            </w:r>
          </w:p>
        </w:tc>
        <w:tc>
          <w:tcPr>
            <w:tcW w:type="dxa" w:w="5100"/>
          </w:tcPr>
          <w:p>
            <w:pPr>
              <w:spacing w:after="50" w:before="50" w:line="252" w:lineRule="auto"/>
            </w:pPr>
            <w:r>
              <w:rPr>
                <w:sz w:val="17"/>
              </w:rPr>
              <w:t>Their approval cycles are short and their budgets are per-programme</w:t>
            </w:r>
          </w:p>
        </w:tc>
      </w:tr>
      <w:tr>
        <w:tc>
          <w:tcPr>
            <w:tcW w:type="dxa" w:w="4367"/>
            <w:shd w:val="clear" w:color="auto" w:fill="EAF1F4"/>
          </w:tcPr>
          <w:p>
            <w:pPr>
              <w:spacing w:after="50" w:before="50" w:line="252" w:lineRule="auto"/>
            </w:pPr>
            <w:r>
              <w:rPr>
                <w:sz w:val="17"/>
              </w:rPr>
              <w:t>Institutions that bought one programme and did not repeat</w:t>
            </w:r>
          </w:p>
        </w:tc>
        <w:tc>
          <w:tcPr>
            <w:tcW w:type="dxa" w:w="5100"/>
            <w:shd w:val="clear" w:color="auto" w:fill="EAF1F4"/>
          </w:tcPr>
          <w:p>
            <w:pPr>
              <w:spacing w:after="50" w:before="50" w:line="252" w:lineRule="auto"/>
            </w:pPr>
            <w:r>
              <w:rPr>
                <w:sz w:val="17"/>
              </w:rPr>
              <w:t>The most common failure mode; membership fixes it</w:t>
            </w:r>
          </w:p>
        </w:tc>
      </w:tr>
    </w:tbl>
    <w:p>
      <w:pPr>
        <w:spacing w:after="80" w:before="0"/>
      </w:pPr>
    </w:p>
    <w:p>
      <w:r>
        <w:rPr>
          <w:b/>
        </w:rPr>
        <w:t>Poor fit:</w:t>
      </w:r>
      <w:r>
        <w:t xml:space="preserve"> Tier 1 anchors, who buy far more than the inclusions and for whom membership complicates the commercial picture; and institutions with no budget at all, for whom it is another thing to decline.</w:t>
      </w:r>
    </w:p>
    <w:p>
      <w:pPr>
        <w:spacing w:before="80" w:after="160"/>
        <w:pBdr>
          <w:bottom w:val="single" w:sz="6" w:space="1" w:color="C9D6DE"/>
        </w:pBdr>
      </w:pPr>
    </w:p>
    <w:p>
      <w:pPr>
        <w:pStyle w:val="Heading1"/>
        <w:pBdr>
          <w:bottom w:val="single" w:sz="8" w:space="4" w:color="C9D6DE"/>
        </w:pBdr>
      </w:pPr>
      <w:r>
        <w:t>6. The sales conversation</w:t>
      </w:r>
    </w:p>
    <w:p>
      <w:r>
        <w:rPr>
          <w:b/>
        </w:rPr>
        <w:t>Open with their problem, not the product.</w:t>
      </w:r>
    </w:p>
    <w:p>
      <w:pPr>
        <w:spacing w:before="140" w:after="140"/>
        <w:ind w:left="198" w:right="113"/>
        <w:shd w:val="clear" w:color="auto" w:fill="EAF1F4"/>
        <w:pBdr>
          <w:left w:val="single" w:sz="18" w:space="6" w:color="0E7C7B"/>
        </w:pBdr>
      </w:pPr>
      <w:r>
        <w:rPr>
          <w:i/>
          <w:sz w:val="19"/>
        </w:rPr>
        <w:t>You bought a workshop from us in March and it went well. You have told me the difficulty is that every time we want to do something together it goes through a fresh approval, and the approval takes longer than the activity. Would it be easier to approve one number once a year?</w:t>
      </w:r>
    </w:p>
    <w:p>
      <w:r>
        <w:rPr>
          <w:b/>
        </w:rPr>
        <w:t>Then be specific about what it contains</w:t>
      </w:r>
      <w:r>
        <w:t xml:space="preserve"> — a half-day workshop, two competition entries, the webinar programme for every student, a guest lecture, platform access, priority internship review, and ten per cent off everything else.</w:t>
      </w:r>
    </w:p>
    <w:p>
      <w:r>
        <w:rPr>
          <w:b/>
        </w:rPr>
        <w:t>Then say what it does not contain</w:t>
      </w:r>
      <w:r>
        <w:t>, plainly. An institution that discovers the boundary in month four will not renew.</w:t>
      </w:r>
    </w:p>
    <w:p>
      <w:r>
        <w:rPr>
          <w:b/>
        </w:rPr>
        <w:t>Then the number, once.</w:t>
      </w:r>
      <w:r>
        <w:t xml:space="preserve"> ₹1,75,000 a year. Do not present it as a discount.</w:t>
      </w:r>
    </w:p>
    <w:p>
      <w:pPr>
        <w:pStyle w:val="Heading2"/>
      </w:pPr>
      <w:r>
        <w:t>6.1 Objections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038"/>
            <w:shd w:val="clear" w:color="auto" w:fill="10375C"/>
          </w:tcPr>
          <w:p>
            <w:pPr>
              <w:spacing w:after="50" w:before="50"/>
            </w:pPr>
            <w:r>
              <w:rPr>
                <w:b/>
                <w:color w:val="FFFFFF"/>
                <w:sz w:val="17"/>
              </w:rPr>
              <w:t>Objection</w:t>
            </w:r>
          </w:p>
        </w:tc>
        <w:tc>
          <w:tcPr>
            <w:tcW w:type="dxa" w:w="5430"/>
            <w:shd w:val="clear" w:color="auto" w:fill="10375C"/>
          </w:tcPr>
          <w:p>
            <w:pPr>
              <w:spacing w:after="50" w:before="50"/>
            </w:pPr>
            <w:r>
              <w:rPr>
                <w:b/>
                <w:color w:val="FFFFFF"/>
                <w:sz w:val="17"/>
              </w:rPr>
              <w:t>Response</w:t>
            </w:r>
          </w:p>
        </w:tc>
      </w:tr>
      <w:tr>
        <w:tc>
          <w:tcPr>
            <w:tcW w:type="dxa" w:w="4038"/>
          </w:tcPr>
          <w:p>
            <w:pPr>
              <w:spacing w:after="50" w:before="50" w:line="252" w:lineRule="auto"/>
            </w:pPr>
            <w:r>
              <w:rPr>
                <w:i/>
                <w:sz w:val="17"/>
              </w:rPr>
              <w:t>That is more than we spent with you last year</w:t>
            </w:r>
          </w:p>
        </w:tc>
        <w:tc>
          <w:tcPr>
            <w:tcW w:type="dxa" w:w="5430"/>
          </w:tcPr>
          <w:p>
            <w:pPr>
              <w:spacing w:after="50" w:before="50" w:line="252" w:lineRule="auto"/>
            </w:pPr>
            <w:r>
              <w:rPr>
                <w:i/>
                <w:sz w:val="17"/>
              </w:rPr>
              <w:t>It may be. The question is whether it is more than you would spend next year across four separate approvals, and whether one approval is easier than four.</w:t>
            </w:r>
          </w:p>
        </w:tc>
      </w:tr>
      <w:tr>
        <w:tc>
          <w:tcPr>
            <w:tcW w:type="dxa" w:w="4038"/>
            <w:shd w:val="clear" w:color="auto" w:fill="EAF1F4"/>
          </w:tcPr>
          <w:p>
            <w:pPr>
              <w:spacing w:after="50" w:before="50" w:line="252" w:lineRule="auto"/>
            </w:pPr>
            <w:r>
              <w:rPr>
                <w:i/>
                <w:sz w:val="17"/>
              </w:rPr>
              <w:t>We would not use all of it</w:t>
            </w:r>
          </w:p>
        </w:tc>
        <w:tc>
          <w:tcPr>
            <w:tcW w:type="dxa" w:w="5430"/>
            <w:shd w:val="clear" w:color="auto" w:fill="EAF1F4"/>
          </w:tcPr>
          <w:p>
            <w:pPr>
              <w:spacing w:after="50" w:before="50" w:line="252" w:lineRule="auto"/>
            </w:pPr>
            <w:r>
              <w:rPr>
                <w:i/>
                <w:sz w:val="17"/>
              </w:rPr>
              <w:t>Most institutions do not use all of it in year one. The workshop and the competition entries alone are ₹53,000 of it, and the webinar access is for every student you have.</w:t>
            </w:r>
          </w:p>
        </w:tc>
      </w:tr>
      <w:tr>
        <w:tc>
          <w:tcPr>
            <w:tcW w:type="dxa" w:w="4038"/>
          </w:tcPr>
          <w:p>
            <w:pPr>
              <w:spacing w:after="50" w:before="50" w:line="252" w:lineRule="auto"/>
            </w:pPr>
            <w:r>
              <w:rPr>
                <w:i/>
                <w:sz w:val="17"/>
              </w:rPr>
              <w:t>Can we pay per activity instead?</w:t>
            </w:r>
          </w:p>
        </w:tc>
        <w:tc>
          <w:tcPr>
            <w:tcW w:type="dxa" w:w="5430"/>
          </w:tcPr>
          <w:p>
            <w:pPr>
              <w:spacing w:after="50" w:before="50" w:line="252" w:lineRule="auto"/>
            </w:pPr>
            <w:r>
              <w:rPr>
                <w:i/>
                <w:sz w:val="17"/>
              </w:rPr>
              <w:t>Yes, of course, and we are glad to. Membership exists because several institutions asked for one approval instead of several. If per-activity suits you better, nothing changes.</w:t>
            </w:r>
          </w:p>
        </w:tc>
      </w:tr>
      <w:tr>
        <w:tc>
          <w:tcPr>
            <w:tcW w:type="dxa" w:w="4038"/>
            <w:shd w:val="clear" w:color="auto" w:fill="EAF1F4"/>
          </w:tcPr>
          <w:p>
            <w:pPr>
              <w:spacing w:after="50" w:before="50" w:line="252" w:lineRule="auto"/>
            </w:pPr>
            <w:r>
              <w:rPr>
                <w:i/>
                <w:sz w:val="17"/>
              </w:rPr>
              <w:t>What if we do not renew?</w:t>
            </w:r>
          </w:p>
        </w:tc>
        <w:tc>
          <w:tcPr>
            <w:tcW w:type="dxa" w:w="5430"/>
            <w:shd w:val="clear" w:color="auto" w:fill="EAF1F4"/>
          </w:tcPr>
          <w:p>
            <w:pPr>
              <w:spacing w:after="50" w:before="50" w:line="252" w:lineRule="auto"/>
            </w:pPr>
            <w:r>
              <w:rPr>
                <w:i/>
                <w:sz w:val="17"/>
              </w:rPr>
              <w:t>Then it lapses. Certificates already issued stay valid, students keep webinar access to the end of the term, and we would still welcome your teams at competitions.</w:t>
            </w:r>
          </w:p>
        </w:tc>
      </w:tr>
      <w:tr>
        <w:tc>
          <w:tcPr>
            <w:tcW w:type="dxa" w:w="4038"/>
          </w:tcPr>
          <w:p>
            <w:pPr>
              <w:spacing w:after="50" w:before="50" w:line="252" w:lineRule="auto"/>
            </w:pPr>
            <w:r>
              <w:rPr>
                <w:i/>
                <w:sz w:val="17"/>
              </w:rPr>
              <w:t>Can we have a discount?</w:t>
            </w:r>
          </w:p>
        </w:tc>
        <w:tc>
          <w:tcPr>
            <w:tcW w:type="dxa" w:w="5430"/>
          </w:tcPr>
          <w:p>
            <w:pPr>
              <w:spacing w:after="50" w:before="50" w:line="252" w:lineRule="auto"/>
            </w:pPr>
            <w:r>
              <w:rPr>
                <w:i/>
                <w:sz w:val="17"/>
              </w:rPr>
              <w:t>The floor is ₹1,35,000 and it needs approval. What I would rather do is add the second campus at ₹1,20,000, which gives you more for the money rather than less of a number.</w:t>
            </w:r>
          </w:p>
        </w:tc>
      </w:tr>
    </w:tbl>
    <w:p>
      <w:pPr>
        <w:spacing w:after="80" w:before="0"/>
      </w:pPr>
    </w:p>
    <w:p>
      <w:pPr>
        <w:spacing w:before="80" w:after="160"/>
        <w:pBdr>
          <w:bottom w:val="single" w:sz="6" w:space="1" w:color="C9D6DE"/>
        </w:pBdr>
      </w:pPr>
    </w:p>
    <w:p>
      <w:pPr>
        <w:pStyle w:val="Heading1"/>
        <w:pBdr>
          <w:bottom w:val="single" w:sz="8" w:space="4" w:color="C9D6DE"/>
        </w:pBdr>
      </w:pPr>
      <w:r>
        <w:t>7. Operating rules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Rule</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 xml:space="preserve">Membership is invoiced </w:t>
            </w:r>
            <w:r>
              <w:rPr>
                <w:b/>
                <w:sz w:val="17"/>
              </w:rPr>
              <w:t>annually in advance</w:t>
            </w:r>
            <w:r>
              <w:rPr>
                <w:sz w:val="17"/>
              </w:rPr>
              <w:t>. No membership commences before payment</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 xml:space="preserve">Inclusions are stated as numbers and are </w:t>
            </w:r>
            <w:r>
              <w:rPr>
                <w:b/>
                <w:sz w:val="17"/>
              </w:rPr>
              <w:t>not carried forward</w:t>
            </w:r>
            <w:r>
              <w:rPr>
                <w:sz w:val="17"/>
              </w:rPr>
              <w:t xml:space="preserve"> to the next year if unused</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The workshop is scheduled within the membership year or is lost. Say this at the sale and again at month 9</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The 10% discount does not stack with any other discount</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Members are recorded in the registers workbook with an inclusion-utilisation tracker</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 xml:space="preserve">A utilisation report goes to the institution at month 9, listing what remains unused. </w:t>
            </w:r>
            <w:r>
              <w:rPr>
                <w:b/>
                <w:sz w:val="17"/>
              </w:rPr>
              <w:t>This is the renewal conversation and it should not be left to month 12</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Renewal notice at 60 days; renewal is not automatic</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 xml:space="preserve">The </w:t>
            </w:r>
            <w:r>
              <w:rPr>
                <w:b/>
                <w:sz w:val="17"/>
              </w:rPr>
              <w:t>Equator Member Institution</w:t>
            </w:r>
            <w:r>
              <w:rPr>
                <w:sz w:val="17"/>
              </w:rPr>
              <w:t xml:space="preserve"> mark is licensed under Schedule G and ceases 30 days after lapse</w:t>
            </w:r>
          </w:p>
        </w:tc>
      </w:tr>
      <w:tr>
        <w:tc>
          <w:tcPr>
            <w:tcW w:type="dxa" w:w="861"/>
          </w:tcPr>
          <w:p>
            <w:pPr>
              <w:spacing w:after="50" w:before="50" w:line="252" w:lineRule="auto"/>
            </w:pPr>
            <w:r>
              <w:rPr>
                <w:sz w:val="17"/>
              </w:rPr>
              <w:t>9</w:t>
            </w:r>
          </w:p>
        </w:tc>
        <w:tc>
          <w:tcPr>
            <w:tcW w:type="dxa" w:w="8607"/>
          </w:tcPr>
          <w:p>
            <w:pPr>
              <w:spacing w:after="50" w:before="50" w:line="252" w:lineRule="auto"/>
            </w:pPr>
            <w:r>
              <w:rPr>
                <w:sz w:val="17"/>
              </w:rPr>
              <w:t>Membership does not confer any right to describe Equator as an accrediting or affiliating body</w:t>
            </w:r>
          </w:p>
        </w:tc>
      </w:tr>
      <w:tr>
        <w:tc>
          <w:tcPr>
            <w:tcW w:type="dxa" w:w="861"/>
            <w:shd w:val="clear" w:color="auto" w:fill="EAF1F4"/>
          </w:tcPr>
          <w:p>
            <w:pPr>
              <w:spacing w:after="50" w:before="50" w:line="252" w:lineRule="auto"/>
            </w:pPr>
            <w:r>
              <w:rPr>
                <w:sz w:val="17"/>
              </w:rPr>
              <w:t>10</w:t>
            </w:r>
          </w:p>
        </w:tc>
        <w:tc>
          <w:tcPr>
            <w:tcW w:type="dxa" w:w="8607"/>
            <w:shd w:val="clear" w:color="auto" w:fill="EAF1F4"/>
          </w:tcPr>
          <w:p>
            <w:pPr>
              <w:spacing w:after="50" w:before="50" w:line="252" w:lineRule="auto"/>
            </w:pPr>
            <w:r>
              <w:rPr>
                <w:sz w:val="17"/>
              </w:rPr>
              <w:t>Any variation to inclusions requires Finance and the Programme Director</w:t>
            </w:r>
          </w:p>
        </w:tc>
      </w:tr>
    </w:tbl>
    <w:p>
      <w:pPr>
        <w:spacing w:after="80" w:before="0"/>
      </w:pPr>
    </w:p>
    <w:p>
      <w:pPr>
        <w:spacing w:before="80" w:after="160"/>
        <w:pBdr>
          <w:bottom w:val="single" w:sz="6" w:space="1" w:color="C9D6DE"/>
        </w:pBdr>
      </w:pPr>
    </w:p>
    <w:p>
      <w:pPr>
        <w:pStyle w:val="Heading1"/>
        <w:pBdr>
          <w:bottom w:val="single" w:sz="8" w:space="4" w:color="C9D6DE"/>
        </w:pBdr>
      </w:pPr>
      <w:r>
        <w:t>8. Launch plan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Month</w:t>
            </w:r>
          </w:p>
        </w:tc>
        <w:tc>
          <w:tcPr>
            <w:tcW w:type="dxa" w:w="8607"/>
            <w:shd w:val="clear" w:color="auto" w:fill="10375C"/>
          </w:tcPr>
          <w:p>
            <w:pPr>
              <w:spacing w:after="50" w:before="50"/>
            </w:pPr>
            <w:r>
              <w:rPr>
                <w:b/>
                <w:color w:val="FFFFFF"/>
                <w:sz w:val="17"/>
              </w:rPr>
              <w:t>Action</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Model approved; membership agreement drafted (03.13)</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Pricing and inclusions confirmed; utilisation tracker built</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Collateral produced; sales briefing delivered</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b/>
                <w:sz w:val="17"/>
              </w:rPr>
              <w:t>Soft launch to existing Tier 3 partners and to institutions that declined on cost</w:t>
            </w:r>
          </w:p>
        </w:tc>
      </w:tr>
      <w:tr>
        <w:tc>
          <w:tcPr>
            <w:tcW w:type="dxa" w:w="861"/>
          </w:tcPr>
          <w:p>
            <w:pPr>
              <w:spacing w:after="50" w:before="50" w:line="252" w:lineRule="auto"/>
            </w:pPr>
            <w:r>
              <w:rPr>
                <w:sz w:val="17"/>
              </w:rPr>
              <w:t>9–11</w:t>
            </w:r>
          </w:p>
        </w:tc>
        <w:tc>
          <w:tcPr>
            <w:tcW w:type="dxa" w:w="8607"/>
          </w:tcPr>
          <w:p>
            <w:pPr>
              <w:spacing w:after="50" w:before="50" w:line="252" w:lineRule="auto"/>
            </w:pPr>
            <w:r>
              <w:rPr>
                <w:sz w:val="17"/>
              </w:rPr>
              <w:t>Sell to the target list; aim for 6 in year 1</w:t>
            </w:r>
          </w:p>
        </w:tc>
      </w:tr>
      <w:tr>
        <w:tc>
          <w:tcPr>
            <w:tcW w:type="dxa" w:w="861"/>
            <w:shd w:val="clear" w:color="auto" w:fill="EAF1F4"/>
          </w:tcPr>
          <w:p>
            <w:pPr>
              <w:spacing w:after="50" w:before="50" w:line="252" w:lineRule="auto"/>
            </w:pPr>
            <w:r>
              <w:rPr>
                <w:sz w:val="17"/>
              </w:rPr>
              <w:t>12</w:t>
            </w:r>
          </w:p>
        </w:tc>
        <w:tc>
          <w:tcPr>
            <w:tcW w:type="dxa" w:w="8607"/>
            <w:shd w:val="clear" w:color="auto" w:fill="EAF1F4"/>
          </w:tcPr>
          <w:p>
            <w:pPr>
              <w:spacing w:after="50" w:before="50" w:line="252" w:lineRule="auto"/>
            </w:pPr>
            <w:r>
              <w:rPr>
                <w:sz w:val="17"/>
              </w:rPr>
              <w:t>Review utilisation and pricing; confirm year 2 target of 15</w:t>
            </w:r>
          </w:p>
        </w:tc>
      </w:tr>
    </w:tbl>
    <w:p>
      <w:pPr>
        <w:spacing w:after="80" w:before="0"/>
      </w:pPr>
    </w:p>
    <w:p>
      <w:r>
        <w:rPr>
          <w:b/>
        </w:rPr>
        <w:t>Year 1 target: 6 members, ₹10,50,000 revenue, ₹7,20,000 contribution.</w:t>
      </w:r>
      <w:r>
        <w:t xml:space="preserve"> Not modelled in the year 1 plan at 12.2 — treat as upside.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EQ-UAP-111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Institutional Membership &amp; Subscription Model</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9EBCC60-F2D1-42A1-8E2A-0642D9CE22FF}"/>
</file>

<file path=customXml/itemProps3.xml><?xml version="1.0" encoding="utf-8"?>
<ds:datastoreItem xmlns:ds="http://schemas.openxmlformats.org/officeDocument/2006/customXml" ds:itemID="{EF5367AB-59DB-4312-8B6C-8DAF03FDA6AA}"/>
</file>

<file path=customXml/itemProps4.xml><?xml version="1.0" encoding="utf-8"?>
<ds:datastoreItem xmlns:ds="http://schemas.openxmlformats.org/officeDocument/2006/customXml" ds:itemID="{92CC9B38-6390-40F6-B693-F55479220C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