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shd w:val="clear" w:color="auto" w:fill="10375C"/>
      </w:pPr>
      <w:r>
        <w:rPr>
          <w:rFonts w:ascii="Calibri" w:hAnsi="Calibri"/>
          <w:b/>
          <w:caps/>
          <w:color w:val="FFFFFF"/>
          <w:sz w:val="26"/>
        </w:rPr>
        <w:t xml:space="preserve"> EQUATOR RESOLUTION</w:t>
      </w:r>
    </w:p>
    <w:p>
      <w:pPr>
        <w:spacing w:before="0" w:after="880"/>
        <w:shd w:val="clear" w:color="auto" w:fill="0E7C7B"/>
      </w:pPr>
      <w:r>
        <w:rPr>
          <w:rFonts w:ascii="Calibri" w:hAnsi="Calibri"/>
          <w:color w:val="FFFFFF"/>
          <w:sz w:val="16"/>
        </w:rPr>
        <w:t xml:space="preserve"> An Infrabyx Group venture  ·  www.equatorresolution.com</w:t>
      </w:r>
    </w:p>
    <w:p>
      <w:pPr>
        <w:spacing w:after="40"/>
      </w:pPr>
      <w:r>
        <w:rPr>
          <w:rFonts w:ascii="Calibri" w:hAnsi="Calibri"/>
          <w:b/>
          <w:caps/>
          <w:color w:val="0E7C7B"/>
          <w:sz w:val="19"/>
        </w:rPr>
        <w:t>UNIVERSITY &amp; ACADEMIC PARTNERSHIP PROGRAMME</w:t>
      </w:r>
    </w:p>
    <w:p>
      <w:pPr>
        <w:spacing w:after="120" w:line="240" w:lineRule="auto"/>
      </w:pPr>
      <w:r>
        <w:rPr>
          <w:rFonts w:ascii="Calibri" w:hAnsi="Calibri"/>
          <w:b/>
          <w:color w:val="10375C"/>
          <w:sz w:val="54"/>
        </w:rPr>
        <w:t>40-Hour Basic Mediation Training</w:t>
      </w:r>
    </w:p>
    <w:p>
      <w:pPr>
        <w:spacing w:after="280" w:line="276" w:lineRule="auto"/>
      </w:pPr>
      <w:r>
        <w:rPr>
          <w:rFonts w:ascii="Calibri" w:hAnsi="Calibri"/>
          <w:i/>
          <w:color w:val="3E6B8A"/>
          <w:sz w:val="25"/>
        </w:rPr>
        <w:t>Full curriculum, hour-by-hour session plan, simulation design, materials list and assessment specification</w:t>
      </w:r>
    </w:p>
    <w:p>
      <w:pPr>
        <w:spacing w:after="520"/>
        <w:pBdr>
          <w:bottom w:val="single" w:sz="18" w:space="1" w:color="0E7C7B"/>
        </w:pBdr>
      </w:pPr>
    </w:p>
    <w:tbl>
      <w:tblPr>
        <w:tblW w:type="auto" w:w="0"/>
        <w:jc w:val="left"/>
        <w:tblLayout w:type="fixed"/>
        <w:tblLook w:firstColumn="1" w:firstRow="1" w:lastColumn="0" w:lastRow="0" w:noHBand="0" w:noVBand="1" w:val="04A0"/>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
      <w:tblGrid>
        <w:gridCol w:w="4734"/>
        <w:gridCol w:w="4734"/>
      </w:tblGrid>
      <w:tr>
        <w:tc>
          <w:tcPr>
            <w:tcW w:type="dxa" w:w="2891"/>
            <w:shd w:val="clear" w:color="auto" w:fill="EAF1F4"/>
          </w:tcPr>
          <w:p>
            <w:pPr>
              <w:spacing w:after="60" w:before="60"/>
            </w:pPr>
            <w:r>
              <w:rPr>
                <w:rFonts w:ascii="Calibri" w:hAnsi="Calibri"/>
                <w:b/>
                <w:color w:val="10375C"/>
                <w:sz w:val="18"/>
              </w:rPr>
              <w:t>Document reference</w:t>
            </w:r>
          </w:p>
        </w:tc>
        <w:tc>
          <w:tcPr>
            <w:tcW w:type="dxa" w:w="6576"/>
          </w:tcPr>
          <w:p>
            <w:pPr>
              <w:spacing w:after="60" w:before="60"/>
            </w:pPr>
            <w:r>
              <w:rPr>
                <w:rFonts w:ascii="Calibri" w:hAnsi="Calibri"/>
                <w:color w:val="333333"/>
                <w:sz w:val="18"/>
              </w:rPr>
              <w:t>EQ-UAP-052</w:t>
            </w:r>
          </w:p>
        </w:tc>
      </w:tr>
      <w:tr>
        <w:tc>
          <w:tcPr>
            <w:tcW w:type="dxa" w:w="2891"/>
            <w:shd w:val="clear" w:color="auto" w:fill="EAF1F4"/>
          </w:tcPr>
          <w:p>
            <w:pPr>
              <w:spacing w:after="60" w:before="60"/>
            </w:pPr>
            <w:r>
              <w:rPr>
                <w:rFonts w:ascii="Calibri" w:hAnsi="Calibri"/>
                <w:b/>
                <w:color w:val="10375C"/>
                <w:sz w:val="18"/>
              </w:rPr>
              <w:t>Document family</w:t>
            </w:r>
          </w:p>
        </w:tc>
        <w:tc>
          <w:tcPr>
            <w:tcW w:type="dxa" w:w="6576"/>
          </w:tcPr>
          <w:p>
            <w:pPr>
              <w:spacing w:after="60" w:before="60"/>
            </w:pPr>
            <w:r>
              <w:rPr>
                <w:rFonts w:ascii="Calibri" w:hAnsi="Calibri"/>
                <w:color w:val="333333"/>
                <w:sz w:val="18"/>
              </w:rPr>
              <w:t>Curriculum</w:t>
            </w:r>
          </w:p>
        </w:tc>
      </w:tr>
      <w:tr>
        <w:tc>
          <w:tcPr>
            <w:tcW w:type="dxa" w:w="2891"/>
            <w:shd w:val="clear" w:color="auto" w:fill="EAF1F4"/>
          </w:tcPr>
          <w:p>
            <w:pPr>
              <w:spacing w:after="60" w:before="60"/>
            </w:pPr>
            <w:r>
              <w:rPr>
                <w:rFonts w:ascii="Calibri" w:hAnsi="Calibri"/>
                <w:b/>
                <w:color w:val="10375C"/>
                <w:sz w:val="18"/>
              </w:rPr>
              <w:t>Version</w:t>
            </w:r>
          </w:p>
        </w:tc>
        <w:tc>
          <w:tcPr>
            <w:tcW w:type="dxa" w:w="6576"/>
          </w:tcPr>
          <w:p>
            <w:pPr>
              <w:spacing w:after="60" w:before="60"/>
            </w:pPr>
            <w:r>
              <w:rPr>
                <w:rFonts w:ascii="Calibri" w:hAnsi="Calibri"/>
                <w:color w:val="333333"/>
                <w:sz w:val="18"/>
              </w:rPr>
              <w:t>v1.0   ·   Draft for legal sign-off</w:t>
            </w:r>
          </w:p>
        </w:tc>
      </w:tr>
      <w:tr>
        <w:tc>
          <w:tcPr>
            <w:tcW w:type="dxa" w:w="2891"/>
            <w:shd w:val="clear" w:color="auto" w:fill="EAF1F4"/>
          </w:tcPr>
          <w:p>
            <w:pPr>
              <w:spacing w:after="60" w:before="60"/>
            </w:pPr>
            <w:r>
              <w:rPr>
                <w:rFonts w:ascii="Calibri" w:hAnsi="Calibri"/>
                <w:b/>
                <w:color w:val="10375C"/>
                <w:sz w:val="18"/>
              </w:rPr>
              <w:t>Date of issue</w:t>
            </w:r>
          </w:p>
        </w:tc>
        <w:tc>
          <w:tcPr>
            <w:tcW w:type="dxa" w:w="6576"/>
          </w:tcPr>
          <w:p>
            <w:pPr>
              <w:spacing w:after="60" w:before="60"/>
            </w:pPr>
            <w:r>
              <w:rPr>
                <w:rFonts w:ascii="Calibri" w:hAnsi="Calibri"/>
                <w:color w:val="333333"/>
                <w:sz w:val="18"/>
              </w:rPr>
              <w:t>July 2026</w:t>
            </w:r>
          </w:p>
        </w:tc>
      </w:tr>
      <w:tr>
        <w:tc>
          <w:tcPr>
            <w:tcW w:type="dxa" w:w="2891"/>
            <w:shd w:val="clear" w:color="auto" w:fill="EAF1F4"/>
          </w:tcPr>
          <w:p>
            <w:pPr>
              <w:spacing w:after="60" w:before="60"/>
            </w:pPr>
            <w:r>
              <w:rPr>
                <w:rFonts w:ascii="Calibri" w:hAnsi="Calibri"/>
                <w:b/>
                <w:color w:val="10375C"/>
                <w:sz w:val="18"/>
              </w:rPr>
              <w:t>Law stated as at</w:t>
            </w:r>
          </w:p>
        </w:tc>
        <w:tc>
          <w:tcPr>
            <w:tcW w:type="dxa" w:w="6576"/>
          </w:tcPr>
          <w:p>
            <w:pPr>
              <w:spacing w:after="60" w:before="60"/>
            </w:pPr>
            <w:r>
              <w:rPr>
                <w:rFonts w:ascii="Calibri" w:hAnsi="Calibri"/>
                <w:color w:val="333333"/>
                <w:sz w:val="18"/>
              </w:rPr>
              <w:t>22 July 2026</w:t>
            </w:r>
          </w:p>
        </w:tc>
      </w:tr>
      <w:tr>
        <w:tc>
          <w:tcPr>
            <w:tcW w:type="dxa" w:w="2891"/>
            <w:shd w:val="clear" w:color="auto" w:fill="EAF1F4"/>
          </w:tcPr>
          <w:p>
            <w:pPr>
              <w:spacing w:after="60" w:before="60"/>
            </w:pPr>
            <w:r>
              <w:rPr>
                <w:rFonts w:ascii="Calibri" w:hAnsi="Calibri"/>
                <w:b/>
                <w:color w:val="10375C"/>
                <w:sz w:val="18"/>
              </w:rPr>
              <w:t>Owner</w:t>
            </w:r>
          </w:p>
        </w:tc>
        <w:tc>
          <w:tcPr>
            <w:tcW w:type="dxa" w:w="6576"/>
          </w:tcPr>
          <w:p>
            <w:pPr>
              <w:spacing w:after="60" w:before="60"/>
            </w:pPr>
            <w:r>
              <w:rPr>
                <w:rFonts w:ascii="Calibri" w:hAnsi="Calibri"/>
                <w:color w:val="333333"/>
                <w:sz w:val="18"/>
              </w:rPr>
              <w:t>Director — Academic Partnerships, Equator ADR Institute</w:t>
            </w:r>
          </w:p>
        </w:tc>
      </w:tr>
      <w:tr>
        <w:tc>
          <w:tcPr>
            <w:tcW w:type="dxa" w:w="2891"/>
            <w:shd w:val="clear" w:color="auto" w:fill="EAF1F4"/>
          </w:tcPr>
          <w:p>
            <w:pPr>
              <w:spacing w:after="60" w:before="60"/>
            </w:pPr>
            <w:r>
              <w:rPr>
                <w:rFonts w:ascii="Calibri" w:hAnsi="Calibri"/>
                <w:b/>
                <w:color w:val="10375C"/>
                <w:sz w:val="18"/>
              </w:rPr>
              <w:t>Approver</w:t>
            </w:r>
          </w:p>
        </w:tc>
        <w:tc>
          <w:tcPr>
            <w:tcW w:type="dxa" w:w="6576"/>
          </w:tcPr>
          <w:p>
            <w:pPr>
              <w:spacing w:after="60" w:before="60"/>
            </w:pPr>
            <w:r>
              <w:rPr>
                <w:rFonts w:ascii="Calibri" w:hAnsi="Calibri"/>
                <w:color w:val="333333"/>
                <w:sz w:val="18"/>
              </w:rPr>
              <w:t>Managing Director, Equator Resolution</w:t>
            </w:r>
          </w:p>
        </w:tc>
      </w:tr>
      <w:tr>
        <w:tc>
          <w:tcPr>
            <w:tcW w:type="dxa" w:w="2891"/>
            <w:shd w:val="clear" w:color="auto" w:fill="EAF1F4"/>
          </w:tcPr>
          <w:p>
            <w:pPr>
              <w:spacing w:after="60" w:before="60"/>
            </w:pPr>
            <w:r>
              <w:rPr>
                <w:rFonts w:ascii="Calibri" w:hAnsi="Calibri"/>
                <w:b/>
                <w:color w:val="10375C"/>
                <w:sz w:val="18"/>
              </w:rPr>
              <w:t>Classification</w:t>
            </w:r>
          </w:p>
        </w:tc>
        <w:tc>
          <w:tcPr>
            <w:tcW w:type="dxa" w:w="6576"/>
          </w:tcPr>
          <w:p>
            <w:pPr>
              <w:spacing w:after="60" w:before="60"/>
            </w:pPr>
            <w:r>
              <w:rPr>
                <w:rFonts w:ascii="Calibri" w:hAnsi="Calibri"/>
                <w:color w:val="333333"/>
                <w:sz w:val="18"/>
              </w:rPr>
              <w:t>Confidential — Internal. Curriculum is proprietary Institute material.</w:t>
            </w:r>
          </w:p>
        </w:tc>
      </w:tr>
    </w:tbl>
    <w:p>
      <w:pPr>
        <w:spacing w:before="600"/>
        <w:ind w:left="170"/>
        <w:pBdr>
          <w:left w:val="single" w:sz="18" w:space="6" w:color="8A5A00"/>
        </w:pBdr>
        <w:shd w:val="clear" w:color="auto" w:fill="FDF6EC"/>
      </w:pPr>
      <w:r>
        <w:rPr>
          <w:b/>
          <w:color w:val="8A5A00"/>
          <w:sz w:val="17"/>
        </w:rPr>
        <w:t xml:space="preserve">Not legal advice.  </w:t>
      </w:r>
      <w:r>
        <w:rPr>
          <w:color w:val="595959"/>
          <w:sz w:val="17"/>
        </w:rPr>
        <w:t>This document is a working draft prepared for Equator Resolution. Before it is used with any institution, student or party it must be reviewed by qualified counsel and, where personal data is involved, by the Data Protection Officer. Items marked [verify] must be cleared in the Master Legal Sign-off Register.</w:t>
      </w:r>
    </w:p>
    <w:p>
      <w:r>
        <w:br w:type="page"/>
      </w:r>
    </w:p>
    <w:p>
      <w:pPr>
        <w:spacing w:after="200"/>
        <w:pBdr>
          <w:bottom w:val="single" w:sz="10" w:space="4" w:color="0E7C7B"/>
        </w:pBdr>
      </w:pPr>
      <w:r>
        <w:rPr>
          <w:rFonts w:ascii="Calibri" w:hAnsi="Calibri"/>
          <w:b/>
          <w:color w:val="10375C"/>
          <w:sz w:val="31"/>
        </w:rPr>
        <w:t>Document control</w:t>
      </w:r>
    </w:p>
    <w:p>
      <w:pPr>
        <w:spacing w:before="240" w:after="80"/>
        <w:keepNext w:val="1"/>
      </w:pPr>
      <w:r>
        <w:rPr>
          <w:rFonts w:ascii="Calibri" w:hAnsi="Calibri"/>
          <w:b/>
          <w:color w:val="0E7C7B"/>
          <w:sz w:val="22"/>
        </w:rPr>
        <w:t>Version history</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894"/>
        <w:gridCol w:w="1894"/>
        <w:gridCol w:w="1894"/>
        <w:gridCol w:w="1894"/>
        <w:gridCol w:w="1894"/>
      </w:tblGrid>
      <w:tr>
        <w:trPr>
          <w:tblHeader w:val="true"/>
        </w:trPr>
        <w:tc>
          <w:tcPr>
            <w:tcW w:type="dxa" w:w="964"/>
            <w:shd w:val="clear" w:color="auto" w:fill="10375C"/>
          </w:tcPr>
          <w:p>
            <w:pPr>
              <w:spacing w:after="40" w:before="40"/>
            </w:pPr>
            <w:r>
              <w:rPr>
                <w:rFonts w:ascii="Calibri" w:hAnsi="Calibri"/>
                <w:b/>
                <w:color w:val="FFFFFF"/>
                <w:sz w:val="17"/>
              </w:rPr>
              <w:t>Version</w:t>
            </w:r>
          </w:p>
        </w:tc>
        <w:tc>
          <w:tcPr>
            <w:tcW w:type="dxa" w:w="1304"/>
            <w:shd w:val="clear" w:color="auto" w:fill="10375C"/>
          </w:tcPr>
          <w:p>
            <w:pPr>
              <w:spacing w:after="40" w:before="40"/>
            </w:pPr>
            <w:r>
              <w:rPr>
                <w:rFonts w:ascii="Calibri" w:hAnsi="Calibri"/>
                <w:b/>
                <w:color w:val="FFFFFF"/>
                <w:sz w:val="17"/>
              </w:rPr>
              <w:t>Date</w:t>
            </w:r>
          </w:p>
        </w:tc>
        <w:tc>
          <w:tcPr>
            <w:tcW w:type="dxa" w:w="2041"/>
            <w:shd w:val="clear" w:color="auto" w:fill="10375C"/>
          </w:tcPr>
          <w:p>
            <w:pPr>
              <w:spacing w:after="40" w:before="40"/>
            </w:pPr>
            <w:r>
              <w:rPr>
                <w:rFonts w:ascii="Calibri" w:hAnsi="Calibri"/>
                <w:b/>
                <w:color w:val="FFFFFF"/>
                <w:sz w:val="17"/>
              </w:rPr>
              <w:t>Author</w:t>
            </w:r>
          </w:p>
        </w:tc>
        <w:tc>
          <w:tcPr>
            <w:tcW w:type="dxa" w:w="3742"/>
            <w:shd w:val="clear" w:color="auto" w:fill="10375C"/>
          </w:tcPr>
          <w:p>
            <w:pPr>
              <w:spacing w:after="40" w:before="40"/>
            </w:pPr>
            <w:r>
              <w:rPr>
                <w:rFonts w:ascii="Calibri" w:hAnsi="Calibri"/>
                <w:b/>
                <w:color w:val="FFFFFF"/>
                <w:sz w:val="17"/>
              </w:rPr>
              <w:t>Summary of change</w:t>
            </w:r>
          </w:p>
        </w:tc>
        <w:tc>
          <w:tcPr>
            <w:tcW w:type="dxa" w:w="1417"/>
            <w:shd w:val="clear" w:color="auto" w:fill="10375C"/>
          </w:tcPr>
          <w:p>
            <w:pPr>
              <w:spacing w:after="40" w:before="40"/>
            </w:pPr>
            <w:r>
              <w:rPr>
                <w:rFonts w:ascii="Calibri" w:hAnsi="Calibri"/>
                <w:b/>
                <w:color w:val="FFFFFF"/>
                <w:sz w:val="17"/>
              </w:rPr>
              <w:t>Status</w:t>
            </w:r>
          </w:p>
        </w:tc>
      </w:tr>
      <w:tr>
        <w:tc>
          <w:tcPr>
            <w:tcW w:type="dxa" w:w="964"/>
          </w:tcPr>
          <w:p>
            <w:pPr>
              <w:spacing w:after="40" w:before="40"/>
            </w:pPr>
            <w:r>
              <w:rPr>
                <w:rFonts w:ascii="Calibri" w:hAnsi="Calibri"/>
                <w:sz w:val="17"/>
              </w:rPr>
              <w:t>0.1</w:t>
            </w:r>
          </w:p>
        </w:tc>
        <w:tc>
          <w:tcPr>
            <w:tcW w:type="dxa" w:w="1304"/>
          </w:tcPr>
          <w:p>
            <w:pPr>
              <w:spacing w:after="40" w:before="40"/>
            </w:pPr>
            <w:r>
              <w:rPr>
                <w:rFonts w:ascii="Calibri" w:hAnsi="Calibri"/>
                <w:sz w:val="17"/>
              </w:rPr>
              <w:t>July 2026</w:t>
            </w:r>
          </w:p>
        </w:tc>
        <w:tc>
          <w:tcPr>
            <w:tcW w:type="dxa" w:w="2041"/>
          </w:tcPr>
          <w:p>
            <w:pPr>
              <w:spacing w:after="40" w:before="40"/>
            </w:pPr>
            <w:r>
              <w:rPr>
                <w:rFonts w:ascii="Calibri" w:hAnsi="Calibri"/>
                <w:sz w:val="17"/>
              </w:rPr>
              <w:t>Equator ADR Institute</w:t>
            </w:r>
          </w:p>
        </w:tc>
        <w:tc>
          <w:tcPr>
            <w:tcW w:type="dxa" w:w="3742"/>
          </w:tcPr>
          <w:p>
            <w:pPr>
              <w:spacing w:after="40" w:before="40"/>
            </w:pPr>
            <w:r>
              <w:rPr>
                <w:rFonts w:ascii="Calibri" w:hAnsi="Calibri"/>
                <w:sz w:val="17"/>
              </w:rPr>
              <w:t>Initial drafting</w:t>
            </w:r>
          </w:p>
        </w:tc>
        <w:tc>
          <w:tcPr>
            <w:tcW w:type="dxa" w:w="1417"/>
          </w:tcPr>
          <w:p>
            <w:pPr>
              <w:spacing w:after="40" w:before="40"/>
            </w:pPr>
            <w:r>
              <w:rPr>
                <w:rFonts w:ascii="Calibri" w:hAnsi="Calibri"/>
                <w:sz w:val="17"/>
              </w:rPr>
              <w:t>Superseded</w:t>
            </w:r>
          </w:p>
        </w:tc>
      </w:tr>
      <w:tr>
        <w:tc>
          <w:tcPr>
            <w:tcW w:type="dxa" w:w="964"/>
            <w:shd w:val="clear" w:color="auto" w:fill="EAF1F4"/>
          </w:tcPr>
          <w:p>
            <w:pPr>
              <w:spacing w:after="40" w:before="40"/>
            </w:pPr>
            <w:r>
              <w:rPr>
                <w:rFonts w:ascii="Calibri" w:hAnsi="Calibri"/>
                <w:sz w:val="17"/>
              </w:rPr>
              <w:t>1.0</w:t>
            </w:r>
          </w:p>
        </w:tc>
        <w:tc>
          <w:tcPr>
            <w:tcW w:type="dxa" w:w="1304"/>
            <w:shd w:val="clear" w:color="auto" w:fill="EAF1F4"/>
          </w:tcPr>
          <w:p>
            <w:pPr>
              <w:spacing w:after="40" w:before="40"/>
            </w:pPr>
            <w:r>
              <w:rPr>
                <w:rFonts w:ascii="Calibri" w:hAnsi="Calibri"/>
                <w:sz w:val="17"/>
              </w:rPr>
              <w:t>July 2026</w:t>
            </w:r>
          </w:p>
        </w:tc>
        <w:tc>
          <w:tcPr>
            <w:tcW w:type="dxa" w:w="2041"/>
            <w:shd w:val="clear" w:color="auto" w:fill="EAF1F4"/>
          </w:tcPr>
          <w:p>
            <w:pPr>
              <w:spacing w:after="40" w:before="40"/>
            </w:pPr>
            <w:r>
              <w:rPr>
                <w:rFonts w:ascii="Calibri" w:hAnsi="Calibri"/>
                <w:sz w:val="17"/>
              </w:rPr>
              <w:t>Equator ADR Institute</w:t>
            </w:r>
          </w:p>
        </w:tc>
        <w:tc>
          <w:tcPr>
            <w:tcW w:type="dxa" w:w="3742"/>
            <w:shd w:val="clear" w:color="auto" w:fill="EAF1F4"/>
          </w:tcPr>
          <w:p>
            <w:pPr>
              <w:spacing w:after="40" w:before="40"/>
            </w:pPr>
            <w:r>
              <w:rPr>
                <w:rFonts w:ascii="Calibri" w:hAnsi="Calibri"/>
                <w:sz w:val="17"/>
              </w:rPr>
              <w:t>First complete issue for legal review</w:t>
            </w:r>
          </w:p>
        </w:tc>
        <w:tc>
          <w:tcPr>
            <w:tcW w:type="dxa" w:w="1417"/>
            <w:shd w:val="clear" w:color="auto" w:fill="EAF1F4"/>
          </w:tcPr>
          <w:p>
            <w:pPr>
              <w:spacing w:after="40" w:before="40"/>
            </w:pPr>
            <w:r>
              <w:rPr>
                <w:rFonts w:ascii="Calibri" w:hAnsi="Calibri"/>
                <w:sz w:val="17"/>
              </w:rPr>
              <w:t>Draft for legal sign-off</w:t>
            </w:r>
          </w:p>
        </w:tc>
      </w:tr>
      <w:tr>
        <w:tc>
          <w:tcPr>
            <w:tcW w:type="dxa" w:w="964"/>
          </w:tcPr>
          <w:p>
            <w:pPr>
              <w:spacing w:after="40" w:before="40"/>
            </w:pPr>
            <w:r>
              <w:rPr>
                <w:rFonts w:ascii="Calibri" w:hAnsi="Calibri"/>
                <w:sz w:val="17"/>
              </w:rPr>
            </w:r>
          </w:p>
        </w:tc>
        <w:tc>
          <w:tcPr>
            <w:tcW w:type="dxa" w:w="1304"/>
          </w:tcPr>
          <w:p>
            <w:pPr>
              <w:spacing w:after="40" w:before="40"/>
            </w:pPr>
            <w:r>
              <w:rPr>
                <w:rFonts w:ascii="Calibri" w:hAnsi="Calibri"/>
                <w:sz w:val="17"/>
              </w:rPr>
            </w:r>
          </w:p>
        </w:tc>
        <w:tc>
          <w:tcPr>
            <w:tcW w:type="dxa" w:w="2041"/>
          </w:tcPr>
          <w:p>
            <w:pPr>
              <w:spacing w:after="40" w:before="40"/>
            </w:pPr>
            <w:r>
              <w:rPr>
                <w:rFonts w:ascii="Calibri" w:hAnsi="Calibri"/>
                <w:sz w:val="17"/>
              </w:rPr>
            </w:r>
          </w:p>
        </w:tc>
        <w:tc>
          <w:tcPr>
            <w:tcW w:type="dxa" w:w="3742"/>
          </w:tcPr>
          <w:p>
            <w:pPr>
              <w:spacing w:after="40" w:before="40"/>
            </w:pPr>
            <w:r>
              <w:rPr>
                <w:rFonts w:ascii="Calibri" w:hAnsi="Calibri"/>
                <w:sz w:val="17"/>
              </w:rPr>
            </w:r>
          </w:p>
        </w:tc>
        <w:tc>
          <w:tcPr>
            <w:tcW w:type="dxa" w:w="1417"/>
          </w:tcPr>
          <w:p>
            <w:pPr>
              <w:spacing w:after="40" w:before="40"/>
            </w:pPr>
            <w:r>
              <w:rPr>
                <w:rFonts w:ascii="Calibri" w:hAnsi="Calibri"/>
                <w:sz w:val="17"/>
              </w:rPr>
            </w:r>
          </w:p>
        </w:tc>
      </w:tr>
      <w:tr>
        <w:tc>
          <w:tcPr>
            <w:tcW w:type="dxa" w:w="964"/>
            <w:shd w:val="clear" w:color="auto" w:fill="EAF1F4"/>
          </w:tcPr>
          <w:p>
            <w:pPr>
              <w:spacing w:after="40" w:before="40"/>
            </w:pPr>
            <w:r>
              <w:rPr>
                <w:rFonts w:ascii="Calibri" w:hAnsi="Calibri"/>
                <w:sz w:val="17"/>
              </w:rPr>
            </w:r>
          </w:p>
        </w:tc>
        <w:tc>
          <w:tcPr>
            <w:tcW w:type="dxa" w:w="1304"/>
            <w:shd w:val="clear" w:color="auto" w:fill="EAF1F4"/>
          </w:tcPr>
          <w:p>
            <w:pPr>
              <w:spacing w:after="40" w:before="40"/>
            </w:pPr>
            <w:r>
              <w:rPr>
                <w:rFonts w:ascii="Calibri" w:hAnsi="Calibri"/>
                <w:sz w:val="17"/>
              </w:rPr>
            </w:r>
          </w:p>
        </w:tc>
        <w:tc>
          <w:tcPr>
            <w:tcW w:type="dxa" w:w="2041"/>
            <w:shd w:val="clear" w:color="auto" w:fill="EAF1F4"/>
          </w:tcPr>
          <w:p>
            <w:pPr>
              <w:spacing w:after="40" w:before="40"/>
            </w:pPr>
            <w:r>
              <w:rPr>
                <w:rFonts w:ascii="Calibri" w:hAnsi="Calibri"/>
                <w:sz w:val="17"/>
              </w:rPr>
            </w:r>
          </w:p>
        </w:tc>
        <w:tc>
          <w:tcPr>
            <w:tcW w:type="dxa" w:w="3742"/>
            <w:shd w:val="clear" w:color="auto" w:fill="EAF1F4"/>
          </w:tcPr>
          <w:p>
            <w:pPr>
              <w:spacing w:after="40" w:before="40"/>
            </w:pPr>
            <w:r>
              <w:rPr>
                <w:rFonts w:ascii="Calibri" w:hAnsi="Calibri"/>
                <w:sz w:val="17"/>
              </w:rPr>
            </w:r>
          </w:p>
        </w:tc>
        <w:tc>
          <w:tcPr>
            <w:tcW w:type="dxa" w:w="1417"/>
            <w:shd w:val="clear" w:color="auto" w:fill="EAF1F4"/>
          </w:tcPr>
          <w:p>
            <w:pPr>
              <w:spacing w:after="40" w:before="40"/>
            </w:pPr>
            <w:r>
              <w:rPr>
                <w:rFonts w:ascii="Calibri" w:hAnsi="Calibri"/>
                <w:sz w:val="17"/>
              </w:rPr>
            </w:r>
          </w:p>
        </w:tc>
      </w:tr>
    </w:tbl>
    <w:p>
      <w:pPr>
        <w:spacing w:before="240" w:after="80"/>
        <w:keepNext w:val="1"/>
      </w:pPr>
      <w:r>
        <w:rPr>
          <w:rFonts w:ascii="Calibri" w:hAnsi="Calibri"/>
          <w:b/>
          <w:color w:val="0E7C7B"/>
          <w:sz w:val="22"/>
        </w:rPr>
        <w:t>Review and approval</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2098"/>
            <w:shd w:val="clear" w:color="auto" w:fill="10375C"/>
          </w:tcPr>
          <w:p>
            <w:pPr>
              <w:spacing w:after="40" w:before="40"/>
            </w:pPr>
            <w:r>
              <w:rPr>
                <w:rFonts w:ascii="Calibri" w:hAnsi="Calibri"/>
                <w:b/>
                <w:color w:val="FFFFFF"/>
                <w:sz w:val="17"/>
              </w:rPr>
              <w:t>Role</w:t>
            </w:r>
          </w:p>
        </w:tc>
        <w:tc>
          <w:tcPr>
            <w:tcW w:type="dxa" w:w="1928"/>
            <w:shd w:val="clear" w:color="auto" w:fill="10375C"/>
          </w:tcPr>
          <w:p>
            <w:pPr>
              <w:spacing w:after="40" w:before="40"/>
            </w:pPr>
            <w:r>
              <w:rPr>
                <w:rFonts w:ascii="Calibri" w:hAnsi="Calibri"/>
                <w:b/>
                <w:color w:val="FFFFFF"/>
                <w:sz w:val="17"/>
              </w:rPr>
              <w:t>Name</w:t>
            </w:r>
          </w:p>
        </w:tc>
        <w:tc>
          <w:tcPr>
            <w:tcW w:type="dxa" w:w="3628"/>
            <w:shd w:val="clear" w:color="auto" w:fill="10375C"/>
          </w:tcPr>
          <w:p>
            <w:pPr>
              <w:spacing w:after="40" w:before="40"/>
            </w:pPr>
            <w:r>
              <w:rPr>
                <w:rFonts w:ascii="Calibri" w:hAnsi="Calibri"/>
                <w:b/>
                <w:color w:val="FFFFFF"/>
                <w:sz w:val="17"/>
              </w:rPr>
              <w:t>Responsibility</w:t>
            </w:r>
          </w:p>
        </w:tc>
        <w:tc>
          <w:tcPr>
            <w:tcW w:type="dxa" w:w="1814"/>
            <w:shd w:val="clear" w:color="auto" w:fill="10375C"/>
          </w:tcPr>
          <w:p>
            <w:pPr>
              <w:spacing w:after="40" w:before="40"/>
            </w:pPr>
            <w:r>
              <w:rPr>
                <w:rFonts w:ascii="Calibri" w:hAnsi="Calibri"/>
                <w:b/>
                <w:color w:val="FFFFFF"/>
                <w:sz w:val="17"/>
              </w:rPr>
              <w:t>Signature / date</w:t>
            </w:r>
          </w:p>
        </w:tc>
      </w:tr>
      <w:tr>
        <w:tc>
          <w:tcPr>
            <w:tcW w:type="dxa" w:w="2098"/>
          </w:tcPr>
          <w:p>
            <w:pPr>
              <w:spacing w:after="40" w:before="40"/>
            </w:pPr>
            <w:r>
              <w:rPr>
                <w:rFonts w:ascii="Calibri" w:hAnsi="Calibri"/>
                <w:sz w:val="17"/>
              </w:rPr>
              <w:t>Preparer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Drafting and factual accuracy</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Reviewer — Legal</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Statutory compliance; clause risk</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Reviewer — Finance</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Pricing, tax and revenue treatment</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Data Protection Officer</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DPDP Act 2023 and Rules 2025 compliance</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Approver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Final approval for issue</w:t>
            </w:r>
          </w:p>
        </w:tc>
        <w:tc>
          <w:tcPr>
            <w:tcW w:type="dxa" w:w="1814"/>
          </w:tcPr>
          <w:p>
            <w:pPr>
              <w:spacing w:after="40" w:before="40"/>
            </w:pPr>
            <w:r>
              <w:rPr>
                <w:rFonts w:ascii="Calibri" w:hAnsi="Calibri"/>
                <w:sz w:val="17"/>
              </w:rPr>
            </w:r>
          </w:p>
        </w:tc>
      </w:tr>
    </w:tbl>
    <w:p>
      <w:pPr>
        <w:spacing w:before="240" w:after="80"/>
        <w:keepNext w:val="1"/>
      </w:pPr>
      <w:r>
        <w:rPr>
          <w:rFonts w:ascii="Calibri" w:hAnsi="Calibri"/>
          <w:b/>
          <w:color w:val="0E7C7B"/>
          <w:sz w:val="22"/>
        </w:rPr>
        <w:t>Distribution and related documents</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608"/>
            <w:shd w:val="clear" w:color="auto" w:fill="10375C"/>
          </w:tcPr>
          <w:p>
            <w:pPr>
              <w:spacing w:after="40" w:before="40"/>
            </w:pPr>
            <w:r>
              <w:rPr>
                <w:rFonts w:ascii="Calibri" w:hAnsi="Calibri"/>
                <w:b/>
                <w:color w:val="FFFFFF"/>
                <w:sz w:val="17"/>
              </w:rPr>
              <w:t>Item</w:t>
            </w:r>
          </w:p>
        </w:tc>
        <w:tc>
          <w:tcPr>
            <w:tcW w:type="dxa" w:w="6860"/>
            <w:shd w:val="clear" w:color="auto" w:fill="10375C"/>
          </w:tcPr>
          <w:p>
            <w:pPr>
              <w:spacing w:after="40" w:before="40"/>
            </w:pPr>
            <w:r>
              <w:rPr>
                <w:rFonts w:ascii="Calibri" w:hAnsi="Calibri"/>
                <w:b/>
                <w:color w:val="FFFFFF"/>
                <w:sz w:val="17"/>
              </w:rPr>
              <w:t>Detail</w:t>
            </w:r>
          </w:p>
        </w:tc>
      </w:tr>
      <w:tr>
        <w:tc>
          <w:tcPr>
            <w:tcW w:type="dxa" w:w="2608"/>
          </w:tcPr>
          <w:p>
            <w:pPr>
              <w:spacing w:after="40" w:before="40"/>
            </w:pPr>
            <w:r>
              <w:rPr>
                <w:rFonts w:ascii="Calibri" w:hAnsi="Calibri"/>
                <w:sz w:val="17"/>
              </w:rPr>
              <w:t>Primary distribution</w:t>
            </w:r>
          </w:p>
        </w:tc>
        <w:tc>
          <w:tcPr>
            <w:tcW w:type="dxa" w:w="6860"/>
          </w:tcPr>
          <w:p>
            <w:pPr>
              <w:spacing w:after="40" w:before="40"/>
            </w:pPr>
            <w:r>
              <w:rPr>
                <w:rFonts w:ascii="Calibri" w:hAnsi="Calibri"/>
                <w:sz w:val="17"/>
              </w:rPr>
              <w:t>Managing Director; Director — Academic Partnerships; Legal; Finance</w:t>
            </w:r>
          </w:p>
        </w:tc>
      </w:tr>
      <w:tr>
        <w:tc>
          <w:tcPr>
            <w:tcW w:type="dxa" w:w="2608"/>
            <w:shd w:val="clear" w:color="auto" w:fill="EAF1F4"/>
          </w:tcPr>
          <w:p>
            <w:pPr>
              <w:spacing w:after="40" w:before="40"/>
            </w:pPr>
            <w:r>
              <w:rPr>
                <w:rFonts w:ascii="Calibri" w:hAnsi="Calibri"/>
                <w:sz w:val="17"/>
              </w:rPr>
              <w:t>Counterparty distribution</w:t>
            </w:r>
          </w:p>
        </w:tc>
        <w:tc>
          <w:tcPr>
            <w:tcW w:type="dxa" w:w="6860"/>
            <w:shd w:val="clear" w:color="auto" w:fill="EAF1F4"/>
          </w:tcPr>
          <w:p>
            <w:pPr>
              <w:spacing w:after="40" w:before="40"/>
            </w:pPr>
            <w:r>
              <w:rPr>
                <w:rFonts w:ascii="Calibri" w:hAnsi="Calibri"/>
                <w:sz w:val="17"/>
              </w:rPr>
              <w:t>Not for external release without approval</w:t>
            </w:r>
          </w:p>
        </w:tc>
      </w:tr>
      <w:tr>
        <w:tc>
          <w:tcPr>
            <w:tcW w:type="dxa" w:w="2608"/>
          </w:tcPr>
          <w:p>
            <w:pPr>
              <w:spacing w:after="40" w:before="40"/>
            </w:pPr>
            <w:r>
              <w:rPr>
                <w:rFonts w:ascii="Calibri" w:hAnsi="Calibri"/>
                <w:sz w:val="17"/>
              </w:rPr>
              <w:t>Related documents</w:t>
            </w:r>
          </w:p>
        </w:tc>
        <w:tc>
          <w:tcPr>
            <w:tcW w:type="dxa" w:w="6860"/>
          </w:tcPr>
          <w:p>
            <w:pPr>
              <w:spacing w:after="40" w:before="40"/>
            </w:pPr>
            <w:r>
              <w:rPr>
                <w:rFonts w:ascii="Calibri" w:hAnsi="Calibri"/>
                <w:sz w:val="17"/>
              </w:rPr>
              <w:t>See 00 — READ ME, University Partnership Programme</w:t>
            </w:r>
          </w:p>
        </w:tc>
      </w:tr>
      <w:tr>
        <w:tc>
          <w:tcPr>
            <w:tcW w:type="dxa" w:w="2608"/>
            <w:shd w:val="clear" w:color="auto" w:fill="EAF1F4"/>
          </w:tcPr>
          <w:p>
            <w:pPr>
              <w:spacing w:after="40" w:before="40"/>
            </w:pPr>
            <w:r>
              <w:rPr>
                <w:rFonts w:ascii="Calibri" w:hAnsi="Calibri"/>
                <w:sz w:val="17"/>
              </w:rPr>
              <w:t>Retention</w:t>
            </w:r>
          </w:p>
        </w:tc>
        <w:tc>
          <w:tcPr>
            <w:tcW w:type="dxa" w:w="6860"/>
            <w:shd w:val="clear" w:color="auto" w:fill="EAF1F4"/>
          </w:tcPr>
          <w:p>
            <w:pPr>
              <w:spacing w:after="40" w:before="40"/>
            </w:pPr>
            <w:r>
              <w:rPr>
                <w:rFonts w:ascii="Calibri" w:hAnsi="Calibri"/>
                <w:sz w:val="17"/>
              </w:rPr>
              <w:t>7 years from expiry of the related MOU, unless a longer statutory period applies</w:t>
            </w:r>
          </w:p>
        </w:tc>
      </w:tr>
      <w:tr>
        <w:tc>
          <w:tcPr>
            <w:tcW w:type="dxa" w:w="2608"/>
          </w:tcPr>
          <w:p>
            <w:pPr>
              <w:spacing w:after="40" w:before="40"/>
            </w:pPr>
            <w:r>
              <w:rPr>
                <w:rFonts w:ascii="Calibri" w:hAnsi="Calibri"/>
                <w:sz w:val="17"/>
              </w:rPr>
              <w:t>Review cycle</w:t>
            </w:r>
          </w:p>
        </w:tc>
        <w:tc>
          <w:tcPr>
            <w:tcW w:type="dxa" w:w="6860"/>
          </w:tcPr>
          <w:p>
            <w:pPr>
              <w:spacing w:after="40" w:before="40"/>
            </w:pPr>
            <w:r>
              <w:rPr>
                <w:rFonts w:ascii="Calibri" w:hAnsi="Calibri"/>
                <w:sz w:val="17"/>
              </w:rPr>
              <w:t>Annual, or on any change of law affecting the subject matter</w:t>
            </w:r>
          </w:p>
        </w:tc>
      </w:tr>
    </w:tbl>
    <w:p>
      <w:r>
        <w:br w:type="page"/>
      </w:r>
    </w:p>
    <w:p>
      <w:pPr>
        <w:spacing w:after="160"/>
        <w:pBdr>
          <w:bottom w:val="single" w:sz="10" w:space="4" w:color="0E7C7B"/>
        </w:pBdr>
      </w:pPr>
      <w:r>
        <w:rPr>
          <w:rFonts w:ascii="Calibri" w:hAnsi="Calibri"/>
          <w:b/>
          <w:color w:val="10375C"/>
          <w:sz w:val="31"/>
        </w:rPr>
        <w:t>Contents</w:t>
      </w:r>
    </w:p>
    <w:p>
      <w:r>
        <w:rPr>
          <w:i/>
          <w:color w:val="595959"/>
          <w:sz w:val="16"/>
        </w:rPr>
        <w:t>This table of contents is a live field. Open in Word, select all (Ctrl+A) and press F9 to populate or refresh it.</w:t>
      </w:r>
    </w:p>
    <w:p>
      <w:r>
        <w:fldChar w:fldCharType="begin"/>
      </w:r>
      <w:r>
        <w:instrText xml:space="preserve"> TOC \o "1-3" \h \z \u </w:instrText>
      </w:r>
      <w:r>
        <w:fldChar w:fldCharType="separate"/>
      </w:r>
      <w:r>
        <w:t>…</w:t>
      </w:r>
      <w:r>
        <w:fldChar w:fldCharType="end"/>
      </w:r>
    </w:p>
    <w:p>
      <w:r>
        <w:br w:type="page"/>
      </w:r>
    </w:p>
    <w:p>
      <w:pPr>
        <w:pStyle w:val="Heading1"/>
        <w:pBdr>
          <w:bottom w:val="single" w:sz="8" w:space="4" w:color="C9D6DE"/>
        </w:pBdr>
      </w:pPr>
      <w:r>
        <w:t>1. Programme rationale and standard</w:t>
      </w:r>
    </w:p>
    <w:p>
      <w:r>
        <w:t xml:space="preserve">This is Equator's foundational programme. It is structured in line with </w:t>
      </w:r>
      <w:r>
        <w:rPr>
          <w:b/>
        </w:rPr>
        <w:t>prevailing court-annexed mediation training norms of 40 hours basic training</w:t>
      </w:r>
      <w:r>
        <w:t>, followed by supervised practice and a 20-hour advanced course, which is the benchmark against which mediator competence is currently assessed in India.</w:t>
      </w:r>
    </w:p>
    <w:p>
      <w:pPr>
        <w:spacing w:before="140" w:after="140"/>
        <w:ind w:left="198" w:right="113"/>
        <w:shd w:val="clear" w:color="auto" w:fill="EAF1F4"/>
        <w:pBdr>
          <w:left w:val="single" w:sz="18" w:space="6" w:color="0E7C7B"/>
        </w:pBdr>
      </w:pPr>
      <w:r>
        <w:rPr>
          <w:b/>
          <w:sz w:val="19"/>
        </w:rPr>
        <w:t>Representation discipline.</w:t>
      </w:r>
      <w:r>
        <w:rPr>
          <w:sz w:val="19"/>
        </w:rPr>
        <w:t xml:space="preserve"> The Mediation Council of India contemplated by the Mediation Act, 2023 is not yet constituted. This programme is </w:t>
      </w:r>
      <w:r>
        <w:rPr>
          <w:b/>
          <w:sz w:val="19"/>
        </w:rPr>
        <w:t>designed in line with</w:t>
      </w:r>
      <w:r>
        <w:rPr>
          <w:sz w:val="19"/>
        </w:rPr>
        <w:t xml:space="preserve"> prevailing court-annexed norms. It is </w:t>
      </w:r>
      <w:r>
        <w:rPr>
          <w:b/>
          <w:sz w:val="19"/>
        </w:rPr>
        <w:t>not</w:t>
      </w:r>
      <w:r>
        <w:rPr>
          <w:sz w:val="19"/>
        </w:rPr>
        <w:t xml:space="preserve"> accredited, recognised or approved by the Council or by any Government authority, and no such claim may be made in any communication. The curriculum is deliberately modular so that it can be re-mapped promptly when Council standards are notified. </w:t>
      </w:r>
      <w:r>
        <w:rPr>
          <w:b/>
          <w:sz w:val="19"/>
        </w:rPr>
        <w:t>[verify — U6.]</w:t>
      </w:r>
    </w:p>
    <w:p>
      <w:pPr>
        <w:pStyle w:val="Heading2"/>
      </w:pPr>
      <w:r>
        <w:t>1.1 Design principles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3107"/>
            <w:shd w:val="clear" w:color="auto" w:fill="10375C"/>
          </w:tcPr>
          <w:p>
            <w:pPr>
              <w:spacing w:after="50" w:before="50"/>
            </w:pPr>
            <w:r>
              <w:rPr>
                <w:b/>
                <w:color w:val="FFFFFF"/>
                <w:sz w:val="17"/>
              </w:rPr>
              <w:t>Principle</w:t>
            </w:r>
          </w:p>
        </w:tc>
        <w:tc>
          <w:tcPr>
            <w:tcW w:type="dxa" w:w="6361"/>
            <w:shd w:val="clear" w:color="auto" w:fill="10375C"/>
          </w:tcPr>
          <w:p>
            <w:pPr>
              <w:spacing w:after="50" w:before="50"/>
            </w:pPr>
            <w:r>
              <w:rPr>
                <w:b/>
                <w:color w:val="FFFFFF"/>
                <w:sz w:val="17"/>
              </w:rPr>
              <w:t>Application</w:t>
            </w:r>
          </w:p>
        </w:tc>
      </w:tr>
      <w:tr>
        <w:tc>
          <w:tcPr>
            <w:tcW w:type="dxa" w:w="3107"/>
          </w:tcPr>
          <w:p>
            <w:pPr>
              <w:spacing w:after="50" w:before="50" w:line="252" w:lineRule="auto"/>
            </w:pPr>
            <w:r>
              <w:rPr>
                <w:b/>
                <w:sz w:val="17"/>
              </w:rPr>
              <w:t>Skills, not knowledge</w:t>
            </w:r>
          </w:p>
        </w:tc>
        <w:tc>
          <w:tcPr>
            <w:tcW w:type="dxa" w:w="6361"/>
          </w:tcPr>
          <w:p>
            <w:pPr>
              <w:spacing w:after="50" w:before="50" w:line="252" w:lineRule="auto"/>
            </w:pPr>
            <w:r>
              <w:rPr>
                <w:sz w:val="17"/>
              </w:rPr>
              <w:t>Not more than 30% of contact time is didactic. The rest is simulation, practice and debrief</w:t>
            </w:r>
          </w:p>
        </w:tc>
      </w:tr>
      <w:tr>
        <w:tc>
          <w:tcPr>
            <w:tcW w:type="dxa" w:w="3107"/>
            <w:shd w:val="clear" w:color="auto" w:fill="EAF1F4"/>
          </w:tcPr>
          <w:p>
            <w:pPr>
              <w:spacing w:after="50" w:before="50" w:line="252" w:lineRule="auto"/>
            </w:pPr>
            <w:r>
              <w:rPr>
                <w:b/>
                <w:sz w:val="17"/>
              </w:rPr>
              <w:t>Debrief is the teaching</w:t>
            </w:r>
          </w:p>
        </w:tc>
        <w:tc>
          <w:tcPr>
            <w:tcW w:type="dxa" w:w="6361"/>
            <w:shd w:val="clear" w:color="auto" w:fill="EAF1F4"/>
          </w:tcPr>
          <w:p>
            <w:pPr>
              <w:spacing w:after="50" w:before="50" w:line="252" w:lineRule="auto"/>
            </w:pPr>
            <w:r>
              <w:rPr>
                <w:sz w:val="17"/>
              </w:rPr>
              <w:t>Every simulation is followed by a structured debrief of at least equal length. The debrief, not the simulation, is where learning happens</w:t>
            </w:r>
          </w:p>
        </w:tc>
      </w:tr>
      <w:tr>
        <w:tc>
          <w:tcPr>
            <w:tcW w:type="dxa" w:w="3107"/>
          </w:tcPr>
          <w:p>
            <w:pPr>
              <w:spacing w:after="50" w:before="50" w:line="252" w:lineRule="auto"/>
            </w:pPr>
            <w:r>
              <w:rPr>
                <w:b/>
                <w:sz w:val="17"/>
              </w:rPr>
              <w:t>Repeated exposure</w:t>
            </w:r>
          </w:p>
        </w:tc>
        <w:tc>
          <w:tcPr>
            <w:tcW w:type="dxa" w:w="6361"/>
          </w:tcPr>
          <w:p>
            <w:pPr>
              <w:spacing w:after="50" w:before="50" w:line="252" w:lineRule="auto"/>
            </w:pPr>
            <w:r>
              <w:rPr>
                <w:sz w:val="17"/>
              </w:rPr>
              <w:t>Participants mediate at least five times across the programme, in escalating complexity</w:t>
            </w:r>
          </w:p>
        </w:tc>
      </w:tr>
      <w:tr>
        <w:tc>
          <w:tcPr>
            <w:tcW w:type="dxa" w:w="3107"/>
            <w:shd w:val="clear" w:color="auto" w:fill="EAF1F4"/>
          </w:tcPr>
          <w:p>
            <w:pPr>
              <w:spacing w:after="50" w:before="50" w:line="252" w:lineRule="auto"/>
            </w:pPr>
            <w:r>
              <w:rPr>
                <w:b/>
                <w:sz w:val="17"/>
              </w:rPr>
              <w:t>Role rotation</w:t>
            </w:r>
          </w:p>
        </w:tc>
        <w:tc>
          <w:tcPr>
            <w:tcW w:type="dxa" w:w="6361"/>
            <w:shd w:val="clear" w:color="auto" w:fill="EAF1F4"/>
          </w:tcPr>
          <w:p>
            <w:pPr>
              <w:spacing w:after="50" w:before="50" w:line="252" w:lineRule="auto"/>
            </w:pPr>
            <w:r>
              <w:rPr>
                <w:sz w:val="17"/>
              </w:rPr>
              <w:t>Every participant occupies the roles of mediator, party and counsel</w:t>
            </w:r>
          </w:p>
        </w:tc>
      </w:tr>
      <w:tr>
        <w:tc>
          <w:tcPr>
            <w:tcW w:type="dxa" w:w="3107"/>
          </w:tcPr>
          <w:p>
            <w:pPr>
              <w:spacing w:after="50" w:before="50" w:line="252" w:lineRule="auto"/>
            </w:pPr>
            <w:r>
              <w:rPr>
                <w:b/>
                <w:sz w:val="17"/>
              </w:rPr>
              <w:t>Indian practice</w:t>
            </w:r>
          </w:p>
        </w:tc>
        <w:tc>
          <w:tcPr>
            <w:tcW w:type="dxa" w:w="6361"/>
          </w:tcPr>
          <w:p>
            <w:pPr>
              <w:spacing w:after="50" w:before="50" w:line="252" w:lineRule="auto"/>
            </w:pPr>
            <w:r>
              <w:rPr>
                <w:sz w:val="17"/>
              </w:rPr>
              <w:t>Fact patterns are drawn from Indian commercial, financial, employment, insurance and family contexts, not from imported materials</w:t>
            </w:r>
          </w:p>
        </w:tc>
      </w:tr>
      <w:tr>
        <w:tc>
          <w:tcPr>
            <w:tcW w:type="dxa" w:w="3107"/>
            <w:shd w:val="clear" w:color="auto" w:fill="EAF1F4"/>
          </w:tcPr>
          <w:p>
            <w:pPr>
              <w:spacing w:after="50" w:before="50" w:line="252" w:lineRule="auto"/>
            </w:pPr>
            <w:r>
              <w:rPr>
                <w:b/>
                <w:sz w:val="17"/>
              </w:rPr>
              <w:t>Assessed honestly</w:t>
            </w:r>
          </w:p>
        </w:tc>
        <w:tc>
          <w:tcPr>
            <w:tcW w:type="dxa" w:w="6361"/>
            <w:shd w:val="clear" w:color="auto" w:fill="EAF1F4"/>
          </w:tcPr>
          <w:p>
            <w:pPr>
              <w:spacing w:after="50" w:before="50" w:line="252" w:lineRule="auto"/>
            </w:pPr>
            <w:r>
              <w:rPr>
                <w:sz w:val="17"/>
              </w:rPr>
              <w:t>The pass rate is not 100% by design</w:t>
            </w:r>
          </w:p>
        </w:tc>
      </w:tr>
    </w:tbl>
    <w:p>
      <w:pPr>
        <w:spacing w:after="80" w:before="0"/>
      </w:pPr>
    </w:p>
    <w:p>
      <w:pPr>
        <w:pStyle w:val="Heading2"/>
      </w:pPr>
      <w:r>
        <w:t>1.2 Learning outcomes</w:t>
      </w:r>
    </w:p>
    <w:p>
      <w:r>
        <w:t>On completion a participant should be able to:</w:t>
      </w:r>
    </w:p>
    <w:p>
      <w:pPr>
        <w:pStyle w:val="ListNumber"/>
      </w:pPr>
      <w:r>
        <w:rPr>
          <w:sz w:val="21"/>
        </w:rPr>
        <w:t>state the statutory framework governing mediation in India and locate a dispute within it, including the operation of section 12A of the Commercial Courts Act, 2015;</w:t>
      </w:r>
    </w:p>
    <w:p>
      <w:pPr>
        <w:pStyle w:val="ListNumber"/>
      </w:pPr>
      <w:r>
        <w:rPr>
          <w:sz w:val="21"/>
        </w:rPr>
        <w:t>explain the confidentiality regime under the Mediation Act, 2023 and its practical consequences;</w:t>
      </w:r>
    </w:p>
    <w:p>
      <w:pPr>
        <w:pStyle w:val="ListNumber"/>
      </w:pPr>
      <w:r>
        <w:rPr>
          <w:sz w:val="21"/>
        </w:rPr>
        <w:t>conduct a complete mediation through all stages, from convening to closure;</w:t>
      </w:r>
    </w:p>
    <w:p>
      <w:pPr>
        <w:pStyle w:val="ListNumber"/>
      </w:pPr>
      <w:r>
        <w:rPr>
          <w:sz w:val="21"/>
        </w:rPr>
        <w:t>deliver an opening that establishes process, authority and safety;</w:t>
      </w:r>
    </w:p>
    <w:p>
      <w:pPr>
        <w:pStyle w:val="ListNumber"/>
      </w:pPr>
      <w:r>
        <w:rPr>
          <w:sz w:val="21"/>
        </w:rPr>
        <w:t>distinguish interests from positions, and surface interests through disciplined questioning;</w:t>
      </w:r>
    </w:p>
    <w:p>
      <w:pPr>
        <w:pStyle w:val="ListNumber"/>
      </w:pPr>
      <w:r>
        <w:rPr>
          <w:sz w:val="21"/>
        </w:rPr>
        <w:t>use active listening, reframing, summarising and normalising accurately and unselfconsciously;</w:t>
      </w:r>
    </w:p>
    <w:p>
      <w:pPr>
        <w:pStyle w:val="ListNumber"/>
      </w:pPr>
      <w:r>
        <w:rPr>
          <w:sz w:val="21"/>
        </w:rPr>
        <w:t>run a caucus with proper discipline as to confidentiality and even-handedness;</w:t>
      </w:r>
    </w:p>
    <w:p>
      <w:pPr>
        <w:pStyle w:val="ListNumber"/>
      </w:pPr>
      <w:r>
        <w:rPr>
          <w:sz w:val="21"/>
        </w:rPr>
        <w:t>generate and test options without premature evaluation;</w:t>
      </w:r>
    </w:p>
    <w:p>
      <w:pPr>
        <w:pStyle w:val="ListNumber"/>
      </w:pPr>
      <w:r>
        <w:rPr>
          <w:sz w:val="21"/>
        </w:rPr>
        <w:t>conduct reality-testing and BATNA and WATNA analysis without directing an outcome;</w:t>
      </w:r>
    </w:p>
    <w:p>
      <w:pPr>
        <w:pStyle w:val="ListNumber"/>
      </w:pPr>
      <w:r>
        <w:rPr>
          <w:sz w:val="21"/>
        </w:rPr>
        <w:t>manage impasse, emotion, power imbalance and difficult behaviour;</w:t>
      </w:r>
    </w:p>
    <w:p>
      <w:pPr>
        <w:pStyle w:val="ListNumber"/>
      </w:pPr>
      <w:r>
        <w:rPr>
          <w:sz w:val="21"/>
        </w:rPr>
        <w:t>draft the essential components of a mediated settlement agreement; and</w:t>
      </w:r>
    </w:p>
    <w:p>
      <w:pPr>
        <w:pStyle w:val="ListNumber"/>
      </w:pPr>
      <w:r>
        <w:rPr>
          <w:sz w:val="21"/>
        </w:rPr>
        <w:t>identify and act on ethical obligations, conflicts and the limits of the mediator's role.</w:t>
      </w:r>
    </w:p>
    <w:p>
      <w:pPr>
        <w:spacing w:before="80" w:after="160"/>
        <w:pBdr>
          <w:bottom w:val="single" w:sz="6" w:space="1" w:color="C9D6DE"/>
        </w:pBdr>
      </w:pPr>
    </w:p>
    <w:p>
      <w:pPr>
        <w:pStyle w:val="Heading1"/>
        <w:pBdr>
          <w:bottom w:val="single" w:sz="8" w:space="4" w:color="C9D6DE"/>
        </w:pBdr>
      </w:pPr>
      <w:r>
        <w:t>2. Structure</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850"/>
            <w:shd w:val="clear" w:color="auto" w:fill="10375C"/>
          </w:tcPr>
          <w:p>
            <w:pPr>
              <w:spacing w:after="50" w:before="50"/>
            </w:pPr>
            <w:r>
              <w:rPr>
                <w:b/>
                <w:color w:val="FFFFFF"/>
                <w:sz w:val="17"/>
              </w:rPr>
              <w:t>Day</w:t>
            </w:r>
          </w:p>
        </w:tc>
        <w:tc>
          <w:tcPr>
            <w:tcW w:type="dxa" w:w="5486"/>
            <w:shd w:val="clear" w:color="auto" w:fill="10375C"/>
          </w:tcPr>
          <w:p>
            <w:pPr>
              <w:spacing w:after="50" w:before="50"/>
            </w:pPr>
            <w:r>
              <w:rPr>
                <w:b/>
                <w:color w:val="FFFFFF"/>
                <w:sz w:val="17"/>
              </w:rPr>
              <w:t>Theme</w:t>
            </w:r>
          </w:p>
        </w:tc>
        <w:tc>
          <w:tcPr>
            <w:tcW w:type="dxa" w:w="850"/>
            <w:shd w:val="clear" w:color="auto" w:fill="10375C"/>
          </w:tcPr>
          <w:p>
            <w:pPr>
              <w:spacing w:after="50" w:before="50"/>
            </w:pPr>
            <w:r>
              <w:rPr>
                <w:b/>
                <w:color w:val="FFFFFF"/>
                <w:sz w:val="17"/>
              </w:rPr>
              <w:t>Hours</w:t>
            </w:r>
          </w:p>
        </w:tc>
        <w:tc>
          <w:tcPr>
            <w:tcW w:type="dxa" w:w="2798"/>
            <w:shd w:val="clear" w:color="auto" w:fill="10375C"/>
          </w:tcPr>
          <w:p>
            <w:pPr>
              <w:spacing w:after="50" w:before="50"/>
            </w:pPr>
            <w:r>
              <w:rPr>
                <w:b/>
                <w:color w:val="FFFFFF"/>
                <w:sz w:val="17"/>
              </w:rPr>
              <w:t>Balance</w:t>
            </w:r>
          </w:p>
        </w:tc>
      </w:tr>
      <w:tr>
        <w:tc>
          <w:tcPr>
            <w:tcW w:type="dxa" w:w="850"/>
          </w:tcPr>
          <w:p>
            <w:pPr>
              <w:spacing w:after="50" w:before="50" w:line="252" w:lineRule="auto"/>
            </w:pPr>
            <w:r>
              <w:rPr>
                <w:sz w:val="17"/>
              </w:rPr>
              <w:t>1</w:t>
            </w:r>
          </w:p>
        </w:tc>
        <w:tc>
          <w:tcPr>
            <w:tcW w:type="dxa" w:w="5486"/>
          </w:tcPr>
          <w:p>
            <w:pPr>
              <w:spacing w:after="50" w:before="50" w:line="252" w:lineRule="auto"/>
            </w:pPr>
            <w:r>
              <w:rPr>
                <w:sz w:val="17"/>
              </w:rPr>
              <w:t>Foundations, framework and the mediator's role</w:t>
            </w:r>
          </w:p>
        </w:tc>
        <w:tc>
          <w:tcPr>
            <w:tcW w:type="dxa" w:w="850"/>
          </w:tcPr>
          <w:p>
            <w:pPr>
              <w:spacing w:after="50" w:before="50" w:line="252" w:lineRule="auto"/>
            </w:pPr>
            <w:r>
              <w:rPr>
                <w:sz w:val="17"/>
              </w:rPr>
              <w:t>8</w:t>
            </w:r>
          </w:p>
        </w:tc>
        <w:tc>
          <w:tcPr>
            <w:tcW w:type="dxa" w:w="2798"/>
          </w:tcPr>
          <w:p>
            <w:pPr>
              <w:spacing w:after="50" w:before="50" w:line="252" w:lineRule="auto"/>
            </w:pPr>
            <w:r>
              <w:rPr>
                <w:sz w:val="17"/>
              </w:rPr>
              <w:t>60% input, 40% practice</w:t>
            </w:r>
          </w:p>
        </w:tc>
      </w:tr>
      <w:tr>
        <w:tc>
          <w:tcPr>
            <w:tcW w:type="dxa" w:w="850"/>
            <w:shd w:val="clear" w:color="auto" w:fill="EAF1F4"/>
          </w:tcPr>
          <w:p>
            <w:pPr>
              <w:spacing w:after="50" w:before="50" w:line="252" w:lineRule="auto"/>
            </w:pPr>
            <w:r>
              <w:rPr>
                <w:sz w:val="17"/>
              </w:rPr>
              <w:t>2</w:t>
            </w:r>
          </w:p>
        </w:tc>
        <w:tc>
          <w:tcPr>
            <w:tcW w:type="dxa" w:w="5486"/>
            <w:shd w:val="clear" w:color="auto" w:fill="EAF1F4"/>
          </w:tcPr>
          <w:p>
            <w:pPr>
              <w:spacing w:after="50" w:before="50" w:line="252" w:lineRule="auto"/>
            </w:pPr>
            <w:r>
              <w:rPr>
                <w:sz w:val="17"/>
              </w:rPr>
              <w:t>Communication, information and interests</w:t>
            </w:r>
          </w:p>
        </w:tc>
        <w:tc>
          <w:tcPr>
            <w:tcW w:type="dxa" w:w="850"/>
            <w:shd w:val="clear" w:color="auto" w:fill="EAF1F4"/>
          </w:tcPr>
          <w:p>
            <w:pPr>
              <w:spacing w:after="50" w:before="50" w:line="252" w:lineRule="auto"/>
            </w:pPr>
            <w:r>
              <w:rPr>
                <w:sz w:val="17"/>
              </w:rPr>
              <w:t>8</w:t>
            </w:r>
          </w:p>
        </w:tc>
        <w:tc>
          <w:tcPr>
            <w:tcW w:type="dxa" w:w="2798"/>
            <w:shd w:val="clear" w:color="auto" w:fill="EAF1F4"/>
          </w:tcPr>
          <w:p>
            <w:pPr>
              <w:spacing w:after="50" w:before="50" w:line="252" w:lineRule="auto"/>
            </w:pPr>
            <w:r>
              <w:rPr>
                <w:sz w:val="17"/>
              </w:rPr>
              <w:t>30% input, 70% practice</w:t>
            </w:r>
          </w:p>
        </w:tc>
      </w:tr>
      <w:tr>
        <w:tc>
          <w:tcPr>
            <w:tcW w:type="dxa" w:w="850"/>
          </w:tcPr>
          <w:p>
            <w:pPr>
              <w:spacing w:after="50" w:before="50" w:line="252" w:lineRule="auto"/>
            </w:pPr>
            <w:r>
              <w:rPr>
                <w:sz w:val="17"/>
              </w:rPr>
              <w:t>3</w:t>
            </w:r>
          </w:p>
        </w:tc>
        <w:tc>
          <w:tcPr>
            <w:tcW w:type="dxa" w:w="5486"/>
          </w:tcPr>
          <w:p>
            <w:pPr>
              <w:spacing w:after="50" w:before="50" w:line="252" w:lineRule="auto"/>
            </w:pPr>
            <w:r>
              <w:rPr>
                <w:sz w:val="17"/>
              </w:rPr>
              <w:t>Process management, caucus and negotiation</w:t>
            </w:r>
          </w:p>
        </w:tc>
        <w:tc>
          <w:tcPr>
            <w:tcW w:type="dxa" w:w="850"/>
          </w:tcPr>
          <w:p>
            <w:pPr>
              <w:spacing w:after="50" w:before="50" w:line="252" w:lineRule="auto"/>
            </w:pPr>
            <w:r>
              <w:rPr>
                <w:sz w:val="17"/>
              </w:rPr>
              <w:t>8</w:t>
            </w:r>
          </w:p>
        </w:tc>
        <w:tc>
          <w:tcPr>
            <w:tcW w:type="dxa" w:w="2798"/>
          </w:tcPr>
          <w:p>
            <w:pPr>
              <w:spacing w:after="50" w:before="50" w:line="252" w:lineRule="auto"/>
            </w:pPr>
            <w:r>
              <w:rPr>
                <w:sz w:val="17"/>
              </w:rPr>
              <w:t>25% input, 75% practice</w:t>
            </w:r>
          </w:p>
        </w:tc>
      </w:tr>
      <w:tr>
        <w:tc>
          <w:tcPr>
            <w:tcW w:type="dxa" w:w="850"/>
            <w:shd w:val="clear" w:color="auto" w:fill="EAF1F4"/>
          </w:tcPr>
          <w:p>
            <w:pPr>
              <w:spacing w:after="50" w:before="50" w:line="252" w:lineRule="auto"/>
            </w:pPr>
            <w:r>
              <w:rPr>
                <w:sz w:val="17"/>
              </w:rPr>
              <w:t>4</w:t>
            </w:r>
          </w:p>
        </w:tc>
        <w:tc>
          <w:tcPr>
            <w:tcW w:type="dxa" w:w="5486"/>
            <w:shd w:val="clear" w:color="auto" w:fill="EAF1F4"/>
          </w:tcPr>
          <w:p>
            <w:pPr>
              <w:spacing w:after="50" w:before="50" w:line="252" w:lineRule="auto"/>
            </w:pPr>
            <w:r>
              <w:rPr>
                <w:sz w:val="17"/>
              </w:rPr>
              <w:t>Difficulty, impasse, ethics and sectoral practice</w:t>
            </w:r>
          </w:p>
        </w:tc>
        <w:tc>
          <w:tcPr>
            <w:tcW w:type="dxa" w:w="850"/>
            <w:shd w:val="clear" w:color="auto" w:fill="EAF1F4"/>
          </w:tcPr>
          <w:p>
            <w:pPr>
              <w:spacing w:after="50" w:before="50" w:line="252" w:lineRule="auto"/>
            </w:pPr>
            <w:r>
              <w:rPr>
                <w:sz w:val="17"/>
              </w:rPr>
              <w:t>8</w:t>
            </w:r>
          </w:p>
        </w:tc>
        <w:tc>
          <w:tcPr>
            <w:tcW w:type="dxa" w:w="2798"/>
            <w:shd w:val="clear" w:color="auto" w:fill="EAF1F4"/>
          </w:tcPr>
          <w:p>
            <w:pPr>
              <w:spacing w:after="50" w:before="50" w:line="252" w:lineRule="auto"/>
            </w:pPr>
            <w:r>
              <w:rPr>
                <w:sz w:val="17"/>
              </w:rPr>
              <w:t>25% input, 75% practice</w:t>
            </w:r>
          </w:p>
        </w:tc>
      </w:tr>
      <w:tr>
        <w:tc>
          <w:tcPr>
            <w:tcW w:type="dxa" w:w="850"/>
          </w:tcPr>
          <w:p>
            <w:pPr>
              <w:spacing w:after="50" w:before="50" w:line="252" w:lineRule="auto"/>
            </w:pPr>
            <w:r>
              <w:rPr>
                <w:sz w:val="17"/>
              </w:rPr>
              <w:t>5</w:t>
            </w:r>
          </w:p>
        </w:tc>
        <w:tc>
          <w:tcPr>
            <w:tcW w:type="dxa" w:w="5486"/>
          </w:tcPr>
          <w:p>
            <w:pPr>
              <w:spacing w:after="50" w:before="50" w:line="252" w:lineRule="auto"/>
            </w:pPr>
            <w:r>
              <w:rPr>
                <w:sz w:val="17"/>
              </w:rPr>
              <w:t>Full simulation, drafting, assessment and closure</w:t>
            </w:r>
          </w:p>
        </w:tc>
        <w:tc>
          <w:tcPr>
            <w:tcW w:type="dxa" w:w="850"/>
          </w:tcPr>
          <w:p>
            <w:pPr>
              <w:spacing w:after="50" w:before="50" w:line="252" w:lineRule="auto"/>
            </w:pPr>
            <w:r>
              <w:rPr>
                <w:sz w:val="17"/>
              </w:rPr>
              <w:t>8</w:t>
            </w:r>
          </w:p>
        </w:tc>
        <w:tc>
          <w:tcPr>
            <w:tcW w:type="dxa" w:w="2798"/>
          </w:tcPr>
          <w:p>
            <w:pPr>
              <w:spacing w:after="50" w:before="50" w:line="252" w:lineRule="auto"/>
            </w:pPr>
            <w:r>
              <w:rPr>
                <w:sz w:val="17"/>
              </w:rPr>
              <w:t>10% input, 90% practice</w:t>
            </w:r>
          </w:p>
        </w:tc>
      </w:tr>
    </w:tbl>
    <w:p>
      <w:pPr>
        <w:spacing w:after="80" w:before="0"/>
      </w:pPr>
    </w:p>
    <w:p>
      <w:pPr>
        <w:spacing w:before="80" w:after="160"/>
        <w:pBdr>
          <w:bottom w:val="single" w:sz="6" w:space="1" w:color="C9D6DE"/>
        </w:pBdr>
      </w:pPr>
    </w:p>
    <w:p>
      <w:pPr>
        <w:pStyle w:val="Heading1"/>
        <w:pBdr>
          <w:bottom w:val="single" w:sz="8" w:space="4" w:color="C9D6DE"/>
        </w:pBdr>
      </w:pPr>
      <w:r>
        <w:t>3. Session plan</w:t>
      </w:r>
    </w:p>
    <w:p>
      <w:pPr>
        <w:pStyle w:val="Heading2"/>
      </w:pPr>
      <w:r>
        <w:t>Day 1 · Foundations, framework and the mediator's role</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966"/>
            <w:shd w:val="clear" w:color="auto" w:fill="10375C"/>
          </w:tcPr>
          <w:p>
            <w:pPr>
              <w:spacing w:after="50" w:before="50"/>
            </w:pPr>
            <w:r>
              <w:rPr>
                <w:b/>
                <w:color w:val="FFFFFF"/>
                <w:sz w:val="17"/>
              </w:rPr>
              <w:t>Time</w:t>
            </w:r>
          </w:p>
        </w:tc>
        <w:tc>
          <w:tcPr>
            <w:tcW w:type="dxa" w:w="4051"/>
            <w:shd w:val="clear" w:color="auto" w:fill="10375C"/>
          </w:tcPr>
          <w:p>
            <w:pPr>
              <w:spacing w:after="50" w:before="50"/>
            </w:pPr>
            <w:r>
              <w:rPr>
                <w:b/>
                <w:color w:val="FFFFFF"/>
                <w:sz w:val="17"/>
              </w:rPr>
              <w:t>Session</w:t>
            </w:r>
          </w:p>
        </w:tc>
        <w:tc>
          <w:tcPr>
            <w:tcW w:type="dxa" w:w="1911"/>
            <w:shd w:val="clear" w:color="auto" w:fill="10375C"/>
          </w:tcPr>
          <w:p>
            <w:pPr>
              <w:spacing w:after="50" w:before="50"/>
            </w:pPr>
            <w:r>
              <w:rPr>
                <w:b/>
                <w:color w:val="FFFFFF"/>
                <w:sz w:val="17"/>
              </w:rPr>
              <w:t>Method</w:t>
            </w:r>
          </w:p>
        </w:tc>
        <w:tc>
          <w:tcPr>
            <w:tcW w:type="dxa" w:w="2540"/>
            <w:shd w:val="clear" w:color="auto" w:fill="10375C"/>
          </w:tcPr>
          <w:p>
            <w:pPr>
              <w:spacing w:after="50" w:before="50"/>
            </w:pPr>
            <w:r>
              <w:rPr>
                <w:b/>
                <w:color w:val="FFFFFF"/>
                <w:sz w:val="17"/>
              </w:rPr>
              <w:t>Outcome</w:t>
            </w:r>
          </w:p>
        </w:tc>
      </w:tr>
      <w:tr>
        <w:tc>
          <w:tcPr>
            <w:tcW w:type="dxa" w:w="966"/>
          </w:tcPr>
          <w:p>
            <w:pPr>
              <w:spacing w:after="50" w:before="50" w:line="252" w:lineRule="auto"/>
            </w:pPr>
            <w:r>
              <w:rPr>
                <w:sz w:val="17"/>
              </w:rPr>
              <w:t>09:00–09:30</w:t>
            </w:r>
          </w:p>
        </w:tc>
        <w:tc>
          <w:tcPr>
            <w:tcW w:type="dxa" w:w="4051"/>
          </w:tcPr>
          <w:p>
            <w:pPr>
              <w:spacing w:after="50" w:before="50" w:line="252" w:lineRule="auto"/>
            </w:pPr>
            <w:r>
              <w:rPr>
                <w:sz w:val="17"/>
              </w:rPr>
              <w:t>Welcome, ground rules, learning contract, confidentiality undertakings</w:t>
            </w:r>
          </w:p>
        </w:tc>
        <w:tc>
          <w:tcPr>
            <w:tcW w:type="dxa" w:w="1911"/>
          </w:tcPr>
          <w:p>
            <w:pPr>
              <w:spacing w:after="50" w:before="50" w:line="252" w:lineRule="auto"/>
            </w:pPr>
            <w:r>
              <w:rPr>
                <w:sz w:val="17"/>
              </w:rPr>
              <w:t>Plenary</w:t>
            </w:r>
          </w:p>
        </w:tc>
        <w:tc>
          <w:tcPr>
            <w:tcW w:type="dxa" w:w="2540"/>
          </w:tcPr>
          <w:p>
            <w:pPr>
              <w:spacing w:after="50" w:before="50" w:line="252" w:lineRule="auto"/>
            </w:pPr>
            <w:r>
              <w:rPr>
                <w:sz w:val="17"/>
              </w:rPr>
              <w:t>Expectations and undertakings in place</w:t>
            </w:r>
          </w:p>
        </w:tc>
      </w:tr>
      <w:tr>
        <w:tc>
          <w:tcPr>
            <w:tcW w:type="dxa" w:w="966"/>
            <w:shd w:val="clear" w:color="auto" w:fill="EAF1F4"/>
          </w:tcPr>
          <w:p>
            <w:pPr>
              <w:spacing w:after="50" w:before="50" w:line="252" w:lineRule="auto"/>
            </w:pPr>
            <w:r>
              <w:rPr>
                <w:sz w:val="17"/>
              </w:rPr>
              <w:t>09:30–10:30</w:t>
            </w:r>
          </w:p>
        </w:tc>
        <w:tc>
          <w:tcPr>
            <w:tcW w:type="dxa" w:w="4051"/>
            <w:shd w:val="clear" w:color="auto" w:fill="EAF1F4"/>
          </w:tcPr>
          <w:p>
            <w:pPr>
              <w:spacing w:after="50" w:before="50" w:line="252" w:lineRule="auto"/>
            </w:pPr>
            <w:r>
              <w:rPr>
                <w:b/>
                <w:sz w:val="17"/>
              </w:rPr>
              <w:t>1.1 Conflict and its resolution.</w:t>
            </w:r>
            <w:r>
              <w:rPr>
                <w:sz w:val="17"/>
              </w:rPr>
              <w:t xml:space="preserve"> Why disputes escalate; the spectrum from negotiation to adjudication; what mediation is and is not</w:t>
            </w:r>
          </w:p>
        </w:tc>
        <w:tc>
          <w:tcPr>
            <w:tcW w:type="dxa" w:w="1911"/>
            <w:shd w:val="clear" w:color="auto" w:fill="EAF1F4"/>
          </w:tcPr>
          <w:p>
            <w:pPr>
              <w:spacing w:after="50" w:before="50" w:line="252" w:lineRule="auto"/>
            </w:pPr>
            <w:r>
              <w:rPr>
                <w:sz w:val="17"/>
              </w:rPr>
              <w:t>Input and discussion</w:t>
            </w:r>
          </w:p>
        </w:tc>
        <w:tc>
          <w:tcPr>
            <w:tcW w:type="dxa" w:w="2540"/>
            <w:shd w:val="clear" w:color="auto" w:fill="EAF1F4"/>
          </w:tcPr>
          <w:p>
            <w:pPr>
              <w:spacing w:after="50" w:before="50" w:line="252" w:lineRule="auto"/>
            </w:pPr>
            <w:r>
              <w:rPr>
                <w:sz w:val="17"/>
              </w:rPr>
              <w:t>Locates mediation on the spectrum</w:t>
            </w:r>
          </w:p>
        </w:tc>
      </w:tr>
      <w:tr>
        <w:tc>
          <w:tcPr>
            <w:tcW w:type="dxa" w:w="966"/>
          </w:tcPr>
          <w:p>
            <w:pPr>
              <w:spacing w:after="50" w:before="50" w:line="252" w:lineRule="auto"/>
            </w:pPr>
            <w:r>
              <w:rPr>
                <w:sz w:val="17"/>
              </w:rPr>
              <w:t>10:30–11:30</w:t>
            </w:r>
          </w:p>
        </w:tc>
        <w:tc>
          <w:tcPr>
            <w:tcW w:type="dxa" w:w="4051"/>
          </w:tcPr>
          <w:p>
            <w:pPr>
              <w:spacing w:after="50" w:before="50" w:line="252" w:lineRule="auto"/>
            </w:pPr>
            <w:r>
              <w:rPr>
                <w:b/>
                <w:sz w:val="17"/>
              </w:rPr>
              <w:t>1.2 The statutory framework.</w:t>
            </w:r>
            <w:r>
              <w:rPr>
                <w:sz w:val="17"/>
              </w:rPr>
              <w:t xml:space="preserve"> The Mediation Act, 2023 — scope, pre-litigation mediation, the 120-day clock and its extension, mediated settlement agreements and their enforcement, the contemplated Mediation Council. Section 12A of the Commercial Courts Act, 2015 and </w:t>
            </w:r>
            <w:r>
              <w:rPr>
                <w:i/>
                <w:sz w:val="17"/>
              </w:rPr>
              <w:t>Patil Automation</w:t>
            </w:r>
            <w:r>
              <w:rPr>
                <w:sz w:val="17"/>
              </w:rPr>
              <w:t>. Community mediation</w:t>
            </w:r>
          </w:p>
        </w:tc>
        <w:tc>
          <w:tcPr>
            <w:tcW w:type="dxa" w:w="1911"/>
          </w:tcPr>
          <w:p>
            <w:pPr>
              <w:spacing w:after="50" w:before="50" w:line="252" w:lineRule="auto"/>
            </w:pPr>
            <w:r>
              <w:rPr>
                <w:sz w:val="17"/>
              </w:rPr>
              <w:t>Input with statute extracts</w:t>
            </w:r>
          </w:p>
        </w:tc>
        <w:tc>
          <w:tcPr>
            <w:tcW w:type="dxa" w:w="2540"/>
          </w:tcPr>
          <w:p>
            <w:pPr>
              <w:spacing w:after="50" w:before="50" w:line="252" w:lineRule="auto"/>
            </w:pPr>
            <w:r>
              <w:rPr>
                <w:sz w:val="17"/>
              </w:rPr>
              <w:t>Can locate a dispute in the framework</w:t>
            </w:r>
          </w:p>
        </w:tc>
      </w:tr>
      <w:tr>
        <w:tc>
          <w:tcPr>
            <w:tcW w:type="dxa" w:w="966"/>
            <w:shd w:val="clear" w:color="auto" w:fill="EAF1F4"/>
          </w:tcPr>
          <w:p>
            <w:pPr>
              <w:spacing w:after="50" w:before="50" w:line="252" w:lineRule="auto"/>
            </w:pPr>
            <w:r>
              <w:rPr>
                <w:sz w:val="17"/>
              </w:rPr>
              <w:t>11:30–11:45</w:t>
            </w:r>
          </w:p>
        </w:tc>
        <w:tc>
          <w:tcPr>
            <w:tcW w:type="dxa" w:w="4051"/>
            <w:shd w:val="clear" w:color="auto" w:fill="EAF1F4"/>
          </w:tcPr>
          <w:p>
            <w:pPr>
              <w:spacing w:after="50" w:before="50" w:line="252" w:lineRule="auto"/>
            </w:pPr>
            <w:r>
              <w:rPr>
                <w:sz w:val="17"/>
              </w:rPr>
              <w:t>Break</w:t>
            </w:r>
          </w:p>
        </w:tc>
        <w:tc>
          <w:tcPr>
            <w:tcW w:type="dxa" w:w="1911"/>
            <w:shd w:val="clear" w:color="auto" w:fill="EAF1F4"/>
          </w:tcPr>
          <w:p>
            <w:pPr>
              <w:spacing w:after="50" w:before="50" w:line="252" w:lineRule="auto"/>
            </w:pPr>
          </w:p>
        </w:tc>
        <w:tc>
          <w:tcPr>
            <w:tcW w:type="dxa" w:w="2540"/>
            <w:shd w:val="clear" w:color="auto" w:fill="EAF1F4"/>
          </w:tcPr>
          <w:p>
            <w:pPr>
              <w:spacing w:after="50" w:before="50" w:line="252" w:lineRule="auto"/>
            </w:pPr>
          </w:p>
        </w:tc>
      </w:tr>
      <w:tr>
        <w:tc>
          <w:tcPr>
            <w:tcW w:type="dxa" w:w="966"/>
          </w:tcPr>
          <w:p>
            <w:pPr>
              <w:spacing w:after="50" w:before="50" w:line="252" w:lineRule="auto"/>
            </w:pPr>
            <w:r>
              <w:rPr>
                <w:sz w:val="17"/>
              </w:rPr>
              <w:t>11:45–12:45</w:t>
            </w:r>
          </w:p>
        </w:tc>
        <w:tc>
          <w:tcPr>
            <w:tcW w:type="dxa" w:w="4051"/>
          </w:tcPr>
          <w:p>
            <w:pPr>
              <w:spacing w:after="50" w:before="50" w:line="252" w:lineRule="auto"/>
            </w:pPr>
            <w:r>
              <w:rPr>
                <w:b/>
                <w:sz w:val="17"/>
              </w:rPr>
              <w:t>1.3 Confidentiality.</w:t>
            </w:r>
            <w:r>
              <w:rPr>
                <w:sz w:val="17"/>
              </w:rPr>
              <w:t xml:space="preserve"> Section 22 and its consequences: what cannot be disclosed, the prohibition on recording, inadmissibility in later proceedings, and the practical discipline this imposes</w:t>
            </w:r>
          </w:p>
        </w:tc>
        <w:tc>
          <w:tcPr>
            <w:tcW w:type="dxa" w:w="1911"/>
          </w:tcPr>
          <w:p>
            <w:pPr>
              <w:spacing w:after="50" w:before="50" w:line="252" w:lineRule="auto"/>
            </w:pPr>
            <w:r>
              <w:rPr>
                <w:sz w:val="17"/>
              </w:rPr>
              <w:t>Input and problem discussion</w:t>
            </w:r>
          </w:p>
        </w:tc>
        <w:tc>
          <w:tcPr>
            <w:tcW w:type="dxa" w:w="2540"/>
          </w:tcPr>
          <w:p>
            <w:pPr>
              <w:spacing w:after="50" w:before="50" w:line="252" w:lineRule="auto"/>
            </w:pPr>
            <w:r>
              <w:rPr>
                <w:sz w:val="17"/>
              </w:rPr>
              <w:t>Understands the regime operationally</w:t>
            </w:r>
          </w:p>
        </w:tc>
      </w:tr>
      <w:tr>
        <w:tc>
          <w:tcPr>
            <w:tcW w:type="dxa" w:w="966"/>
            <w:shd w:val="clear" w:color="auto" w:fill="EAF1F4"/>
          </w:tcPr>
          <w:p>
            <w:pPr>
              <w:spacing w:after="50" w:before="50" w:line="252" w:lineRule="auto"/>
            </w:pPr>
            <w:r>
              <w:rPr>
                <w:sz w:val="17"/>
              </w:rPr>
              <w:t>12:45–13:30</w:t>
            </w:r>
          </w:p>
        </w:tc>
        <w:tc>
          <w:tcPr>
            <w:tcW w:type="dxa" w:w="4051"/>
            <w:shd w:val="clear" w:color="auto" w:fill="EAF1F4"/>
          </w:tcPr>
          <w:p>
            <w:pPr>
              <w:spacing w:after="50" w:before="50" w:line="252" w:lineRule="auto"/>
            </w:pPr>
            <w:r>
              <w:rPr>
                <w:b/>
                <w:sz w:val="17"/>
              </w:rPr>
              <w:t>1.4 The mediator's role.</w:t>
            </w:r>
            <w:r>
              <w:rPr>
                <w:sz w:val="17"/>
              </w:rPr>
              <w:t xml:space="preserve"> Facilitative, evaluative and transformative approaches; neutrality and impartiality; self-determination of the parties; what the mediator must never do</w:t>
            </w:r>
          </w:p>
        </w:tc>
        <w:tc>
          <w:tcPr>
            <w:tcW w:type="dxa" w:w="1911"/>
            <w:shd w:val="clear" w:color="auto" w:fill="EAF1F4"/>
          </w:tcPr>
          <w:p>
            <w:pPr>
              <w:spacing w:after="50" w:before="50" w:line="252" w:lineRule="auto"/>
            </w:pPr>
            <w:r>
              <w:rPr>
                <w:sz w:val="17"/>
              </w:rPr>
              <w:t>Input and discussion</w:t>
            </w:r>
          </w:p>
        </w:tc>
        <w:tc>
          <w:tcPr>
            <w:tcW w:type="dxa" w:w="2540"/>
            <w:shd w:val="clear" w:color="auto" w:fill="EAF1F4"/>
          </w:tcPr>
          <w:p>
            <w:pPr>
              <w:spacing w:after="50" w:before="50" w:line="252" w:lineRule="auto"/>
            </w:pPr>
            <w:r>
              <w:rPr>
                <w:sz w:val="17"/>
              </w:rPr>
              <w:t>Articulates the role and its limits</w:t>
            </w:r>
          </w:p>
        </w:tc>
      </w:tr>
      <w:tr>
        <w:tc>
          <w:tcPr>
            <w:tcW w:type="dxa" w:w="966"/>
          </w:tcPr>
          <w:p>
            <w:pPr>
              <w:spacing w:after="50" w:before="50" w:line="252" w:lineRule="auto"/>
            </w:pPr>
            <w:r>
              <w:rPr>
                <w:sz w:val="17"/>
              </w:rPr>
              <w:t>13:30–14:15</w:t>
            </w:r>
          </w:p>
        </w:tc>
        <w:tc>
          <w:tcPr>
            <w:tcW w:type="dxa" w:w="4051"/>
          </w:tcPr>
          <w:p>
            <w:pPr>
              <w:spacing w:after="50" w:before="50" w:line="252" w:lineRule="auto"/>
            </w:pPr>
            <w:r>
              <w:rPr>
                <w:sz w:val="17"/>
              </w:rPr>
              <w:t>Lunch</w:t>
            </w:r>
          </w:p>
        </w:tc>
        <w:tc>
          <w:tcPr>
            <w:tcW w:type="dxa" w:w="1911"/>
          </w:tcPr>
          <w:p>
            <w:pPr>
              <w:spacing w:after="50" w:before="50" w:line="252" w:lineRule="auto"/>
            </w:pPr>
          </w:p>
        </w:tc>
        <w:tc>
          <w:tcPr>
            <w:tcW w:type="dxa" w:w="2540"/>
          </w:tcPr>
          <w:p>
            <w:pPr>
              <w:spacing w:after="50" w:before="50" w:line="252" w:lineRule="auto"/>
            </w:pPr>
          </w:p>
        </w:tc>
      </w:tr>
      <w:tr>
        <w:tc>
          <w:tcPr>
            <w:tcW w:type="dxa" w:w="966"/>
            <w:shd w:val="clear" w:color="auto" w:fill="EAF1F4"/>
          </w:tcPr>
          <w:p>
            <w:pPr>
              <w:spacing w:after="50" w:before="50" w:line="252" w:lineRule="auto"/>
            </w:pPr>
            <w:r>
              <w:rPr>
                <w:sz w:val="17"/>
              </w:rPr>
              <w:t>14:15–15:15</w:t>
            </w:r>
          </w:p>
        </w:tc>
        <w:tc>
          <w:tcPr>
            <w:tcW w:type="dxa" w:w="4051"/>
            <w:shd w:val="clear" w:color="auto" w:fill="EAF1F4"/>
          </w:tcPr>
          <w:p>
            <w:pPr>
              <w:spacing w:after="50" w:before="50" w:line="252" w:lineRule="auto"/>
            </w:pPr>
            <w:r>
              <w:rPr>
                <w:b/>
                <w:sz w:val="17"/>
              </w:rPr>
              <w:t>1.5 The stages of mediation.</w:t>
            </w:r>
            <w:r>
              <w:rPr>
                <w:sz w:val="17"/>
              </w:rPr>
              <w:t xml:space="preserve"> Convening; opening; information gathering; interest identification; option generation; negotiation; agreement; closure</w:t>
            </w:r>
          </w:p>
        </w:tc>
        <w:tc>
          <w:tcPr>
            <w:tcW w:type="dxa" w:w="1911"/>
            <w:shd w:val="clear" w:color="auto" w:fill="EAF1F4"/>
          </w:tcPr>
          <w:p>
            <w:pPr>
              <w:spacing w:after="50" w:before="50" w:line="252" w:lineRule="auto"/>
            </w:pPr>
            <w:r>
              <w:rPr>
                <w:sz w:val="17"/>
              </w:rPr>
              <w:t>Input with a demonstration walkthrough</w:t>
            </w:r>
          </w:p>
        </w:tc>
        <w:tc>
          <w:tcPr>
            <w:tcW w:type="dxa" w:w="2540"/>
            <w:shd w:val="clear" w:color="auto" w:fill="EAF1F4"/>
          </w:tcPr>
          <w:p>
            <w:pPr>
              <w:spacing w:after="50" w:before="50" w:line="252" w:lineRule="auto"/>
            </w:pPr>
            <w:r>
              <w:rPr>
                <w:sz w:val="17"/>
              </w:rPr>
              <w:t>Can name and sequence the stages</w:t>
            </w:r>
          </w:p>
        </w:tc>
      </w:tr>
      <w:tr>
        <w:tc>
          <w:tcPr>
            <w:tcW w:type="dxa" w:w="966"/>
          </w:tcPr>
          <w:p>
            <w:pPr>
              <w:spacing w:after="50" w:before="50" w:line="252" w:lineRule="auto"/>
            </w:pPr>
            <w:r>
              <w:rPr>
                <w:sz w:val="17"/>
              </w:rPr>
              <w:t>15:15–16:30</w:t>
            </w:r>
          </w:p>
        </w:tc>
        <w:tc>
          <w:tcPr>
            <w:tcW w:type="dxa" w:w="4051"/>
          </w:tcPr>
          <w:p>
            <w:pPr>
              <w:spacing w:after="50" w:before="50" w:line="252" w:lineRule="auto"/>
            </w:pPr>
            <w:r>
              <w:rPr>
                <w:b/>
                <w:sz w:val="17"/>
              </w:rPr>
              <w:t>1.6 Demonstration mediation.</w:t>
            </w:r>
            <w:r>
              <w:rPr>
                <w:sz w:val="17"/>
              </w:rPr>
              <w:t xml:space="preserve"> Faculty demonstrate a complete short mediation, stopping at each stage for commentary</w:t>
            </w:r>
          </w:p>
        </w:tc>
        <w:tc>
          <w:tcPr>
            <w:tcW w:type="dxa" w:w="1911"/>
          </w:tcPr>
          <w:p>
            <w:pPr>
              <w:spacing w:after="50" w:before="50" w:line="252" w:lineRule="auto"/>
            </w:pPr>
            <w:r>
              <w:rPr>
                <w:sz w:val="17"/>
              </w:rPr>
              <w:t>Fishbowl demonstration</w:t>
            </w:r>
          </w:p>
        </w:tc>
        <w:tc>
          <w:tcPr>
            <w:tcW w:type="dxa" w:w="2540"/>
          </w:tcPr>
          <w:p>
            <w:pPr>
              <w:spacing w:after="50" w:before="50" w:line="252" w:lineRule="auto"/>
            </w:pPr>
            <w:r>
              <w:rPr>
                <w:sz w:val="17"/>
              </w:rPr>
              <w:t>Sees the whole shape before attempting parts</w:t>
            </w:r>
          </w:p>
        </w:tc>
      </w:tr>
      <w:tr>
        <w:tc>
          <w:tcPr>
            <w:tcW w:type="dxa" w:w="966"/>
            <w:shd w:val="clear" w:color="auto" w:fill="EAF1F4"/>
          </w:tcPr>
          <w:p>
            <w:pPr>
              <w:spacing w:after="50" w:before="50" w:line="252" w:lineRule="auto"/>
            </w:pPr>
            <w:r>
              <w:rPr>
                <w:sz w:val="17"/>
              </w:rPr>
              <w:t>16:30–16:45</w:t>
            </w:r>
          </w:p>
        </w:tc>
        <w:tc>
          <w:tcPr>
            <w:tcW w:type="dxa" w:w="4051"/>
            <w:shd w:val="clear" w:color="auto" w:fill="EAF1F4"/>
          </w:tcPr>
          <w:p>
            <w:pPr>
              <w:spacing w:after="50" w:before="50" w:line="252" w:lineRule="auto"/>
            </w:pPr>
            <w:r>
              <w:rPr>
                <w:sz w:val="17"/>
              </w:rPr>
              <w:t>Break</w:t>
            </w:r>
          </w:p>
        </w:tc>
        <w:tc>
          <w:tcPr>
            <w:tcW w:type="dxa" w:w="1911"/>
            <w:shd w:val="clear" w:color="auto" w:fill="EAF1F4"/>
          </w:tcPr>
          <w:p>
            <w:pPr>
              <w:spacing w:after="50" w:before="50" w:line="252" w:lineRule="auto"/>
            </w:pPr>
          </w:p>
        </w:tc>
        <w:tc>
          <w:tcPr>
            <w:tcW w:type="dxa" w:w="2540"/>
            <w:shd w:val="clear" w:color="auto" w:fill="EAF1F4"/>
          </w:tcPr>
          <w:p>
            <w:pPr>
              <w:spacing w:after="50" w:before="50" w:line="252" w:lineRule="auto"/>
            </w:pPr>
          </w:p>
        </w:tc>
      </w:tr>
      <w:tr>
        <w:tc>
          <w:tcPr>
            <w:tcW w:type="dxa" w:w="966"/>
          </w:tcPr>
          <w:p>
            <w:pPr>
              <w:spacing w:after="50" w:before="50" w:line="252" w:lineRule="auto"/>
            </w:pPr>
            <w:r>
              <w:rPr>
                <w:sz w:val="17"/>
              </w:rPr>
              <w:t>16:45–17:45</w:t>
            </w:r>
          </w:p>
        </w:tc>
        <w:tc>
          <w:tcPr>
            <w:tcW w:type="dxa" w:w="4051"/>
          </w:tcPr>
          <w:p>
            <w:pPr>
              <w:spacing w:after="50" w:before="50" w:line="252" w:lineRule="auto"/>
            </w:pPr>
            <w:r>
              <w:rPr>
                <w:b/>
                <w:sz w:val="17"/>
              </w:rPr>
              <w:t>1.7 Simulation 1 — the opening.</w:t>
            </w:r>
            <w:r>
              <w:rPr>
                <w:sz w:val="17"/>
              </w:rPr>
              <w:t xml:space="preserve"> In threes, each participant delivers a mediator's opening</w:t>
            </w:r>
          </w:p>
        </w:tc>
        <w:tc>
          <w:tcPr>
            <w:tcW w:type="dxa" w:w="1911"/>
          </w:tcPr>
          <w:p>
            <w:pPr>
              <w:spacing w:after="50" w:before="50" w:line="252" w:lineRule="auto"/>
            </w:pPr>
            <w:r>
              <w:rPr>
                <w:sz w:val="17"/>
              </w:rPr>
              <w:t>Simulation, rotating</w:t>
            </w:r>
          </w:p>
        </w:tc>
        <w:tc>
          <w:tcPr>
            <w:tcW w:type="dxa" w:w="2540"/>
          </w:tcPr>
          <w:p>
            <w:pPr>
              <w:spacing w:after="50" w:before="50" w:line="252" w:lineRule="auto"/>
            </w:pPr>
            <w:r>
              <w:rPr>
                <w:sz w:val="17"/>
              </w:rPr>
              <w:t>First practice</w:t>
            </w:r>
          </w:p>
        </w:tc>
      </w:tr>
      <w:tr>
        <w:tc>
          <w:tcPr>
            <w:tcW w:type="dxa" w:w="966"/>
            <w:shd w:val="clear" w:color="auto" w:fill="EAF1F4"/>
          </w:tcPr>
          <w:p>
            <w:pPr>
              <w:spacing w:after="50" w:before="50" w:line="252" w:lineRule="auto"/>
            </w:pPr>
            <w:r>
              <w:rPr>
                <w:sz w:val="17"/>
              </w:rPr>
              <w:t>17:45–18:00</w:t>
            </w:r>
          </w:p>
        </w:tc>
        <w:tc>
          <w:tcPr>
            <w:tcW w:type="dxa" w:w="4051"/>
            <w:shd w:val="clear" w:color="auto" w:fill="EAF1F4"/>
          </w:tcPr>
          <w:p>
            <w:pPr>
              <w:spacing w:after="50" w:before="50" w:line="252" w:lineRule="auto"/>
            </w:pPr>
            <w:r>
              <w:rPr>
                <w:b/>
                <w:sz w:val="17"/>
              </w:rPr>
              <w:t>Debrief and reflective log</w:t>
            </w:r>
          </w:p>
        </w:tc>
        <w:tc>
          <w:tcPr>
            <w:tcW w:type="dxa" w:w="1911"/>
            <w:shd w:val="clear" w:color="auto" w:fill="EAF1F4"/>
          </w:tcPr>
          <w:p>
            <w:pPr>
              <w:spacing w:after="50" w:before="50" w:line="252" w:lineRule="auto"/>
            </w:pPr>
            <w:r>
              <w:rPr>
                <w:sz w:val="17"/>
              </w:rPr>
              <w:t>Plenary</w:t>
            </w:r>
          </w:p>
        </w:tc>
        <w:tc>
          <w:tcPr>
            <w:tcW w:type="dxa" w:w="2540"/>
            <w:shd w:val="clear" w:color="auto" w:fill="EAF1F4"/>
          </w:tcPr>
          <w:p>
            <w:pPr>
              <w:spacing w:after="50" w:before="50" w:line="252" w:lineRule="auto"/>
            </w:pPr>
            <w:r>
              <w:rPr>
                <w:sz w:val="17"/>
              </w:rPr>
              <w:t>Consolidation</w:t>
            </w:r>
          </w:p>
        </w:tc>
      </w:tr>
    </w:tbl>
    <w:p>
      <w:pPr>
        <w:spacing w:after="80" w:before="0"/>
      </w:pPr>
    </w:p>
    <w:p>
      <w:pPr>
        <w:pStyle w:val="Heading2"/>
      </w:pPr>
      <w:r>
        <w:t>Day 2 · Communication, information and interests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1019"/>
            <w:shd w:val="clear" w:color="auto" w:fill="10375C"/>
          </w:tcPr>
          <w:p>
            <w:pPr>
              <w:spacing w:after="50" w:before="50"/>
            </w:pPr>
            <w:r>
              <w:rPr>
                <w:b/>
                <w:color w:val="FFFFFF"/>
                <w:sz w:val="17"/>
              </w:rPr>
              <w:t>Time</w:t>
            </w:r>
          </w:p>
        </w:tc>
        <w:tc>
          <w:tcPr>
            <w:tcW w:type="dxa" w:w="4270"/>
            <w:shd w:val="clear" w:color="auto" w:fill="10375C"/>
          </w:tcPr>
          <w:p>
            <w:pPr>
              <w:spacing w:after="50" w:before="50"/>
            </w:pPr>
            <w:r>
              <w:rPr>
                <w:b/>
                <w:color w:val="FFFFFF"/>
                <w:sz w:val="17"/>
              </w:rPr>
              <w:t>Session</w:t>
            </w:r>
          </w:p>
        </w:tc>
        <w:tc>
          <w:tcPr>
            <w:tcW w:type="dxa" w:w="1935"/>
            <w:shd w:val="clear" w:color="auto" w:fill="10375C"/>
          </w:tcPr>
          <w:p>
            <w:pPr>
              <w:spacing w:after="50" w:before="50"/>
            </w:pPr>
            <w:r>
              <w:rPr>
                <w:b/>
                <w:color w:val="FFFFFF"/>
                <w:sz w:val="17"/>
              </w:rPr>
              <w:t>Method</w:t>
            </w:r>
          </w:p>
        </w:tc>
        <w:tc>
          <w:tcPr>
            <w:tcW w:type="dxa" w:w="2244"/>
            <w:shd w:val="clear" w:color="auto" w:fill="10375C"/>
          </w:tcPr>
          <w:p>
            <w:pPr>
              <w:spacing w:after="50" w:before="50"/>
            </w:pPr>
            <w:r>
              <w:rPr>
                <w:b/>
                <w:color w:val="FFFFFF"/>
                <w:sz w:val="17"/>
              </w:rPr>
              <w:t>Outcome</w:t>
            </w:r>
          </w:p>
        </w:tc>
      </w:tr>
      <w:tr>
        <w:tc>
          <w:tcPr>
            <w:tcW w:type="dxa" w:w="1019"/>
          </w:tcPr>
          <w:p>
            <w:pPr>
              <w:spacing w:after="50" w:before="50" w:line="252" w:lineRule="auto"/>
            </w:pPr>
            <w:r>
              <w:rPr>
                <w:sz w:val="17"/>
              </w:rPr>
              <w:t>09:00–09:20</w:t>
            </w:r>
          </w:p>
        </w:tc>
        <w:tc>
          <w:tcPr>
            <w:tcW w:type="dxa" w:w="4270"/>
          </w:tcPr>
          <w:p>
            <w:pPr>
              <w:spacing w:after="50" w:before="50" w:line="252" w:lineRule="auto"/>
            </w:pPr>
            <w:r>
              <w:rPr>
                <w:sz w:val="17"/>
              </w:rPr>
              <w:t>Review and reflective log discussion</w:t>
            </w:r>
          </w:p>
        </w:tc>
        <w:tc>
          <w:tcPr>
            <w:tcW w:type="dxa" w:w="1935"/>
          </w:tcPr>
          <w:p>
            <w:pPr>
              <w:spacing w:after="50" w:before="50" w:line="252" w:lineRule="auto"/>
            </w:pPr>
            <w:r>
              <w:rPr>
                <w:sz w:val="17"/>
              </w:rPr>
              <w:t>Plenary</w:t>
            </w:r>
          </w:p>
        </w:tc>
        <w:tc>
          <w:tcPr>
            <w:tcW w:type="dxa" w:w="2244"/>
          </w:tcPr>
          <w:p>
            <w:pPr>
              <w:spacing w:after="50" w:before="50" w:line="252" w:lineRule="auto"/>
            </w:pPr>
          </w:p>
        </w:tc>
      </w:tr>
      <w:tr>
        <w:tc>
          <w:tcPr>
            <w:tcW w:type="dxa" w:w="1019"/>
            <w:shd w:val="clear" w:color="auto" w:fill="EAF1F4"/>
          </w:tcPr>
          <w:p>
            <w:pPr>
              <w:spacing w:after="50" w:before="50" w:line="252" w:lineRule="auto"/>
            </w:pPr>
            <w:r>
              <w:rPr>
                <w:sz w:val="17"/>
              </w:rPr>
              <w:t>09:20–10:30</w:t>
            </w:r>
          </w:p>
        </w:tc>
        <w:tc>
          <w:tcPr>
            <w:tcW w:type="dxa" w:w="4270"/>
            <w:shd w:val="clear" w:color="auto" w:fill="EAF1F4"/>
          </w:tcPr>
          <w:p>
            <w:pPr>
              <w:spacing w:after="50" w:before="50" w:line="252" w:lineRule="auto"/>
            </w:pPr>
            <w:r>
              <w:rPr>
                <w:b/>
                <w:sz w:val="17"/>
              </w:rPr>
              <w:t>2.1 Active listening.</w:t>
            </w:r>
            <w:r>
              <w:rPr>
                <w:sz w:val="17"/>
              </w:rPr>
              <w:t xml:space="preserve"> Attending, minimal encouragers, paraphrase, summary; the discipline of not solving</w:t>
            </w:r>
          </w:p>
        </w:tc>
        <w:tc>
          <w:tcPr>
            <w:tcW w:type="dxa" w:w="1935"/>
            <w:shd w:val="clear" w:color="auto" w:fill="EAF1F4"/>
          </w:tcPr>
          <w:p>
            <w:pPr>
              <w:spacing w:after="50" w:before="50" w:line="252" w:lineRule="auto"/>
            </w:pPr>
            <w:r>
              <w:rPr>
                <w:sz w:val="17"/>
              </w:rPr>
              <w:t>Input and paired drills</w:t>
            </w:r>
          </w:p>
        </w:tc>
        <w:tc>
          <w:tcPr>
            <w:tcW w:type="dxa" w:w="2244"/>
            <w:shd w:val="clear" w:color="auto" w:fill="EAF1F4"/>
          </w:tcPr>
          <w:p>
            <w:pPr>
              <w:spacing w:after="50" w:before="50" w:line="252" w:lineRule="auto"/>
            </w:pPr>
            <w:r>
              <w:rPr>
                <w:sz w:val="17"/>
              </w:rPr>
              <w:t>Demonstrates the skill in drill</w:t>
            </w:r>
          </w:p>
        </w:tc>
      </w:tr>
      <w:tr>
        <w:tc>
          <w:tcPr>
            <w:tcW w:type="dxa" w:w="1019"/>
          </w:tcPr>
          <w:p>
            <w:pPr>
              <w:spacing w:after="50" w:before="50" w:line="252" w:lineRule="auto"/>
            </w:pPr>
            <w:r>
              <w:rPr>
                <w:sz w:val="17"/>
              </w:rPr>
              <w:t>10:30–11:30</w:t>
            </w:r>
          </w:p>
        </w:tc>
        <w:tc>
          <w:tcPr>
            <w:tcW w:type="dxa" w:w="4270"/>
          </w:tcPr>
          <w:p>
            <w:pPr>
              <w:spacing w:after="50" w:before="50" w:line="252" w:lineRule="auto"/>
            </w:pPr>
            <w:r>
              <w:rPr>
                <w:b/>
                <w:sz w:val="17"/>
              </w:rPr>
              <w:t>2.2 Questioning.</w:t>
            </w:r>
            <w:r>
              <w:rPr>
                <w:sz w:val="17"/>
              </w:rPr>
              <w:t xml:space="preserve"> Open, closed, circular, hypothetical, clarifying; sequencing; the funnel; questions that damage</w:t>
            </w:r>
          </w:p>
        </w:tc>
        <w:tc>
          <w:tcPr>
            <w:tcW w:type="dxa" w:w="1935"/>
          </w:tcPr>
          <w:p>
            <w:pPr>
              <w:spacing w:after="50" w:before="50" w:line="252" w:lineRule="auto"/>
            </w:pPr>
            <w:r>
              <w:rPr>
                <w:sz w:val="17"/>
              </w:rPr>
              <w:t>Input and drills</w:t>
            </w:r>
          </w:p>
        </w:tc>
        <w:tc>
          <w:tcPr>
            <w:tcW w:type="dxa" w:w="2244"/>
          </w:tcPr>
          <w:p>
            <w:pPr>
              <w:spacing w:after="50" w:before="50" w:line="252" w:lineRule="auto"/>
            </w:pPr>
            <w:r>
              <w:rPr>
                <w:sz w:val="17"/>
              </w:rPr>
              <w:t>Uses a deliberate question sequence</w:t>
            </w:r>
          </w:p>
        </w:tc>
      </w:tr>
      <w:tr>
        <w:tc>
          <w:tcPr>
            <w:tcW w:type="dxa" w:w="1019"/>
            <w:shd w:val="clear" w:color="auto" w:fill="EAF1F4"/>
          </w:tcPr>
          <w:p>
            <w:pPr>
              <w:spacing w:after="50" w:before="50" w:line="252" w:lineRule="auto"/>
            </w:pPr>
            <w:r>
              <w:rPr>
                <w:sz w:val="17"/>
              </w:rPr>
              <w:t>11:30–11:45</w:t>
            </w:r>
          </w:p>
        </w:tc>
        <w:tc>
          <w:tcPr>
            <w:tcW w:type="dxa" w:w="4270"/>
            <w:shd w:val="clear" w:color="auto" w:fill="EAF1F4"/>
          </w:tcPr>
          <w:p>
            <w:pPr>
              <w:spacing w:after="50" w:before="50" w:line="252" w:lineRule="auto"/>
            </w:pPr>
            <w:r>
              <w:rPr>
                <w:sz w:val="17"/>
              </w:rPr>
              <w:t>Break</w:t>
            </w:r>
          </w:p>
        </w:tc>
        <w:tc>
          <w:tcPr>
            <w:tcW w:type="dxa" w:w="1935"/>
            <w:shd w:val="clear" w:color="auto" w:fill="EAF1F4"/>
          </w:tcPr>
          <w:p>
            <w:pPr>
              <w:spacing w:after="50" w:before="50" w:line="252" w:lineRule="auto"/>
            </w:pPr>
          </w:p>
        </w:tc>
        <w:tc>
          <w:tcPr>
            <w:tcW w:type="dxa" w:w="2244"/>
            <w:shd w:val="clear" w:color="auto" w:fill="EAF1F4"/>
          </w:tcPr>
          <w:p>
            <w:pPr>
              <w:spacing w:after="50" w:before="50" w:line="252" w:lineRule="auto"/>
            </w:pPr>
          </w:p>
        </w:tc>
      </w:tr>
      <w:tr>
        <w:tc>
          <w:tcPr>
            <w:tcW w:type="dxa" w:w="1019"/>
          </w:tcPr>
          <w:p>
            <w:pPr>
              <w:spacing w:after="50" w:before="50" w:line="252" w:lineRule="auto"/>
            </w:pPr>
            <w:r>
              <w:rPr>
                <w:sz w:val="17"/>
              </w:rPr>
              <w:t>11:45–12:45</w:t>
            </w:r>
          </w:p>
        </w:tc>
        <w:tc>
          <w:tcPr>
            <w:tcW w:type="dxa" w:w="4270"/>
          </w:tcPr>
          <w:p>
            <w:pPr>
              <w:spacing w:after="50" w:before="50" w:line="252" w:lineRule="auto"/>
            </w:pPr>
            <w:r>
              <w:rPr>
                <w:b/>
                <w:sz w:val="17"/>
              </w:rPr>
              <w:t>2.3 Reframing and normalising.</w:t>
            </w:r>
            <w:r>
              <w:rPr>
                <w:sz w:val="17"/>
              </w:rPr>
              <w:t xml:space="preserve"> Removing blame while retaining meaning; reframing accusation into interest; the limits of reframing</w:t>
            </w:r>
          </w:p>
        </w:tc>
        <w:tc>
          <w:tcPr>
            <w:tcW w:type="dxa" w:w="1935"/>
          </w:tcPr>
          <w:p>
            <w:pPr>
              <w:spacing w:after="50" w:before="50" w:line="252" w:lineRule="auto"/>
            </w:pPr>
            <w:r>
              <w:rPr>
                <w:sz w:val="17"/>
              </w:rPr>
              <w:t>Input and drills</w:t>
            </w:r>
          </w:p>
        </w:tc>
        <w:tc>
          <w:tcPr>
            <w:tcW w:type="dxa" w:w="2244"/>
          </w:tcPr>
          <w:p>
            <w:pPr>
              <w:spacing w:after="50" w:before="50" w:line="252" w:lineRule="auto"/>
            </w:pPr>
            <w:r>
              <w:rPr>
                <w:sz w:val="17"/>
              </w:rPr>
              <w:t>Reframes accurately without distortion</w:t>
            </w:r>
          </w:p>
        </w:tc>
      </w:tr>
      <w:tr>
        <w:tc>
          <w:tcPr>
            <w:tcW w:type="dxa" w:w="1019"/>
            <w:shd w:val="clear" w:color="auto" w:fill="EAF1F4"/>
          </w:tcPr>
          <w:p>
            <w:pPr>
              <w:spacing w:after="50" w:before="50" w:line="252" w:lineRule="auto"/>
            </w:pPr>
            <w:r>
              <w:rPr>
                <w:sz w:val="17"/>
              </w:rPr>
              <w:t>12:45–13:30</w:t>
            </w:r>
          </w:p>
        </w:tc>
        <w:tc>
          <w:tcPr>
            <w:tcW w:type="dxa" w:w="4270"/>
            <w:shd w:val="clear" w:color="auto" w:fill="EAF1F4"/>
          </w:tcPr>
          <w:p>
            <w:pPr>
              <w:spacing w:after="50" w:before="50" w:line="252" w:lineRule="auto"/>
            </w:pPr>
            <w:r>
              <w:rPr>
                <w:b/>
                <w:sz w:val="17"/>
              </w:rPr>
              <w:t>2.4 Positions and interests.</w:t>
            </w:r>
            <w:r>
              <w:rPr>
                <w:sz w:val="17"/>
              </w:rPr>
              <w:t xml:space="preserve"> The distinction; why parties state positions; surfacing interests; the interests grid</w:t>
            </w:r>
          </w:p>
        </w:tc>
        <w:tc>
          <w:tcPr>
            <w:tcW w:type="dxa" w:w="1935"/>
            <w:shd w:val="clear" w:color="auto" w:fill="EAF1F4"/>
          </w:tcPr>
          <w:p>
            <w:pPr>
              <w:spacing w:after="50" w:before="50" w:line="252" w:lineRule="auto"/>
            </w:pPr>
            <w:r>
              <w:rPr>
                <w:sz w:val="17"/>
              </w:rPr>
              <w:t>Input and case analysis</w:t>
            </w:r>
          </w:p>
        </w:tc>
        <w:tc>
          <w:tcPr>
            <w:tcW w:type="dxa" w:w="2244"/>
            <w:shd w:val="clear" w:color="auto" w:fill="EAF1F4"/>
          </w:tcPr>
          <w:p>
            <w:pPr>
              <w:spacing w:after="50" w:before="50" w:line="252" w:lineRule="auto"/>
            </w:pPr>
            <w:r>
              <w:rPr>
                <w:sz w:val="17"/>
              </w:rPr>
              <w:t>Maps interests from a fact pattern</w:t>
            </w:r>
          </w:p>
        </w:tc>
      </w:tr>
      <w:tr>
        <w:tc>
          <w:tcPr>
            <w:tcW w:type="dxa" w:w="1019"/>
          </w:tcPr>
          <w:p>
            <w:pPr>
              <w:spacing w:after="50" w:before="50" w:line="252" w:lineRule="auto"/>
            </w:pPr>
            <w:r>
              <w:rPr>
                <w:sz w:val="17"/>
              </w:rPr>
              <w:t>13:30–14:15</w:t>
            </w:r>
          </w:p>
        </w:tc>
        <w:tc>
          <w:tcPr>
            <w:tcW w:type="dxa" w:w="4270"/>
          </w:tcPr>
          <w:p>
            <w:pPr>
              <w:spacing w:after="50" w:before="50" w:line="252" w:lineRule="auto"/>
            </w:pPr>
            <w:r>
              <w:rPr>
                <w:sz w:val="17"/>
              </w:rPr>
              <w:t>Lunch</w:t>
            </w:r>
          </w:p>
        </w:tc>
        <w:tc>
          <w:tcPr>
            <w:tcW w:type="dxa" w:w="1935"/>
          </w:tcPr>
          <w:p>
            <w:pPr>
              <w:spacing w:after="50" w:before="50" w:line="252" w:lineRule="auto"/>
            </w:pPr>
          </w:p>
        </w:tc>
        <w:tc>
          <w:tcPr>
            <w:tcW w:type="dxa" w:w="2244"/>
          </w:tcPr>
          <w:p>
            <w:pPr>
              <w:spacing w:after="50" w:before="50" w:line="252" w:lineRule="auto"/>
            </w:pPr>
          </w:p>
        </w:tc>
      </w:tr>
      <w:tr>
        <w:tc>
          <w:tcPr>
            <w:tcW w:type="dxa" w:w="1019"/>
            <w:shd w:val="clear" w:color="auto" w:fill="EAF1F4"/>
          </w:tcPr>
          <w:p>
            <w:pPr>
              <w:spacing w:after="50" w:before="50" w:line="252" w:lineRule="auto"/>
            </w:pPr>
            <w:r>
              <w:rPr>
                <w:sz w:val="17"/>
              </w:rPr>
              <w:t>14:15–15:45</w:t>
            </w:r>
          </w:p>
        </w:tc>
        <w:tc>
          <w:tcPr>
            <w:tcW w:type="dxa" w:w="4270"/>
            <w:shd w:val="clear" w:color="auto" w:fill="EAF1F4"/>
          </w:tcPr>
          <w:p>
            <w:pPr>
              <w:spacing w:after="50" w:before="50" w:line="252" w:lineRule="auto"/>
            </w:pPr>
            <w:r>
              <w:rPr>
                <w:b/>
                <w:sz w:val="17"/>
              </w:rPr>
              <w:t>2.5 Simulation 2 — information gathering.</w:t>
            </w:r>
            <w:r>
              <w:rPr>
                <w:sz w:val="17"/>
              </w:rPr>
              <w:t xml:space="preserve"> Full opening and information-gathering phase on a commercial payment dispute</w:t>
            </w:r>
          </w:p>
        </w:tc>
        <w:tc>
          <w:tcPr>
            <w:tcW w:type="dxa" w:w="1935"/>
            <w:shd w:val="clear" w:color="auto" w:fill="EAF1F4"/>
          </w:tcPr>
          <w:p>
            <w:pPr>
              <w:spacing w:after="50" w:before="50" w:line="252" w:lineRule="auto"/>
            </w:pPr>
            <w:r>
              <w:rPr>
                <w:sz w:val="17"/>
              </w:rPr>
              <w:t>Simulation in threes, observers scoring</w:t>
            </w:r>
          </w:p>
        </w:tc>
        <w:tc>
          <w:tcPr>
            <w:tcW w:type="dxa" w:w="2244"/>
            <w:shd w:val="clear" w:color="auto" w:fill="EAF1F4"/>
          </w:tcPr>
          <w:p>
            <w:pPr>
              <w:spacing w:after="50" w:before="50" w:line="252" w:lineRule="auto"/>
            </w:pPr>
            <w:r>
              <w:rPr>
                <w:sz w:val="17"/>
              </w:rPr>
              <w:t>Sustains a phase under observation</w:t>
            </w:r>
          </w:p>
        </w:tc>
      </w:tr>
      <w:tr>
        <w:tc>
          <w:tcPr>
            <w:tcW w:type="dxa" w:w="1019"/>
          </w:tcPr>
          <w:p>
            <w:pPr>
              <w:spacing w:after="50" w:before="50" w:line="252" w:lineRule="auto"/>
            </w:pPr>
            <w:r>
              <w:rPr>
                <w:sz w:val="17"/>
              </w:rPr>
              <w:t>15:45–16:30</w:t>
            </w:r>
          </w:p>
        </w:tc>
        <w:tc>
          <w:tcPr>
            <w:tcW w:type="dxa" w:w="4270"/>
          </w:tcPr>
          <w:p>
            <w:pPr>
              <w:spacing w:after="50" w:before="50" w:line="252" w:lineRule="auto"/>
            </w:pPr>
            <w:r>
              <w:rPr>
                <w:b/>
                <w:sz w:val="17"/>
              </w:rPr>
              <w:t>Structured debrief</w:t>
            </w:r>
            <w:r>
              <w:rPr>
                <w:sz w:val="17"/>
              </w:rPr>
              <w:t xml:space="preserve"> — self, party, observer, faculty, in that order</w:t>
            </w:r>
          </w:p>
        </w:tc>
        <w:tc>
          <w:tcPr>
            <w:tcW w:type="dxa" w:w="1935"/>
          </w:tcPr>
          <w:p>
            <w:pPr>
              <w:spacing w:after="50" w:before="50" w:line="252" w:lineRule="auto"/>
            </w:pPr>
            <w:r>
              <w:rPr>
                <w:sz w:val="17"/>
              </w:rPr>
              <w:t>Plenary and small group</w:t>
            </w:r>
          </w:p>
        </w:tc>
        <w:tc>
          <w:tcPr>
            <w:tcW w:type="dxa" w:w="2244"/>
          </w:tcPr>
          <w:p>
            <w:pPr>
              <w:spacing w:after="50" w:before="50" w:line="252" w:lineRule="auto"/>
            </w:pPr>
            <w:r>
              <w:rPr>
                <w:sz w:val="17"/>
              </w:rPr>
              <w:t>Learns from structured feedback</w:t>
            </w:r>
          </w:p>
        </w:tc>
      </w:tr>
      <w:tr>
        <w:tc>
          <w:tcPr>
            <w:tcW w:type="dxa" w:w="1019"/>
            <w:shd w:val="clear" w:color="auto" w:fill="EAF1F4"/>
          </w:tcPr>
          <w:p>
            <w:pPr>
              <w:spacing w:after="50" w:before="50" w:line="252" w:lineRule="auto"/>
            </w:pPr>
            <w:r>
              <w:rPr>
                <w:sz w:val="17"/>
              </w:rPr>
              <w:t>16:30–16:45</w:t>
            </w:r>
          </w:p>
        </w:tc>
        <w:tc>
          <w:tcPr>
            <w:tcW w:type="dxa" w:w="4270"/>
            <w:shd w:val="clear" w:color="auto" w:fill="EAF1F4"/>
          </w:tcPr>
          <w:p>
            <w:pPr>
              <w:spacing w:after="50" w:before="50" w:line="252" w:lineRule="auto"/>
            </w:pPr>
            <w:r>
              <w:rPr>
                <w:sz w:val="17"/>
              </w:rPr>
              <w:t>Break</w:t>
            </w:r>
          </w:p>
        </w:tc>
        <w:tc>
          <w:tcPr>
            <w:tcW w:type="dxa" w:w="1935"/>
            <w:shd w:val="clear" w:color="auto" w:fill="EAF1F4"/>
          </w:tcPr>
          <w:p>
            <w:pPr>
              <w:spacing w:after="50" w:before="50" w:line="252" w:lineRule="auto"/>
            </w:pPr>
          </w:p>
        </w:tc>
        <w:tc>
          <w:tcPr>
            <w:tcW w:type="dxa" w:w="2244"/>
            <w:shd w:val="clear" w:color="auto" w:fill="EAF1F4"/>
          </w:tcPr>
          <w:p>
            <w:pPr>
              <w:spacing w:after="50" w:before="50" w:line="252" w:lineRule="auto"/>
            </w:pPr>
          </w:p>
        </w:tc>
      </w:tr>
      <w:tr>
        <w:tc>
          <w:tcPr>
            <w:tcW w:type="dxa" w:w="1019"/>
          </w:tcPr>
          <w:p>
            <w:pPr>
              <w:spacing w:after="50" w:before="50" w:line="252" w:lineRule="auto"/>
            </w:pPr>
            <w:r>
              <w:rPr>
                <w:sz w:val="17"/>
              </w:rPr>
              <w:t>16:45–17:45</w:t>
            </w:r>
          </w:p>
        </w:tc>
        <w:tc>
          <w:tcPr>
            <w:tcW w:type="dxa" w:w="4270"/>
          </w:tcPr>
          <w:p>
            <w:pPr>
              <w:spacing w:after="50" w:before="50" w:line="252" w:lineRule="auto"/>
            </w:pPr>
            <w:r>
              <w:rPr>
                <w:b/>
                <w:sz w:val="17"/>
              </w:rPr>
              <w:t>2.6 Emotion in the room.</w:t>
            </w:r>
            <w:r>
              <w:rPr>
                <w:sz w:val="17"/>
              </w:rPr>
              <w:t xml:space="preserve"> Acknowledging without endorsing; managing anger and distress; when to pause; the mediator's own reactions</w:t>
            </w:r>
          </w:p>
        </w:tc>
        <w:tc>
          <w:tcPr>
            <w:tcW w:type="dxa" w:w="1935"/>
          </w:tcPr>
          <w:p>
            <w:pPr>
              <w:spacing w:after="50" w:before="50" w:line="252" w:lineRule="auto"/>
            </w:pPr>
            <w:r>
              <w:rPr>
                <w:sz w:val="17"/>
              </w:rPr>
              <w:t>Input and demonstration</w:t>
            </w:r>
          </w:p>
        </w:tc>
        <w:tc>
          <w:tcPr>
            <w:tcW w:type="dxa" w:w="2244"/>
          </w:tcPr>
          <w:p>
            <w:pPr>
              <w:spacing w:after="50" w:before="50" w:line="252" w:lineRule="auto"/>
            </w:pPr>
            <w:r>
              <w:rPr>
                <w:sz w:val="17"/>
              </w:rPr>
              <w:t>Responds rather than reacts</w:t>
            </w:r>
          </w:p>
        </w:tc>
      </w:tr>
      <w:tr>
        <w:tc>
          <w:tcPr>
            <w:tcW w:type="dxa" w:w="1019"/>
            <w:shd w:val="clear" w:color="auto" w:fill="EAF1F4"/>
          </w:tcPr>
          <w:p>
            <w:pPr>
              <w:spacing w:after="50" w:before="50" w:line="252" w:lineRule="auto"/>
            </w:pPr>
            <w:r>
              <w:rPr>
                <w:sz w:val="17"/>
              </w:rPr>
              <w:t>17:45–18:00</w:t>
            </w:r>
          </w:p>
        </w:tc>
        <w:tc>
          <w:tcPr>
            <w:tcW w:type="dxa" w:w="4270"/>
            <w:shd w:val="clear" w:color="auto" w:fill="EAF1F4"/>
          </w:tcPr>
          <w:p>
            <w:pPr>
              <w:spacing w:after="50" w:before="50" w:line="252" w:lineRule="auto"/>
            </w:pPr>
            <w:r>
              <w:rPr>
                <w:sz w:val="17"/>
              </w:rPr>
              <w:t>Reflective log</w:t>
            </w:r>
          </w:p>
        </w:tc>
        <w:tc>
          <w:tcPr>
            <w:tcW w:type="dxa" w:w="1935"/>
            <w:shd w:val="clear" w:color="auto" w:fill="EAF1F4"/>
          </w:tcPr>
          <w:p>
            <w:pPr>
              <w:spacing w:after="50" w:before="50" w:line="252" w:lineRule="auto"/>
            </w:pPr>
          </w:p>
        </w:tc>
        <w:tc>
          <w:tcPr>
            <w:tcW w:type="dxa" w:w="2244"/>
            <w:shd w:val="clear" w:color="auto" w:fill="EAF1F4"/>
          </w:tcPr>
          <w:p>
            <w:pPr>
              <w:spacing w:after="50" w:before="50" w:line="252" w:lineRule="auto"/>
            </w:pPr>
          </w:p>
        </w:tc>
      </w:tr>
    </w:tbl>
    <w:p>
      <w:pPr>
        <w:spacing w:after="80" w:before="0"/>
      </w:pPr>
    </w:p>
    <w:p>
      <w:pPr>
        <w:pStyle w:val="Heading2"/>
      </w:pPr>
      <w:r>
        <w:t>Day 3 · Process management, caucus and negotiation</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1086"/>
            <w:shd w:val="clear" w:color="auto" w:fill="10375C"/>
          </w:tcPr>
          <w:p>
            <w:pPr>
              <w:spacing w:after="50" w:before="50"/>
            </w:pPr>
            <w:r>
              <w:rPr>
                <w:b/>
                <w:color w:val="FFFFFF"/>
                <w:sz w:val="17"/>
              </w:rPr>
              <w:t>Time</w:t>
            </w:r>
          </w:p>
        </w:tc>
        <w:tc>
          <w:tcPr>
            <w:tcW w:type="dxa" w:w="4566"/>
            <w:shd w:val="clear" w:color="auto" w:fill="10375C"/>
          </w:tcPr>
          <w:p>
            <w:pPr>
              <w:spacing w:after="50" w:before="50"/>
            </w:pPr>
            <w:r>
              <w:rPr>
                <w:b/>
                <w:color w:val="FFFFFF"/>
                <w:sz w:val="17"/>
              </w:rPr>
              <w:t>Session</w:t>
            </w:r>
          </w:p>
        </w:tc>
        <w:tc>
          <w:tcPr>
            <w:tcW w:type="dxa" w:w="1689"/>
            <w:shd w:val="clear" w:color="auto" w:fill="10375C"/>
          </w:tcPr>
          <w:p>
            <w:pPr>
              <w:spacing w:after="50" w:before="50"/>
            </w:pPr>
            <w:r>
              <w:rPr>
                <w:b/>
                <w:color w:val="FFFFFF"/>
                <w:sz w:val="17"/>
              </w:rPr>
              <w:t>Method</w:t>
            </w:r>
          </w:p>
        </w:tc>
        <w:tc>
          <w:tcPr>
            <w:tcW w:type="dxa" w:w="2127"/>
            <w:shd w:val="clear" w:color="auto" w:fill="10375C"/>
          </w:tcPr>
          <w:p>
            <w:pPr>
              <w:spacing w:after="50" w:before="50"/>
            </w:pPr>
            <w:r>
              <w:rPr>
                <w:b/>
                <w:color w:val="FFFFFF"/>
                <w:sz w:val="17"/>
              </w:rPr>
              <w:t>Outcome</w:t>
            </w:r>
          </w:p>
        </w:tc>
      </w:tr>
      <w:tr>
        <w:tc>
          <w:tcPr>
            <w:tcW w:type="dxa" w:w="1086"/>
          </w:tcPr>
          <w:p>
            <w:pPr>
              <w:spacing w:after="50" w:before="50" w:line="252" w:lineRule="auto"/>
            </w:pPr>
            <w:r>
              <w:rPr>
                <w:sz w:val="17"/>
              </w:rPr>
              <w:t>09:00–09:20</w:t>
            </w:r>
          </w:p>
        </w:tc>
        <w:tc>
          <w:tcPr>
            <w:tcW w:type="dxa" w:w="4566"/>
          </w:tcPr>
          <w:p>
            <w:pPr>
              <w:spacing w:after="50" w:before="50" w:line="252" w:lineRule="auto"/>
            </w:pPr>
            <w:r>
              <w:rPr>
                <w:sz w:val="17"/>
              </w:rPr>
              <w:t>Review</w:t>
            </w:r>
          </w:p>
        </w:tc>
        <w:tc>
          <w:tcPr>
            <w:tcW w:type="dxa" w:w="1689"/>
          </w:tcPr>
          <w:p>
            <w:pPr>
              <w:spacing w:after="50" w:before="50" w:line="252" w:lineRule="auto"/>
            </w:pPr>
          </w:p>
        </w:tc>
        <w:tc>
          <w:tcPr>
            <w:tcW w:type="dxa" w:w="2127"/>
          </w:tcPr>
          <w:p>
            <w:pPr>
              <w:spacing w:after="50" w:before="50" w:line="252" w:lineRule="auto"/>
            </w:pPr>
          </w:p>
        </w:tc>
      </w:tr>
      <w:tr>
        <w:tc>
          <w:tcPr>
            <w:tcW w:type="dxa" w:w="1086"/>
            <w:shd w:val="clear" w:color="auto" w:fill="EAF1F4"/>
          </w:tcPr>
          <w:p>
            <w:pPr>
              <w:spacing w:after="50" w:before="50" w:line="252" w:lineRule="auto"/>
            </w:pPr>
            <w:r>
              <w:rPr>
                <w:sz w:val="17"/>
              </w:rPr>
              <w:t>09:20–10:20</w:t>
            </w:r>
          </w:p>
        </w:tc>
        <w:tc>
          <w:tcPr>
            <w:tcW w:type="dxa" w:w="4566"/>
            <w:shd w:val="clear" w:color="auto" w:fill="EAF1F4"/>
          </w:tcPr>
          <w:p>
            <w:pPr>
              <w:spacing w:after="50" w:before="50" w:line="252" w:lineRule="auto"/>
            </w:pPr>
            <w:r>
              <w:rPr>
                <w:b/>
                <w:sz w:val="17"/>
              </w:rPr>
              <w:t>3.1 The caucus.</w:t>
            </w:r>
            <w:r>
              <w:rPr>
                <w:sz w:val="17"/>
              </w:rPr>
              <w:t xml:space="preserve"> Purpose; when to call one; confidentiality within caucus; even-handedness; the cardinal error of unequal time; managing what may be carried across</w:t>
            </w:r>
          </w:p>
        </w:tc>
        <w:tc>
          <w:tcPr>
            <w:tcW w:type="dxa" w:w="1689"/>
            <w:shd w:val="clear" w:color="auto" w:fill="EAF1F4"/>
          </w:tcPr>
          <w:p>
            <w:pPr>
              <w:spacing w:after="50" w:before="50" w:line="252" w:lineRule="auto"/>
            </w:pPr>
            <w:r>
              <w:rPr>
                <w:sz w:val="17"/>
              </w:rPr>
              <w:t>Input and case discussion</w:t>
            </w:r>
          </w:p>
        </w:tc>
        <w:tc>
          <w:tcPr>
            <w:tcW w:type="dxa" w:w="2127"/>
            <w:shd w:val="clear" w:color="auto" w:fill="EAF1F4"/>
          </w:tcPr>
          <w:p>
            <w:pPr>
              <w:spacing w:after="50" w:before="50" w:line="252" w:lineRule="auto"/>
            </w:pPr>
            <w:r>
              <w:rPr>
                <w:sz w:val="17"/>
              </w:rPr>
              <w:t>Runs a caucus with correct discipline</w:t>
            </w:r>
          </w:p>
        </w:tc>
      </w:tr>
      <w:tr>
        <w:tc>
          <w:tcPr>
            <w:tcW w:type="dxa" w:w="1086"/>
          </w:tcPr>
          <w:p>
            <w:pPr>
              <w:spacing w:after="50" w:before="50" w:line="252" w:lineRule="auto"/>
            </w:pPr>
            <w:r>
              <w:rPr>
                <w:sz w:val="17"/>
              </w:rPr>
              <w:t>10:20–11:30</w:t>
            </w:r>
          </w:p>
        </w:tc>
        <w:tc>
          <w:tcPr>
            <w:tcW w:type="dxa" w:w="4566"/>
          </w:tcPr>
          <w:p>
            <w:pPr>
              <w:spacing w:after="50" w:before="50" w:line="252" w:lineRule="auto"/>
            </w:pPr>
            <w:r>
              <w:rPr>
                <w:b/>
                <w:sz w:val="17"/>
              </w:rPr>
              <w:t>3.2 Simulation 3 — caucus practice</w:t>
            </w:r>
          </w:p>
        </w:tc>
        <w:tc>
          <w:tcPr>
            <w:tcW w:type="dxa" w:w="1689"/>
          </w:tcPr>
          <w:p>
            <w:pPr>
              <w:spacing w:after="50" w:before="50" w:line="252" w:lineRule="auto"/>
            </w:pPr>
            <w:r>
              <w:rPr>
                <w:sz w:val="17"/>
              </w:rPr>
              <w:t>Simulation</w:t>
            </w:r>
          </w:p>
        </w:tc>
        <w:tc>
          <w:tcPr>
            <w:tcW w:type="dxa" w:w="2127"/>
          </w:tcPr>
          <w:p>
            <w:pPr>
              <w:spacing w:after="50" w:before="50" w:line="252" w:lineRule="auto"/>
            </w:pPr>
          </w:p>
        </w:tc>
      </w:tr>
      <w:tr>
        <w:tc>
          <w:tcPr>
            <w:tcW w:type="dxa" w:w="1086"/>
            <w:shd w:val="clear" w:color="auto" w:fill="EAF1F4"/>
          </w:tcPr>
          <w:p>
            <w:pPr>
              <w:spacing w:after="50" w:before="50" w:line="252" w:lineRule="auto"/>
            </w:pPr>
            <w:r>
              <w:rPr>
                <w:sz w:val="17"/>
              </w:rPr>
              <w:t>11:30–11:45</w:t>
            </w:r>
          </w:p>
        </w:tc>
        <w:tc>
          <w:tcPr>
            <w:tcW w:type="dxa" w:w="4566"/>
            <w:shd w:val="clear" w:color="auto" w:fill="EAF1F4"/>
          </w:tcPr>
          <w:p>
            <w:pPr>
              <w:spacing w:after="50" w:before="50" w:line="252" w:lineRule="auto"/>
            </w:pPr>
            <w:r>
              <w:rPr>
                <w:sz w:val="17"/>
              </w:rPr>
              <w:t>Break</w:t>
            </w:r>
          </w:p>
        </w:tc>
        <w:tc>
          <w:tcPr>
            <w:tcW w:type="dxa" w:w="1689"/>
            <w:shd w:val="clear" w:color="auto" w:fill="EAF1F4"/>
          </w:tcPr>
          <w:p>
            <w:pPr>
              <w:spacing w:after="50" w:before="50" w:line="252" w:lineRule="auto"/>
            </w:pPr>
          </w:p>
        </w:tc>
        <w:tc>
          <w:tcPr>
            <w:tcW w:type="dxa" w:w="2127"/>
            <w:shd w:val="clear" w:color="auto" w:fill="EAF1F4"/>
          </w:tcPr>
          <w:p>
            <w:pPr>
              <w:spacing w:after="50" w:before="50" w:line="252" w:lineRule="auto"/>
            </w:pPr>
          </w:p>
        </w:tc>
      </w:tr>
      <w:tr>
        <w:tc>
          <w:tcPr>
            <w:tcW w:type="dxa" w:w="1086"/>
          </w:tcPr>
          <w:p>
            <w:pPr>
              <w:spacing w:after="50" w:before="50" w:line="252" w:lineRule="auto"/>
            </w:pPr>
            <w:r>
              <w:rPr>
                <w:sz w:val="17"/>
              </w:rPr>
              <w:t>11:45–12:45</w:t>
            </w:r>
          </w:p>
        </w:tc>
        <w:tc>
          <w:tcPr>
            <w:tcW w:type="dxa" w:w="4566"/>
          </w:tcPr>
          <w:p>
            <w:pPr>
              <w:spacing w:after="50" w:before="50" w:line="252" w:lineRule="auto"/>
            </w:pPr>
            <w:r>
              <w:rPr>
                <w:b/>
                <w:sz w:val="17"/>
              </w:rPr>
              <w:t>3.3 Negotiation theory for mediators.</w:t>
            </w:r>
            <w:r>
              <w:rPr>
                <w:sz w:val="17"/>
              </w:rPr>
              <w:t xml:space="preserve"> Distributive and integrative bargaining; BATNA, WATNA and ZOPA; anchoring and concession patterns; the negotiator's dilemma</w:t>
            </w:r>
          </w:p>
        </w:tc>
        <w:tc>
          <w:tcPr>
            <w:tcW w:type="dxa" w:w="1689"/>
          </w:tcPr>
          <w:p>
            <w:pPr>
              <w:spacing w:after="50" w:before="50" w:line="252" w:lineRule="auto"/>
            </w:pPr>
            <w:r>
              <w:rPr>
                <w:sz w:val="17"/>
              </w:rPr>
              <w:t>Input and exercise</w:t>
            </w:r>
          </w:p>
        </w:tc>
        <w:tc>
          <w:tcPr>
            <w:tcW w:type="dxa" w:w="2127"/>
          </w:tcPr>
          <w:p>
            <w:pPr>
              <w:spacing w:after="50" w:before="50" w:line="252" w:lineRule="auto"/>
            </w:pPr>
            <w:r>
              <w:rPr>
                <w:sz w:val="17"/>
              </w:rPr>
              <w:t>Analyses a negotiation structurally</w:t>
            </w:r>
          </w:p>
        </w:tc>
      </w:tr>
      <w:tr>
        <w:tc>
          <w:tcPr>
            <w:tcW w:type="dxa" w:w="1086"/>
            <w:shd w:val="clear" w:color="auto" w:fill="EAF1F4"/>
          </w:tcPr>
          <w:p>
            <w:pPr>
              <w:spacing w:after="50" w:before="50" w:line="252" w:lineRule="auto"/>
            </w:pPr>
            <w:r>
              <w:rPr>
                <w:sz w:val="17"/>
              </w:rPr>
              <w:t>12:45–13:30</w:t>
            </w:r>
          </w:p>
        </w:tc>
        <w:tc>
          <w:tcPr>
            <w:tcW w:type="dxa" w:w="4566"/>
            <w:shd w:val="clear" w:color="auto" w:fill="EAF1F4"/>
          </w:tcPr>
          <w:p>
            <w:pPr>
              <w:spacing w:after="50" w:before="50" w:line="252" w:lineRule="auto"/>
            </w:pPr>
            <w:r>
              <w:rPr>
                <w:b/>
                <w:sz w:val="17"/>
              </w:rPr>
              <w:t>3.4 Option generation.</w:t>
            </w:r>
            <w:r>
              <w:rPr>
                <w:sz w:val="17"/>
              </w:rPr>
              <w:t xml:space="preserve"> Separating invention from decision; expanding the pie; objective criteria; avoiding premature evaluation</w:t>
            </w:r>
          </w:p>
        </w:tc>
        <w:tc>
          <w:tcPr>
            <w:tcW w:type="dxa" w:w="1689"/>
            <w:shd w:val="clear" w:color="auto" w:fill="EAF1F4"/>
          </w:tcPr>
          <w:p>
            <w:pPr>
              <w:spacing w:after="50" w:before="50" w:line="252" w:lineRule="auto"/>
            </w:pPr>
            <w:r>
              <w:rPr>
                <w:sz w:val="17"/>
              </w:rPr>
              <w:t>Input and exercise</w:t>
            </w:r>
          </w:p>
        </w:tc>
        <w:tc>
          <w:tcPr>
            <w:tcW w:type="dxa" w:w="2127"/>
            <w:shd w:val="clear" w:color="auto" w:fill="EAF1F4"/>
          </w:tcPr>
          <w:p>
            <w:pPr>
              <w:spacing w:after="50" w:before="50" w:line="252" w:lineRule="auto"/>
            </w:pPr>
            <w:r>
              <w:rPr>
                <w:sz w:val="17"/>
              </w:rPr>
              <w:t>Generates options without evaluating</w:t>
            </w:r>
          </w:p>
        </w:tc>
      </w:tr>
      <w:tr>
        <w:tc>
          <w:tcPr>
            <w:tcW w:type="dxa" w:w="1086"/>
          </w:tcPr>
          <w:p>
            <w:pPr>
              <w:spacing w:after="50" w:before="50" w:line="252" w:lineRule="auto"/>
            </w:pPr>
            <w:r>
              <w:rPr>
                <w:sz w:val="17"/>
              </w:rPr>
              <w:t>13:30–14:15</w:t>
            </w:r>
          </w:p>
        </w:tc>
        <w:tc>
          <w:tcPr>
            <w:tcW w:type="dxa" w:w="4566"/>
          </w:tcPr>
          <w:p>
            <w:pPr>
              <w:spacing w:after="50" w:before="50" w:line="252" w:lineRule="auto"/>
            </w:pPr>
            <w:r>
              <w:rPr>
                <w:sz w:val="17"/>
              </w:rPr>
              <w:t>Lunch</w:t>
            </w:r>
          </w:p>
        </w:tc>
        <w:tc>
          <w:tcPr>
            <w:tcW w:type="dxa" w:w="1689"/>
          </w:tcPr>
          <w:p>
            <w:pPr>
              <w:spacing w:after="50" w:before="50" w:line="252" w:lineRule="auto"/>
            </w:pPr>
          </w:p>
        </w:tc>
        <w:tc>
          <w:tcPr>
            <w:tcW w:type="dxa" w:w="2127"/>
          </w:tcPr>
          <w:p>
            <w:pPr>
              <w:spacing w:after="50" w:before="50" w:line="252" w:lineRule="auto"/>
            </w:pPr>
          </w:p>
        </w:tc>
      </w:tr>
      <w:tr>
        <w:tc>
          <w:tcPr>
            <w:tcW w:type="dxa" w:w="1086"/>
            <w:shd w:val="clear" w:color="auto" w:fill="EAF1F4"/>
          </w:tcPr>
          <w:p>
            <w:pPr>
              <w:spacing w:after="50" w:before="50" w:line="252" w:lineRule="auto"/>
            </w:pPr>
            <w:r>
              <w:rPr>
                <w:sz w:val="17"/>
              </w:rPr>
              <w:t>14:15–15:15</w:t>
            </w:r>
          </w:p>
        </w:tc>
        <w:tc>
          <w:tcPr>
            <w:tcW w:type="dxa" w:w="4566"/>
            <w:shd w:val="clear" w:color="auto" w:fill="EAF1F4"/>
          </w:tcPr>
          <w:p>
            <w:pPr>
              <w:spacing w:after="50" w:before="50" w:line="252" w:lineRule="auto"/>
            </w:pPr>
            <w:r>
              <w:rPr>
                <w:b/>
                <w:sz w:val="17"/>
              </w:rPr>
              <w:t>3.5 Reality testing.</w:t>
            </w:r>
            <w:r>
              <w:rPr>
                <w:sz w:val="17"/>
              </w:rPr>
              <w:t xml:space="preserve"> Testing without directing; the difference between reality testing and pressure; the boundary of the mediator's role</w:t>
            </w:r>
          </w:p>
        </w:tc>
        <w:tc>
          <w:tcPr>
            <w:tcW w:type="dxa" w:w="1689"/>
            <w:shd w:val="clear" w:color="auto" w:fill="EAF1F4"/>
          </w:tcPr>
          <w:p>
            <w:pPr>
              <w:spacing w:after="50" w:before="50" w:line="252" w:lineRule="auto"/>
            </w:pPr>
            <w:r>
              <w:rPr>
                <w:sz w:val="17"/>
              </w:rPr>
              <w:t>Input and demonstration</w:t>
            </w:r>
          </w:p>
        </w:tc>
        <w:tc>
          <w:tcPr>
            <w:tcW w:type="dxa" w:w="2127"/>
            <w:shd w:val="clear" w:color="auto" w:fill="EAF1F4"/>
          </w:tcPr>
          <w:p>
            <w:pPr>
              <w:spacing w:after="50" w:before="50" w:line="252" w:lineRule="auto"/>
            </w:pPr>
            <w:r>
              <w:rPr>
                <w:sz w:val="17"/>
              </w:rPr>
              <w:t>Tests without crossing the line</w:t>
            </w:r>
          </w:p>
        </w:tc>
      </w:tr>
      <w:tr>
        <w:tc>
          <w:tcPr>
            <w:tcW w:type="dxa" w:w="1086"/>
          </w:tcPr>
          <w:p>
            <w:pPr>
              <w:spacing w:after="50" w:before="50" w:line="252" w:lineRule="auto"/>
            </w:pPr>
            <w:r>
              <w:rPr>
                <w:sz w:val="17"/>
              </w:rPr>
              <w:t>15:15–17:00</w:t>
            </w:r>
          </w:p>
        </w:tc>
        <w:tc>
          <w:tcPr>
            <w:tcW w:type="dxa" w:w="4566"/>
          </w:tcPr>
          <w:p>
            <w:pPr>
              <w:spacing w:after="50" w:before="50" w:line="252" w:lineRule="auto"/>
            </w:pPr>
            <w:r>
              <w:rPr>
                <w:b/>
                <w:sz w:val="17"/>
              </w:rPr>
              <w:t>Simulation 4 — negotiation phase</w:t>
            </w:r>
            <w:r>
              <w:rPr>
                <w:sz w:val="17"/>
              </w:rPr>
              <w:t>, full cycle including caucus</w:t>
            </w:r>
          </w:p>
        </w:tc>
        <w:tc>
          <w:tcPr>
            <w:tcW w:type="dxa" w:w="1689"/>
          </w:tcPr>
          <w:p>
            <w:pPr>
              <w:spacing w:after="50" w:before="50" w:line="252" w:lineRule="auto"/>
            </w:pPr>
            <w:r>
              <w:rPr>
                <w:sz w:val="17"/>
              </w:rPr>
              <w:t>Simulation with observer scoring</w:t>
            </w:r>
          </w:p>
        </w:tc>
        <w:tc>
          <w:tcPr>
            <w:tcW w:type="dxa" w:w="2127"/>
          </w:tcPr>
          <w:p>
            <w:pPr>
              <w:spacing w:after="50" w:before="50" w:line="252" w:lineRule="auto"/>
            </w:pPr>
            <w:r>
              <w:rPr>
                <w:sz w:val="17"/>
              </w:rPr>
              <w:t>Sustains the middle of a mediation</w:t>
            </w:r>
          </w:p>
        </w:tc>
      </w:tr>
      <w:tr>
        <w:tc>
          <w:tcPr>
            <w:tcW w:type="dxa" w:w="1086"/>
            <w:shd w:val="clear" w:color="auto" w:fill="EAF1F4"/>
          </w:tcPr>
          <w:p>
            <w:pPr>
              <w:spacing w:after="50" w:before="50" w:line="252" w:lineRule="auto"/>
            </w:pPr>
            <w:r>
              <w:rPr>
                <w:sz w:val="17"/>
              </w:rPr>
              <w:t>17:00–17:45</w:t>
            </w:r>
          </w:p>
        </w:tc>
        <w:tc>
          <w:tcPr>
            <w:tcW w:type="dxa" w:w="4566"/>
            <w:shd w:val="clear" w:color="auto" w:fill="EAF1F4"/>
          </w:tcPr>
          <w:p>
            <w:pPr>
              <w:spacing w:after="50" w:before="50" w:line="252" w:lineRule="auto"/>
            </w:pPr>
            <w:r>
              <w:rPr>
                <w:b/>
                <w:sz w:val="17"/>
              </w:rPr>
              <w:t>Structured debrief</w:t>
            </w:r>
          </w:p>
        </w:tc>
        <w:tc>
          <w:tcPr>
            <w:tcW w:type="dxa" w:w="1689"/>
            <w:shd w:val="clear" w:color="auto" w:fill="EAF1F4"/>
          </w:tcPr>
          <w:p>
            <w:pPr>
              <w:spacing w:after="50" w:before="50" w:line="252" w:lineRule="auto"/>
            </w:pPr>
          </w:p>
        </w:tc>
        <w:tc>
          <w:tcPr>
            <w:tcW w:type="dxa" w:w="2127"/>
            <w:shd w:val="clear" w:color="auto" w:fill="EAF1F4"/>
          </w:tcPr>
          <w:p>
            <w:pPr>
              <w:spacing w:after="50" w:before="50" w:line="252" w:lineRule="auto"/>
            </w:pPr>
          </w:p>
        </w:tc>
      </w:tr>
      <w:tr>
        <w:tc>
          <w:tcPr>
            <w:tcW w:type="dxa" w:w="1086"/>
          </w:tcPr>
          <w:p>
            <w:pPr>
              <w:spacing w:after="50" w:before="50" w:line="252" w:lineRule="auto"/>
            </w:pPr>
            <w:r>
              <w:rPr>
                <w:sz w:val="17"/>
              </w:rPr>
              <w:t>17:45–18:00</w:t>
            </w:r>
          </w:p>
        </w:tc>
        <w:tc>
          <w:tcPr>
            <w:tcW w:type="dxa" w:w="4566"/>
          </w:tcPr>
          <w:p>
            <w:pPr>
              <w:spacing w:after="50" w:before="50" w:line="252" w:lineRule="auto"/>
            </w:pPr>
            <w:r>
              <w:rPr>
                <w:sz w:val="17"/>
              </w:rPr>
              <w:t>Reflective log</w:t>
            </w:r>
          </w:p>
        </w:tc>
        <w:tc>
          <w:tcPr>
            <w:tcW w:type="dxa" w:w="1689"/>
          </w:tcPr>
          <w:p>
            <w:pPr>
              <w:spacing w:after="50" w:before="50" w:line="252" w:lineRule="auto"/>
            </w:pPr>
          </w:p>
        </w:tc>
        <w:tc>
          <w:tcPr>
            <w:tcW w:type="dxa" w:w="2127"/>
          </w:tcPr>
          <w:p>
            <w:pPr>
              <w:spacing w:after="50" w:before="50" w:line="252" w:lineRule="auto"/>
            </w:pPr>
          </w:p>
        </w:tc>
      </w:tr>
    </w:tbl>
    <w:p>
      <w:pPr>
        <w:spacing w:after="80" w:before="0"/>
      </w:pPr>
    </w:p>
    <w:p>
      <w:pPr>
        <w:pStyle w:val="Heading2"/>
      </w:pPr>
      <w:r>
        <w:t>Day 4 · Difficulty, impasse, ethics and sectoral practice</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1064"/>
            <w:shd w:val="clear" w:color="auto" w:fill="10375C"/>
          </w:tcPr>
          <w:p>
            <w:pPr>
              <w:spacing w:after="50" w:before="50"/>
            </w:pPr>
            <w:r>
              <w:rPr>
                <w:b/>
                <w:color w:val="FFFFFF"/>
                <w:sz w:val="17"/>
              </w:rPr>
              <w:t>Time</w:t>
            </w:r>
          </w:p>
        </w:tc>
        <w:tc>
          <w:tcPr>
            <w:tcW w:type="dxa" w:w="4476"/>
            <w:shd w:val="clear" w:color="auto" w:fill="10375C"/>
          </w:tcPr>
          <w:p>
            <w:pPr>
              <w:spacing w:after="50" w:before="50"/>
            </w:pPr>
            <w:r>
              <w:rPr>
                <w:b/>
                <w:color w:val="FFFFFF"/>
                <w:sz w:val="17"/>
              </w:rPr>
              <w:t>Session</w:t>
            </w:r>
          </w:p>
        </w:tc>
        <w:tc>
          <w:tcPr>
            <w:tcW w:type="dxa" w:w="2032"/>
            <w:shd w:val="clear" w:color="auto" w:fill="10375C"/>
          </w:tcPr>
          <w:p>
            <w:pPr>
              <w:spacing w:after="50" w:before="50"/>
            </w:pPr>
            <w:r>
              <w:rPr>
                <w:b/>
                <w:color w:val="FFFFFF"/>
                <w:sz w:val="17"/>
              </w:rPr>
              <w:t>Method</w:t>
            </w:r>
          </w:p>
        </w:tc>
        <w:tc>
          <w:tcPr>
            <w:tcW w:type="dxa" w:w="1896"/>
            <w:shd w:val="clear" w:color="auto" w:fill="10375C"/>
          </w:tcPr>
          <w:p>
            <w:pPr>
              <w:spacing w:after="50" w:before="50"/>
            </w:pPr>
            <w:r>
              <w:rPr>
                <w:b/>
                <w:color w:val="FFFFFF"/>
                <w:sz w:val="17"/>
              </w:rPr>
              <w:t>Outcome</w:t>
            </w:r>
          </w:p>
        </w:tc>
      </w:tr>
      <w:tr>
        <w:tc>
          <w:tcPr>
            <w:tcW w:type="dxa" w:w="1064"/>
          </w:tcPr>
          <w:p>
            <w:pPr>
              <w:spacing w:after="50" w:before="50" w:line="252" w:lineRule="auto"/>
            </w:pPr>
            <w:r>
              <w:rPr>
                <w:sz w:val="17"/>
              </w:rPr>
              <w:t>09:00–09:20</w:t>
            </w:r>
          </w:p>
        </w:tc>
        <w:tc>
          <w:tcPr>
            <w:tcW w:type="dxa" w:w="4476"/>
          </w:tcPr>
          <w:p>
            <w:pPr>
              <w:spacing w:after="50" w:before="50" w:line="252" w:lineRule="auto"/>
            </w:pPr>
            <w:r>
              <w:rPr>
                <w:sz w:val="17"/>
              </w:rPr>
              <w:t>Review</w:t>
            </w:r>
          </w:p>
        </w:tc>
        <w:tc>
          <w:tcPr>
            <w:tcW w:type="dxa" w:w="2032"/>
          </w:tcPr>
          <w:p>
            <w:pPr>
              <w:spacing w:after="50" w:before="50" w:line="252" w:lineRule="auto"/>
            </w:pPr>
          </w:p>
        </w:tc>
        <w:tc>
          <w:tcPr>
            <w:tcW w:type="dxa" w:w="1896"/>
          </w:tcPr>
          <w:p>
            <w:pPr>
              <w:spacing w:after="50" w:before="50" w:line="252" w:lineRule="auto"/>
            </w:pPr>
          </w:p>
        </w:tc>
      </w:tr>
      <w:tr>
        <w:tc>
          <w:tcPr>
            <w:tcW w:type="dxa" w:w="1064"/>
            <w:shd w:val="clear" w:color="auto" w:fill="EAF1F4"/>
          </w:tcPr>
          <w:p>
            <w:pPr>
              <w:spacing w:after="50" w:before="50" w:line="252" w:lineRule="auto"/>
            </w:pPr>
            <w:r>
              <w:rPr>
                <w:sz w:val="17"/>
              </w:rPr>
              <w:t>09:20–10:30</w:t>
            </w:r>
          </w:p>
        </w:tc>
        <w:tc>
          <w:tcPr>
            <w:tcW w:type="dxa" w:w="4476"/>
            <w:shd w:val="clear" w:color="auto" w:fill="EAF1F4"/>
          </w:tcPr>
          <w:p>
            <w:pPr>
              <w:spacing w:after="50" w:before="50" w:line="252" w:lineRule="auto"/>
            </w:pPr>
            <w:r>
              <w:rPr>
                <w:b/>
                <w:sz w:val="17"/>
              </w:rPr>
              <w:t>4.1 Impasse.</w:t>
            </w:r>
            <w:r>
              <w:rPr>
                <w:sz w:val="17"/>
              </w:rPr>
              <w:t xml:space="preserve"> Diagnosing the cause; techniques — reframing the question, changing the sequence, adjournment, the hypothetical, the mediator's proposal and its dangers; when to close without agreement</w:t>
            </w:r>
          </w:p>
        </w:tc>
        <w:tc>
          <w:tcPr>
            <w:tcW w:type="dxa" w:w="2032"/>
            <w:shd w:val="clear" w:color="auto" w:fill="EAF1F4"/>
          </w:tcPr>
          <w:p>
            <w:pPr>
              <w:spacing w:after="50" w:before="50" w:line="252" w:lineRule="auto"/>
            </w:pPr>
            <w:r>
              <w:rPr>
                <w:sz w:val="17"/>
              </w:rPr>
              <w:t>Input and case discussion</w:t>
            </w:r>
          </w:p>
        </w:tc>
        <w:tc>
          <w:tcPr>
            <w:tcW w:type="dxa" w:w="1896"/>
            <w:shd w:val="clear" w:color="auto" w:fill="EAF1F4"/>
          </w:tcPr>
          <w:p>
            <w:pPr>
              <w:spacing w:after="50" w:before="50" w:line="252" w:lineRule="auto"/>
            </w:pPr>
            <w:r>
              <w:rPr>
                <w:sz w:val="17"/>
              </w:rPr>
              <w:t>Diagnoses before intervening</w:t>
            </w:r>
          </w:p>
        </w:tc>
      </w:tr>
      <w:tr>
        <w:tc>
          <w:tcPr>
            <w:tcW w:type="dxa" w:w="1064"/>
          </w:tcPr>
          <w:p>
            <w:pPr>
              <w:spacing w:after="50" w:before="50" w:line="252" w:lineRule="auto"/>
            </w:pPr>
            <w:r>
              <w:rPr>
                <w:sz w:val="17"/>
              </w:rPr>
              <w:t>10:30–11:30</w:t>
            </w:r>
          </w:p>
        </w:tc>
        <w:tc>
          <w:tcPr>
            <w:tcW w:type="dxa" w:w="4476"/>
          </w:tcPr>
          <w:p>
            <w:pPr>
              <w:spacing w:after="50" w:before="50" w:line="252" w:lineRule="auto"/>
            </w:pPr>
            <w:r>
              <w:rPr>
                <w:b/>
                <w:sz w:val="17"/>
              </w:rPr>
              <w:t>4.2 Difficult dynamics.</w:t>
            </w:r>
            <w:r>
              <w:rPr>
                <w:sz w:val="17"/>
              </w:rPr>
              <w:t xml:space="preserve"> Power imbalance; unrepresented parties; a party who will not engage; a representative without authority; multi-party and multi-issue matters</w:t>
            </w:r>
          </w:p>
        </w:tc>
        <w:tc>
          <w:tcPr>
            <w:tcW w:type="dxa" w:w="2032"/>
          </w:tcPr>
          <w:p>
            <w:pPr>
              <w:spacing w:after="50" w:before="50" w:line="252" w:lineRule="auto"/>
            </w:pPr>
            <w:r>
              <w:rPr>
                <w:sz w:val="17"/>
              </w:rPr>
              <w:t>Input and case discussion</w:t>
            </w:r>
          </w:p>
        </w:tc>
        <w:tc>
          <w:tcPr>
            <w:tcW w:type="dxa" w:w="1896"/>
          </w:tcPr>
          <w:p>
            <w:pPr>
              <w:spacing w:after="50" w:before="50" w:line="252" w:lineRule="auto"/>
            </w:pPr>
            <w:r>
              <w:rPr>
                <w:sz w:val="17"/>
              </w:rPr>
              <w:t>Recognises and adapts</w:t>
            </w:r>
          </w:p>
        </w:tc>
      </w:tr>
      <w:tr>
        <w:tc>
          <w:tcPr>
            <w:tcW w:type="dxa" w:w="1064"/>
            <w:shd w:val="clear" w:color="auto" w:fill="EAF1F4"/>
          </w:tcPr>
          <w:p>
            <w:pPr>
              <w:spacing w:after="50" w:before="50" w:line="252" w:lineRule="auto"/>
            </w:pPr>
            <w:r>
              <w:rPr>
                <w:sz w:val="17"/>
              </w:rPr>
              <w:t>11:30–11:45</w:t>
            </w:r>
          </w:p>
        </w:tc>
        <w:tc>
          <w:tcPr>
            <w:tcW w:type="dxa" w:w="4476"/>
            <w:shd w:val="clear" w:color="auto" w:fill="EAF1F4"/>
          </w:tcPr>
          <w:p>
            <w:pPr>
              <w:spacing w:after="50" w:before="50" w:line="252" w:lineRule="auto"/>
            </w:pPr>
            <w:r>
              <w:rPr>
                <w:sz w:val="17"/>
              </w:rPr>
              <w:t>Break</w:t>
            </w:r>
          </w:p>
        </w:tc>
        <w:tc>
          <w:tcPr>
            <w:tcW w:type="dxa" w:w="2032"/>
            <w:shd w:val="clear" w:color="auto" w:fill="EAF1F4"/>
          </w:tcPr>
          <w:p>
            <w:pPr>
              <w:spacing w:after="50" w:before="50" w:line="252" w:lineRule="auto"/>
            </w:pPr>
          </w:p>
        </w:tc>
        <w:tc>
          <w:tcPr>
            <w:tcW w:type="dxa" w:w="1896"/>
            <w:shd w:val="clear" w:color="auto" w:fill="EAF1F4"/>
          </w:tcPr>
          <w:p>
            <w:pPr>
              <w:spacing w:after="50" w:before="50" w:line="252" w:lineRule="auto"/>
            </w:pPr>
          </w:p>
        </w:tc>
      </w:tr>
      <w:tr>
        <w:tc>
          <w:tcPr>
            <w:tcW w:type="dxa" w:w="1064"/>
          </w:tcPr>
          <w:p>
            <w:pPr>
              <w:spacing w:after="50" w:before="50" w:line="252" w:lineRule="auto"/>
            </w:pPr>
            <w:r>
              <w:rPr>
                <w:sz w:val="17"/>
              </w:rPr>
              <w:t>11:45–12:45</w:t>
            </w:r>
          </w:p>
        </w:tc>
        <w:tc>
          <w:tcPr>
            <w:tcW w:type="dxa" w:w="4476"/>
          </w:tcPr>
          <w:p>
            <w:pPr>
              <w:spacing w:after="50" w:before="50" w:line="252" w:lineRule="auto"/>
            </w:pPr>
            <w:r>
              <w:rPr>
                <w:b/>
                <w:sz w:val="17"/>
              </w:rPr>
              <w:t>4.3 Ethics and conflicts.</w:t>
            </w:r>
            <w:r>
              <w:rPr>
                <w:sz w:val="17"/>
              </w:rPr>
              <w:t xml:space="preserve"> Independence and impartiality; the duty of disclosure and its continuing nature; conflicts arising mid-process; confidentiality dilemmas; when the mediator must withdraw; safety and the limits of confidentiality</w:t>
            </w:r>
          </w:p>
        </w:tc>
        <w:tc>
          <w:tcPr>
            <w:tcW w:type="dxa" w:w="2032"/>
          </w:tcPr>
          <w:p>
            <w:pPr>
              <w:spacing w:after="50" w:before="50" w:line="252" w:lineRule="auto"/>
            </w:pPr>
            <w:r>
              <w:rPr>
                <w:sz w:val="17"/>
              </w:rPr>
              <w:t>Input and ethical dilemma exercise</w:t>
            </w:r>
          </w:p>
        </w:tc>
        <w:tc>
          <w:tcPr>
            <w:tcW w:type="dxa" w:w="1896"/>
          </w:tcPr>
          <w:p>
            <w:pPr>
              <w:spacing w:after="50" w:before="50" w:line="252" w:lineRule="auto"/>
            </w:pPr>
            <w:r>
              <w:rPr>
                <w:sz w:val="17"/>
              </w:rPr>
              <w:t>Applies the framework to hard cases</w:t>
            </w:r>
          </w:p>
        </w:tc>
      </w:tr>
      <w:tr>
        <w:tc>
          <w:tcPr>
            <w:tcW w:type="dxa" w:w="1064"/>
            <w:shd w:val="clear" w:color="auto" w:fill="EAF1F4"/>
          </w:tcPr>
          <w:p>
            <w:pPr>
              <w:spacing w:after="50" w:before="50" w:line="252" w:lineRule="auto"/>
            </w:pPr>
            <w:r>
              <w:rPr>
                <w:sz w:val="17"/>
              </w:rPr>
              <w:t>12:45–13:30</w:t>
            </w:r>
          </w:p>
        </w:tc>
        <w:tc>
          <w:tcPr>
            <w:tcW w:type="dxa" w:w="4476"/>
            <w:shd w:val="clear" w:color="auto" w:fill="EAF1F4"/>
          </w:tcPr>
          <w:p>
            <w:pPr>
              <w:spacing w:after="50" w:before="50" w:line="252" w:lineRule="auto"/>
            </w:pPr>
            <w:r>
              <w:rPr>
                <w:b/>
                <w:sz w:val="17"/>
              </w:rPr>
              <w:t>4.4 Sectoral practice, part 1.</w:t>
            </w:r>
            <w:r>
              <w:rPr>
                <w:sz w:val="17"/>
              </w:rPr>
              <w:t xml:space="preserve"> Commercial and financial disputes — what differs: documentary evidence, authority to settle, ongoing relationship, MSME and cheque dishonour contexts</w:t>
            </w:r>
          </w:p>
        </w:tc>
        <w:tc>
          <w:tcPr>
            <w:tcW w:type="dxa" w:w="2032"/>
            <w:shd w:val="clear" w:color="auto" w:fill="EAF1F4"/>
          </w:tcPr>
          <w:p>
            <w:pPr>
              <w:spacing w:after="50" w:before="50" w:line="252" w:lineRule="auto"/>
            </w:pPr>
            <w:r>
              <w:rPr>
                <w:sz w:val="17"/>
              </w:rPr>
              <w:t>Input with Indian fact patterns</w:t>
            </w:r>
          </w:p>
        </w:tc>
        <w:tc>
          <w:tcPr>
            <w:tcW w:type="dxa" w:w="1896"/>
            <w:shd w:val="clear" w:color="auto" w:fill="EAF1F4"/>
          </w:tcPr>
          <w:p>
            <w:pPr>
              <w:spacing w:after="50" w:before="50" w:line="252" w:lineRule="auto"/>
            </w:pPr>
            <w:r>
              <w:rPr>
                <w:sz w:val="17"/>
              </w:rPr>
              <w:t>Adapts approach to sector</w:t>
            </w:r>
          </w:p>
        </w:tc>
      </w:tr>
      <w:tr>
        <w:tc>
          <w:tcPr>
            <w:tcW w:type="dxa" w:w="1064"/>
          </w:tcPr>
          <w:p>
            <w:pPr>
              <w:spacing w:after="50" w:before="50" w:line="252" w:lineRule="auto"/>
            </w:pPr>
            <w:r>
              <w:rPr>
                <w:sz w:val="17"/>
              </w:rPr>
              <w:t>13:30–14:15</w:t>
            </w:r>
          </w:p>
        </w:tc>
        <w:tc>
          <w:tcPr>
            <w:tcW w:type="dxa" w:w="4476"/>
          </w:tcPr>
          <w:p>
            <w:pPr>
              <w:spacing w:after="50" w:before="50" w:line="252" w:lineRule="auto"/>
            </w:pPr>
            <w:r>
              <w:rPr>
                <w:sz w:val="17"/>
              </w:rPr>
              <w:t>Lunch</w:t>
            </w:r>
          </w:p>
        </w:tc>
        <w:tc>
          <w:tcPr>
            <w:tcW w:type="dxa" w:w="2032"/>
          </w:tcPr>
          <w:p>
            <w:pPr>
              <w:spacing w:after="50" w:before="50" w:line="252" w:lineRule="auto"/>
            </w:pPr>
          </w:p>
        </w:tc>
        <w:tc>
          <w:tcPr>
            <w:tcW w:type="dxa" w:w="1896"/>
          </w:tcPr>
          <w:p>
            <w:pPr>
              <w:spacing w:after="50" w:before="50" w:line="252" w:lineRule="auto"/>
            </w:pPr>
          </w:p>
        </w:tc>
      </w:tr>
      <w:tr>
        <w:tc>
          <w:tcPr>
            <w:tcW w:type="dxa" w:w="1064"/>
            <w:shd w:val="clear" w:color="auto" w:fill="EAF1F4"/>
          </w:tcPr>
          <w:p>
            <w:pPr>
              <w:spacing w:after="50" w:before="50" w:line="252" w:lineRule="auto"/>
            </w:pPr>
            <w:r>
              <w:rPr>
                <w:sz w:val="17"/>
              </w:rPr>
              <w:t>14:15–15:15</w:t>
            </w:r>
          </w:p>
        </w:tc>
        <w:tc>
          <w:tcPr>
            <w:tcW w:type="dxa" w:w="4476"/>
            <w:shd w:val="clear" w:color="auto" w:fill="EAF1F4"/>
          </w:tcPr>
          <w:p>
            <w:pPr>
              <w:spacing w:after="50" w:before="50" w:line="252" w:lineRule="auto"/>
            </w:pPr>
            <w:r>
              <w:rPr>
                <w:b/>
                <w:sz w:val="17"/>
              </w:rPr>
              <w:t>4.5 Sectoral practice, part 2.</w:t>
            </w:r>
            <w:r>
              <w:rPr>
                <w:sz w:val="17"/>
              </w:rPr>
              <w:t xml:space="preserve"> Workplace, insurance and family matters — power imbalance, statutory overlays, safeguarding, when mediation is inappropriate</w:t>
            </w:r>
          </w:p>
        </w:tc>
        <w:tc>
          <w:tcPr>
            <w:tcW w:type="dxa" w:w="2032"/>
            <w:shd w:val="clear" w:color="auto" w:fill="EAF1F4"/>
          </w:tcPr>
          <w:p>
            <w:pPr>
              <w:spacing w:after="50" w:before="50" w:line="252" w:lineRule="auto"/>
            </w:pPr>
            <w:r>
              <w:rPr>
                <w:sz w:val="17"/>
              </w:rPr>
              <w:t>Input with Indian fact patterns</w:t>
            </w:r>
          </w:p>
        </w:tc>
        <w:tc>
          <w:tcPr>
            <w:tcW w:type="dxa" w:w="1896"/>
            <w:shd w:val="clear" w:color="auto" w:fill="EAF1F4"/>
          </w:tcPr>
          <w:p>
            <w:pPr>
              <w:spacing w:after="50" w:before="50" w:line="252" w:lineRule="auto"/>
            </w:pPr>
            <w:r>
              <w:rPr>
                <w:sz w:val="17"/>
              </w:rPr>
              <w:t>Recognises unsuitability</w:t>
            </w:r>
          </w:p>
        </w:tc>
      </w:tr>
      <w:tr>
        <w:tc>
          <w:tcPr>
            <w:tcW w:type="dxa" w:w="1064"/>
          </w:tcPr>
          <w:p>
            <w:pPr>
              <w:spacing w:after="50" w:before="50" w:line="252" w:lineRule="auto"/>
            </w:pPr>
            <w:r>
              <w:rPr>
                <w:sz w:val="17"/>
              </w:rPr>
              <w:t>15:15–17:15</w:t>
            </w:r>
          </w:p>
        </w:tc>
        <w:tc>
          <w:tcPr>
            <w:tcW w:type="dxa" w:w="4476"/>
          </w:tcPr>
          <w:p>
            <w:pPr>
              <w:spacing w:after="50" w:before="50" w:line="252" w:lineRule="auto"/>
            </w:pPr>
            <w:r>
              <w:rPr>
                <w:b/>
                <w:sz w:val="17"/>
              </w:rPr>
              <w:t>Simulation 5 — difficult mediation.</w:t>
            </w:r>
            <w:r>
              <w:rPr>
                <w:sz w:val="17"/>
              </w:rPr>
              <w:t xml:space="preserve"> Multi-issue, with an emotionally difficult party and a representative with limited authority</w:t>
            </w:r>
          </w:p>
        </w:tc>
        <w:tc>
          <w:tcPr>
            <w:tcW w:type="dxa" w:w="2032"/>
          </w:tcPr>
          <w:p>
            <w:pPr>
              <w:spacing w:after="50" w:before="50" w:line="252" w:lineRule="auto"/>
            </w:pPr>
            <w:r>
              <w:rPr>
                <w:sz w:val="17"/>
              </w:rPr>
              <w:t>Simulation with observer scoring</w:t>
            </w:r>
          </w:p>
        </w:tc>
        <w:tc>
          <w:tcPr>
            <w:tcW w:type="dxa" w:w="1896"/>
          </w:tcPr>
          <w:p>
            <w:pPr>
              <w:spacing w:after="50" w:before="50" w:line="252" w:lineRule="auto"/>
            </w:pPr>
            <w:r>
              <w:rPr>
                <w:sz w:val="17"/>
              </w:rPr>
              <w:t>Handles complexity</w:t>
            </w:r>
          </w:p>
        </w:tc>
      </w:tr>
      <w:tr>
        <w:tc>
          <w:tcPr>
            <w:tcW w:type="dxa" w:w="1064"/>
            <w:shd w:val="clear" w:color="auto" w:fill="EAF1F4"/>
          </w:tcPr>
          <w:p>
            <w:pPr>
              <w:spacing w:after="50" w:before="50" w:line="252" w:lineRule="auto"/>
            </w:pPr>
            <w:r>
              <w:rPr>
                <w:sz w:val="17"/>
              </w:rPr>
              <w:t>17:15–17:45</w:t>
            </w:r>
          </w:p>
        </w:tc>
        <w:tc>
          <w:tcPr>
            <w:tcW w:type="dxa" w:w="4476"/>
            <w:shd w:val="clear" w:color="auto" w:fill="EAF1F4"/>
          </w:tcPr>
          <w:p>
            <w:pPr>
              <w:spacing w:after="50" w:before="50" w:line="252" w:lineRule="auto"/>
            </w:pPr>
            <w:r>
              <w:rPr>
                <w:sz w:val="17"/>
              </w:rPr>
              <w:t>Structured debrief</w:t>
            </w:r>
          </w:p>
        </w:tc>
        <w:tc>
          <w:tcPr>
            <w:tcW w:type="dxa" w:w="2032"/>
            <w:shd w:val="clear" w:color="auto" w:fill="EAF1F4"/>
          </w:tcPr>
          <w:p>
            <w:pPr>
              <w:spacing w:after="50" w:before="50" w:line="252" w:lineRule="auto"/>
            </w:pPr>
          </w:p>
        </w:tc>
        <w:tc>
          <w:tcPr>
            <w:tcW w:type="dxa" w:w="1896"/>
            <w:shd w:val="clear" w:color="auto" w:fill="EAF1F4"/>
          </w:tcPr>
          <w:p>
            <w:pPr>
              <w:spacing w:after="50" w:before="50" w:line="252" w:lineRule="auto"/>
            </w:pPr>
          </w:p>
        </w:tc>
      </w:tr>
      <w:tr>
        <w:tc>
          <w:tcPr>
            <w:tcW w:type="dxa" w:w="1064"/>
          </w:tcPr>
          <w:p>
            <w:pPr>
              <w:spacing w:after="50" w:before="50" w:line="252" w:lineRule="auto"/>
            </w:pPr>
            <w:r>
              <w:rPr>
                <w:sz w:val="17"/>
              </w:rPr>
              <w:t>17:45–18:00</w:t>
            </w:r>
          </w:p>
        </w:tc>
        <w:tc>
          <w:tcPr>
            <w:tcW w:type="dxa" w:w="4476"/>
          </w:tcPr>
          <w:p>
            <w:pPr>
              <w:spacing w:after="50" w:before="50" w:line="252" w:lineRule="auto"/>
            </w:pPr>
            <w:r>
              <w:rPr>
                <w:sz w:val="17"/>
              </w:rPr>
              <w:t>Reflective log; assessment briefing</w:t>
            </w:r>
          </w:p>
        </w:tc>
        <w:tc>
          <w:tcPr>
            <w:tcW w:type="dxa" w:w="2032"/>
          </w:tcPr>
          <w:p>
            <w:pPr>
              <w:spacing w:after="50" w:before="50" w:line="252" w:lineRule="auto"/>
            </w:pPr>
          </w:p>
        </w:tc>
        <w:tc>
          <w:tcPr>
            <w:tcW w:type="dxa" w:w="1896"/>
          </w:tcPr>
          <w:p>
            <w:pPr>
              <w:spacing w:after="50" w:before="50" w:line="252" w:lineRule="auto"/>
            </w:pPr>
          </w:p>
        </w:tc>
      </w:tr>
    </w:tbl>
    <w:p>
      <w:pPr>
        <w:spacing w:after="80" w:before="0"/>
      </w:pPr>
    </w:p>
    <w:p>
      <w:pPr>
        <w:pStyle w:val="Heading2"/>
      </w:pPr>
      <w:r>
        <w:t>Day 5 · Full simulation, drafting, assessment and closure</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1029"/>
            <w:shd w:val="clear" w:color="auto" w:fill="10375C"/>
          </w:tcPr>
          <w:p>
            <w:pPr>
              <w:spacing w:after="50" w:before="50"/>
            </w:pPr>
            <w:r>
              <w:rPr>
                <w:b/>
                <w:color w:val="FFFFFF"/>
                <w:sz w:val="17"/>
              </w:rPr>
              <w:t>Time</w:t>
            </w:r>
          </w:p>
        </w:tc>
        <w:tc>
          <w:tcPr>
            <w:tcW w:type="dxa" w:w="4342"/>
            <w:shd w:val="clear" w:color="auto" w:fill="10375C"/>
          </w:tcPr>
          <w:p>
            <w:pPr>
              <w:spacing w:after="50" w:before="50"/>
            </w:pPr>
            <w:r>
              <w:rPr>
                <w:b/>
                <w:color w:val="FFFFFF"/>
                <w:sz w:val="17"/>
              </w:rPr>
              <w:t>Session</w:t>
            </w:r>
          </w:p>
        </w:tc>
        <w:tc>
          <w:tcPr>
            <w:tcW w:type="dxa" w:w="1842"/>
            <w:shd w:val="clear" w:color="auto" w:fill="10375C"/>
          </w:tcPr>
          <w:p>
            <w:pPr>
              <w:spacing w:after="50" w:before="50"/>
            </w:pPr>
            <w:r>
              <w:rPr>
                <w:b/>
                <w:color w:val="FFFFFF"/>
                <w:sz w:val="17"/>
              </w:rPr>
              <w:t>Method</w:t>
            </w:r>
          </w:p>
        </w:tc>
        <w:tc>
          <w:tcPr>
            <w:tcW w:type="dxa" w:w="2255"/>
            <w:shd w:val="clear" w:color="auto" w:fill="10375C"/>
          </w:tcPr>
          <w:p>
            <w:pPr>
              <w:spacing w:after="50" w:before="50"/>
            </w:pPr>
            <w:r>
              <w:rPr>
                <w:b/>
                <w:color w:val="FFFFFF"/>
                <w:sz w:val="17"/>
              </w:rPr>
              <w:t>Outcome</w:t>
            </w:r>
          </w:p>
        </w:tc>
      </w:tr>
      <w:tr>
        <w:tc>
          <w:tcPr>
            <w:tcW w:type="dxa" w:w="1029"/>
          </w:tcPr>
          <w:p>
            <w:pPr>
              <w:spacing w:after="50" w:before="50" w:line="252" w:lineRule="auto"/>
            </w:pPr>
            <w:r>
              <w:rPr>
                <w:sz w:val="17"/>
              </w:rPr>
              <w:t>09:00–10:00</w:t>
            </w:r>
          </w:p>
        </w:tc>
        <w:tc>
          <w:tcPr>
            <w:tcW w:type="dxa" w:w="4342"/>
          </w:tcPr>
          <w:p>
            <w:pPr>
              <w:spacing w:after="50" w:before="50" w:line="252" w:lineRule="auto"/>
            </w:pPr>
            <w:r>
              <w:rPr>
                <w:b/>
                <w:sz w:val="17"/>
              </w:rPr>
              <w:t>5.1 The mediated settlement agreement.</w:t>
            </w:r>
            <w:r>
              <w:rPr>
                <w:sz w:val="17"/>
              </w:rPr>
              <w:t xml:space="preserve"> Essential components; certainty and enforceability; conditions precedent; confidentiality clauses; what must never be included; enforcement under the Mediation Act, 2023</w:t>
            </w:r>
          </w:p>
        </w:tc>
        <w:tc>
          <w:tcPr>
            <w:tcW w:type="dxa" w:w="1842"/>
          </w:tcPr>
          <w:p>
            <w:pPr>
              <w:spacing w:after="50" w:before="50" w:line="252" w:lineRule="auto"/>
            </w:pPr>
            <w:r>
              <w:rPr>
                <w:sz w:val="17"/>
              </w:rPr>
              <w:t>Input with precedents</w:t>
            </w:r>
          </w:p>
        </w:tc>
        <w:tc>
          <w:tcPr>
            <w:tcW w:type="dxa" w:w="2255"/>
          </w:tcPr>
          <w:p>
            <w:pPr>
              <w:spacing w:after="50" w:before="50" w:line="252" w:lineRule="auto"/>
            </w:pPr>
            <w:r>
              <w:rPr>
                <w:sz w:val="17"/>
              </w:rPr>
              <w:t>Understands what a good agreement contains</w:t>
            </w:r>
          </w:p>
        </w:tc>
      </w:tr>
      <w:tr>
        <w:tc>
          <w:tcPr>
            <w:tcW w:type="dxa" w:w="1029"/>
            <w:shd w:val="clear" w:color="auto" w:fill="EAF1F4"/>
          </w:tcPr>
          <w:p>
            <w:pPr>
              <w:spacing w:after="50" w:before="50" w:line="252" w:lineRule="auto"/>
            </w:pPr>
            <w:r>
              <w:rPr>
                <w:sz w:val="17"/>
              </w:rPr>
              <w:t>10:00–11:15</w:t>
            </w:r>
          </w:p>
        </w:tc>
        <w:tc>
          <w:tcPr>
            <w:tcW w:type="dxa" w:w="4342"/>
            <w:shd w:val="clear" w:color="auto" w:fill="EAF1F4"/>
          </w:tcPr>
          <w:p>
            <w:pPr>
              <w:spacing w:after="50" w:before="50" w:line="252" w:lineRule="auto"/>
            </w:pPr>
            <w:r>
              <w:rPr>
                <w:b/>
                <w:sz w:val="17"/>
              </w:rPr>
              <w:t>5.2 Drafting practice.</w:t>
            </w:r>
            <w:r>
              <w:rPr>
                <w:sz w:val="17"/>
              </w:rPr>
              <w:t xml:space="preserve"> Participants draft an agreement from a simulated outcome under time pressure</w:t>
            </w:r>
          </w:p>
        </w:tc>
        <w:tc>
          <w:tcPr>
            <w:tcW w:type="dxa" w:w="1842"/>
            <w:shd w:val="clear" w:color="auto" w:fill="EAF1F4"/>
          </w:tcPr>
          <w:p>
            <w:pPr>
              <w:spacing w:after="50" w:before="50" w:line="252" w:lineRule="auto"/>
            </w:pPr>
            <w:r>
              <w:rPr>
                <w:sz w:val="17"/>
              </w:rPr>
              <w:t>Drafting exercise, individually assessed</w:t>
            </w:r>
          </w:p>
        </w:tc>
        <w:tc>
          <w:tcPr>
            <w:tcW w:type="dxa" w:w="2255"/>
            <w:shd w:val="clear" w:color="auto" w:fill="EAF1F4"/>
          </w:tcPr>
          <w:p>
            <w:pPr>
              <w:spacing w:after="50" w:before="50" w:line="252" w:lineRule="auto"/>
            </w:pPr>
            <w:r>
              <w:rPr>
                <w:b/>
                <w:sz w:val="17"/>
              </w:rPr>
              <w:t>Assessed component</w:t>
            </w:r>
          </w:p>
        </w:tc>
      </w:tr>
      <w:tr>
        <w:tc>
          <w:tcPr>
            <w:tcW w:type="dxa" w:w="1029"/>
          </w:tcPr>
          <w:p>
            <w:pPr>
              <w:spacing w:after="50" w:before="50" w:line="252" w:lineRule="auto"/>
            </w:pPr>
            <w:r>
              <w:rPr>
                <w:sz w:val="17"/>
              </w:rPr>
              <w:t>11:15–11:30</w:t>
            </w:r>
          </w:p>
        </w:tc>
        <w:tc>
          <w:tcPr>
            <w:tcW w:type="dxa" w:w="4342"/>
          </w:tcPr>
          <w:p>
            <w:pPr>
              <w:spacing w:after="50" w:before="50" w:line="252" w:lineRule="auto"/>
            </w:pPr>
            <w:r>
              <w:rPr>
                <w:sz w:val="17"/>
              </w:rPr>
              <w:t>Break</w:t>
            </w:r>
          </w:p>
        </w:tc>
        <w:tc>
          <w:tcPr>
            <w:tcW w:type="dxa" w:w="1842"/>
          </w:tcPr>
          <w:p>
            <w:pPr>
              <w:spacing w:after="50" w:before="50" w:line="252" w:lineRule="auto"/>
            </w:pPr>
          </w:p>
        </w:tc>
        <w:tc>
          <w:tcPr>
            <w:tcW w:type="dxa" w:w="2255"/>
          </w:tcPr>
          <w:p>
            <w:pPr>
              <w:spacing w:after="50" w:before="50" w:line="252" w:lineRule="auto"/>
            </w:pPr>
          </w:p>
        </w:tc>
      </w:tr>
      <w:tr>
        <w:tc>
          <w:tcPr>
            <w:tcW w:type="dxa" w:w="1029"/>
            <w:shd w:val="clear" w:color="auto" w:fill="EAF1F4"/>
          </w:tcPr>
          <w:p>
            <w:pPr>
              <w:spacing w:after="50" w:before="50" w:line="252" w:lineRule="auto"/>
            </w:pPr>
            <w:r>
              <w:rPr>
                <w:sz w:val="17"/>
              </w:rPr>
              <w:t>11:30–13:30</w:t>
            </w:r>
          </w:p>
        </w:tc>
        <w:tc>
          <w:tcPr>
            <w:tcW w:type="dxa" w:w="4342"/>
            <w:shd w:val="clear" w:color="auto" w:fill="EAF1F4"/>
          </w:tcPr>
          <w:p>
            <w:pPr>
              <w:spacing w:after="50" w:before="50" w:line="252" w:lineRule="auto"/>
            </w:pPr>
            <w:r>
              <w:rPr>
                <w:b/>
                <w:sz w:val="17"/>
              </w:rPr>
              <w:t>5.3 Assessed simulation.</w:t>
            </w:r>
            <w:r>
              <w:rPr>
                <w:sz w:val="17"/>
              </w:rPr>
              <w:t xml:space="preserve"> Full mediation, ninety minutes, each participant assessed as mediator by a trained assessor against the published rubric</w:t>
            </w:r>
          </w:p>
        </w:tc>
        <w:tc>
          <w:tcPr>
            <w:tcW w:type="dxa" w:w="1842"/>
            <w:shd w:val="clear" w:color="auto" w:fill="EAF1F4"/>
          </w:tcPr>
          <w:p>
            <w:pPr>
              <w:spacing w:after="50" w:before="50" w:line="252" w:lineRule="auto"/>
            </w:pPr>
            <w:r>
              <w:rPr>
                <w:sz w:val="17"/>
              </w:rPr>
              <w:t>Assessed simulation</w:t>
            </w:r>
          </w:p>
        </w:tc>
        <w:tc>
          <w:tcPr>
            <w:tcW w:type="dxa" w:w="2255"/>
            <w:shd w:val="clear" w:color="auto" w:fill="EAF1F4"/>
          </w:tcPr>
          <w:p>
            <w:pPr>
              <w:spacing w:after="50" w:before="50" w:line="252" w:lineRule="auto"/>
            </w:pPr>
            <w:r>
              <w:rPr>
                <w:b/>
                <w:sz w:val="17"/>
              </w:rPr>
              <w:t>Assessed component, 50%</w:t>
            </w:r>
          </w:p>
        </w:tc>
      </w:tr>
      <w:tr>
        <w:tc>
          <w:tcPr>
            <w:tcW w:type="dxa" w:w="1029"/>
          </w:tcPr>
          <w:p>
            <w:pPr>
              <w:spacing w:after="50" w:before="50" w:line="252" w:lineRule="auto"/>
            </w:pPr>
            <w:r>
              <w:rPr>
                <w:sz w:val="17"/>
              </w:rPr>
              <w:t>13:30–14:15</w:t>
            </w:r>
          </w:p>
        </w:tc>
        <w:tc>
          <w:tcPr>
            <w:tcW w:type="dxa" w:w="4342"/>
          </w:tcPr>
          <w:p>
            <w:pPr>
              <w:spacing w:after="50" w:before="50" w:line="252" w:lineRule="auto"/>
            </w:pPr>
            <w:r>
              <w:rPr>
                <w:sz w:val="17"/>
              </w:rPr>
              <w:t>Lunch</w:t>
            </w:r>
          </w:p>
        </w:tc>
        <w:tc>
          <w:tcPr>
            <w:tcW w:type="dxa" w:w="1842"/>
          </w:tcPr>
          <w:p>
            <w:pPr>
              <w:spacing w:after="50" w:before="50" w:line="252" w:lineRule="auto"/>
            </w:pPr>
          </w:p>
        </w:tc>
        <w:tc>
          <w:tcPr>
            <w:tcW w:type="dxa" w:w="2255"/>
          </w:tcPr>
          <w:p>
            <w:pPr>
              <w:spacing w:after="50" w:before="50" w:line="252" w:lineRule="auto"/>
            </w:pPr>
          </w:p>
        </w:tc>
      </w:tr>
      <w:tr>
        <w:tc>
          <w:tcPr>
            <w:tcW w:type="dxa" w:w="1029"/>
            <w:shd w:val="clear" w:color="auto" w:fill="EAF1F4"/>
          </w:tcPr>
          <w:p>
            <w:pPr>
              <w:spacing w:after="50" w:before="50" w:line="252" w:lineRule="auto"/>
            </w:pPr>
            <w:r>
              <w:rPr>
                <w:sz w:val="17"/>
              </w:rPr>
              <w:t>14:15–15:45</w:t>
            </w:r>
          </w:p>
        </w:tc>
        <w:tc>
          <w:tcPr>
            <w:tcW w:type="dxa" w:w="4342"/>
            <w:shd w:val="clear" w:color="auto" w:fill="EAF1F4"/>
          </w:tcPr>
          <w:p>
            <w:pPr>
              <w:spacing w:after="50" w:before="50" w:line="252" w:lineRule="auto"/>
            </w:pPr>
            <w:r>
              <w:rPr>
                <w:sz w:val="17"/>
              </w:rPr>
              <w:t>Assessed simulation continues for remaining rotations</w:t>
            </w:r>
          </w:p>
        </w:tc>
        <w:tc>
          <w:tcPr>
            <w:tcW w:type="dxa" w:w="1842"/>
            <w:shd w:val="clear" w:color="auto" w:fill="EAF1F4"/>
          </w:tcPr>
          <w:p>
            <w:pPr>
              <w:spacing w:after="50" w:before="50" w:line="252" w:lineRule="auto"/>
            </w:pPr>
          </w:p>
        </w:tc>
        <w:tc>
          <w:tcPr>
            <w:tcW w:type="dxa" w:w="2255"/>
            <w:shd w:val="clear" w:color="auto" w:fill="EAF1F4"/>
          </w:tcPr>
          <w:p>
            <w:pPr>
              <w:spacing w:after="50" w:before="50" w:line="252" w:lineRule="auto"/>
            </w:pPr>
          </w:p>
        </w:tc>
      </w:tr>
      <w:tr>
        <w:tc>
          <w:tcPr>
            <w:tcW w:type="dxa" w:w="1029"/>
          </w:tcPr>
          <w:p>
            <w:pPr>
              <w:spacing w:after="50" w:before="50" w:line="252" w:lineRule="auto"/>
            </w:pPr>
            <w:r>
              <w:rPr>
                <w:sz w:val="17"/>
              </w:rPr>
              <w:t>15:45–16:45</w:t>
            </w:r>
          </w:p>
        </w:tc>
        <w:tc>
          <w:tcPr>
            <w:tcW w:type="dxa" w:w="4342"/>
          </w:tcPr>
          <w:p>
            <w:pPr>
              <w:spacing w:after="50" w:before="50" w:line="252" w:lineRule="auto"/>
            </w:pPr>
            <w:r>
              <w:rPr>
                <w:b/>
                <w:sz w:val="17"/>
              </w:rPr>
              <w:t>5.4 Written assessment</w:t>
            </w:r>
          </w:p>
        </w:tc>
        <w:tc>
          <w:tcPr>
            <w:tcW w:type="dxa" w:w="1842"/>
          </w:tcPr>
          <w:p>
            <w:pPr>
              <w:spacing w:after="50" w:before="50" w:line="252" w:lineRule="auto"/>
            </w:pPr>
            <w:r>
              <w:rPr>
                <w:sz w:val="17"/>
              </w:rPr>
              <w:t>Individual, closed book</w:t>
            </w:r>
          </w:p>
        </w:tc>
        <w:tc>
          <w:tcPr>
            <w:tcW w:type="dxa" w:w="2255"/>
          </w:tcPr>
          <w:p>
            <w:pPr>
              <w:spacing w:after="50" w:before="50" w:line="252" w:lineRule="auto"/>
            </w:pPr>
            <w:r>
              <w:rPr>
                <w:b/>
                <w:sz w:val="17"/>
              </w:rPr>
              <w:t>Assessed component, 30%</w:t>
            </w:r>
          </w:p>
        </w:tc>
      </w:tr>
      <w:tr>
        <w:tc>
          <w:tcPr>
            <w:tcW w:type="dxa" w:w="1029"/>
            <w:shd w:val="clear" w:color="auto" w:fill="EAF1F4"/>
          </w:tcPr>
          <w:p>
            <w:pPr>
              <w:spacing w:after="50" w:before="50" w:line="252" w:lineRule="auto"/>
            </w:pPr>
            <w:r>
              <w:rPr>
                <w:sz w:val="17"/>
              </w:rPr>
              <w:t>16:45–17:15</w:t>
            </w:r>
          </w:p>
        </w:tc>
        <w:tc>
          <w:tcPr>
            <w:tcW w:type="dxa" w:w="4342"/>
            <w:shd w:val="clear" w:color="auto" w:fill="EAF1F4"/>
          </w:tcPr>
          <w:p>
            <w:pPr>
              <w:spacing w:after="50" w:before="50" w:line="252" w:lineRule="auto"/>
            </w:pPr>
            <w:r>
              <w:rPr>
                <w:b/>
                <w:sz w:val="17"/>
              </w:rPr>
              <w:t>5.5 Viva</w:t>
            </w:r>
            <w:r>
              <w:rPr>
                <w:sz w:val="17"/>
              </w:rPr>
              <w:t xml:space="preserve"> — conducted in parallel in a separate room throughout the afternoon</w:t>
            </w:r>
          </w:p>
        </w:tc>
        <w:tc>
          <w:tcPr>
            <w:tcW w:type="dxa" w:w="1842"/>
            <w:shd w:val="clear" w:color="auto" w:fill="EAF1F4"/>
          </w:tcPr>
          <w:p>
            <w:pPr>
              <w:spacing w:after="50" w:before="50" w:line="252" w:lineRule="auto"/>
            </w:pPr>
            <w:r>
              <w:rPr>
                <w:sz w:val="17"/>
              </w:rPr>
              <w:t>Individual</w:t>
            </w:r>
          </w:p>
        </w:tc>
        <w:tc>
          <w:tcPr>
            <w:tcW w:type="dxa" w:w="2255"/>
            <w:shd w:val="clear" w:color="auto" w:fill="EAF1F4"/>
          </w:tcPr>
          <w:p>
            <w:pPr>
              <w:spacing w:after="50" w:before="50" w:line="252" w:lineRule="auto"/>
            </w:pPr>
            <w:r>
              <w:rPr>
                <w:b/>
                <w:sz w:val="17"/>
              </w:rPr>
              <w:t>Assessed component, 20%</w:t>
            </w:r>
          </w:p>
        </w:tc>
      </w:tr>
      <w:tr>
        <w:tc>
          <w:tcPr>
            <w:tcW w:type="dxa" w:w="1029"/>
          </w:tcPr>
          <w:p>
            <w:pPr>
              <w:spacing w:after="50" w:before="50" w:line="252" w:lineRule="auto"/>
            </w:pPr>
            <w:r>
              <w:rPr>
                <w:sz w:val="17"/>
              </w:rPr>
              <w:t>17:15–17:45</w:t>
            </w:r>
          </w:p>
        </w:tc>
        <w:tc>
          <w:tcPr>
            <w:tcW w:type="dxa" w:w="4342"/>
          </w:tcPr>
          <w:p>
            <w:pPr>
              <w:spacing w:after="50" w:before="50" w:line="252" w:lineRule="auto"/>
            </w:pPr>
            <w:r>
              <w:rPr>
                <w:b/>
                <w:sz w:val="17"/>
              </w:rPr>
              <w:t>5.6 What happens next.</w:t>
            </w:r>
            <w:r>
              <w:rPr>
                <w:sz w:val="17"/>
              </w:rPr>
              <w:t xml:space="preserve"> The supervised practice requirement; the advanced programme; the internship pathway; empanelment; continuing professional development</w:t>
            </w:r>
          </w:p>
        </w:tc>
        <w:tc>
          <w:tcPr>
            <w:tcW w:type="dxa" w:w="1842"/>
          </w:tcPr>
          <w:p>
            <w:pPr>
              <w:spacing w:after="50" w:before="50" w:line="252" w:lineRule="auto"/>
            </w:pPr>
            <w:r>
              <w:rPr>
                <w:sz w:val="17"/>
              </w:rPr>
              <w:t>Plenary</w:t>
            </w:r>
          </w:p>
        </w:tc>
        <w:tc>
          <w:tcPr>
            <w:tcW w:type="dxa" w:w="2255"/>
          </w:tcPr>
          <w:p>
            <w:pPr>
              <w:spacing w:after="50" w:before="50" w:line="252" w:lineRule="auto"/>
            </w:pPr>
            <w:r>
              <w:rPr>
                <w:sz w:val="17"/>
              </w:rPr>
              <w:t>Understands the route forward</w:t>
            </w:r>
          </w:p>
        </w:tc>
      </w:tr>
      <w:tr>
        <w:tc>
          <w:tcPr>
            <w:tcW w:type="dxa" w:w="1029"/>
            <w:shd w:val="clear" w:color="auto" w:fill="EAF1F4"/>
          </w:tcPr>
          <w:p>
            <w:pPr>
              <w:spacing w:after="50" w:before="50" w:line="252" w:lineRule="auto"/>
            </w:pPr>
            <w:r>
              <w:rPr>
                <w:sz w:val="17"/>
              </w:rPr>
              <w:t>17:45–18:00</w:t>
            </w:r>
          </w:p>
        </w:tc>
        <w:tc>
          <w:tcPr>
            <w:tcW w:type="dxa" w:w="4342"/>
            <w:shd w:val="clear" w:color="auto" w:fill="EAF1F4"/>
          </w:tcPr>
          <w:p>
            <w:pPr>
              <w:spacing w:after="50" w:before="50" w:line="252" w:lineRule="auto"/>
            </w:pPr>
            <w:r>
              <w:rPr>
                <w:sz w:val="17"/>
              </w:rPr>
              <w:t>Feedback, close</w:t>
            </w:r>
          </w:p>
        </w:tc>
        <w:tc>
          <w:tcPr>
            <w:tcW w:type="dxa" w:w="1842"/>
            <w:shd w:val="clear" w:color="auto" w:fill="EAF1F4"/>
          </w:tcPr>
          <w:p>
            <w:pPr>
              <w:spacing w:after="50" w:before="50" w:line="252" w:lineRule="auto"/>
            </w:pPr>
          </w:p>
        </w:tc>
        <w:tc>
          <w:tcPr>
            <w:tcW w:type="dxa" w:w="2255"/>
            <w:shd w:val="clear" w:color="auto" w:fill="EAF1F4"/>
          </w:tcPr>
          <w:p>
            <w:pPr>
              <w:spacing w:after="50" w:before="50" w:line="252" w:lineRule="auto"/>
            </w:pPr>
          </w:p>
        </w:tc>
      </w:tr>
    </w:tbl>
    <w:p>
      <w:pPr>
        <w:spacing w:after="80" w:before="0"/>
      </w:pPr>
    </w:p>
    <w:p>
      <w:pPr>
        <w:spacing w:before="80" w:after="160"/>
        <w:pBdr>
          <w:bottom w:val="single" w:sz="6" w:space="1" w:color="C9D6DE"/>
        </w:pBdr>
      </w:pPr>
    </w:p>
    <w:p>
      <w:pPr>
        <w:pStyle w:val="Heading1"/>
        <w:pBdr>
          <w:bottom w:val="single" w:sz="8" w:space="4" w:color="C9D6DE"/>
        </w:pBdr>
      </w:pPr>
      <w:r>
        <w:t>4. Simulation bank</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894"/>
        <w:gridCol w:w="1894"/>
        <w:gridCol w:w="1894"/>
        <w:gridCol w:w="1894"/>
        <w:gridCol w:w="1894"/>
      </w:tblGrid>
      <w:tr>
        <w:trPr>
          <w:tblHeader w:val="true"/>
        </w:trPr>
        <w:tc>
          <w:tcPr>
            <w:tcW w:type="dxa" w:w="850"/>
            <w:shd w:val="clear" w:color="auto" w:fill="10375C"/>
          </w:tcPr>
          <w:p>
            <w:pPr>
              <w:spacing w:after="50" w:before="50"/>
            </w:pPr>
            <w:r>
              <w:rPr>
                <w:b/>
                <w:color w:val="FFFFFF"/>
                <w:sz w:val="17"/>
              </w:rPr>
              <w:t>#</w:t>
            </w:r>
          </w:p>
        </w:tc>
        <w:tc>
          <w:tcPr>
            <w:tcW w:type="dxa" w:w="3663"/>
            <w:shd w:val="clear" w:color="auto" w:fill="10375C"/>
          </w:tcPr>
          <w:p>
            <w:pPr>
              <w:spacing w:after="50" w:before="50"/>
            </w:pPr>
            <w:r>
              <w:rPr>
                <w:b/>
                <w:color w:val="FFFFFF"/>
                <w:sz w:val="17"/>
              </w:rPr>
              <w:t>Title</w:t>
            </w:r>
          </w:p>
        </w:tc>
        <w:tc>
          <w:tcPr>
            <w:tcW w:type="dxa" w:w="2727"/>
            <w:shd w:val="clear" w:color="auto" w:fill="10375C"/>
          </w:tcPr>
          <w:p>
            <w:pPr>
              <w:spacing w:after="50" w:before="50"/>
            </w:pPr>
            <w:r>
              <w:rPr>
                <w:b/>
                <w:color w:val="FFFFFF"/>
                <w:sz w:val="17"/>
              </w:rPr>
              <w:t>Sector</w:t>
            </w:r>
          </w:p>
        </w:tc>
        <w:tc>
          <w:tcPr>
            <w:tcW w:type="dxa" w:w="1051"/>
            <w:shd w:val="clear" w:color="auto" w:fill="10375C"/>
          </w:tcPr>
          <w:p>
            <w:pPr>
              <w:spacing w:after="50" w:before="50"/>
            </w:pPr>
            <w:r>
              <w:rPr>
                <w:b/>
                <w:color w:val="FFFFFF"/>
                <w:sz w:val="17"/>
              </w:rPr>
              <w:t>Complexity</w:t>
            </w:r>
          </w:p>
        </w:tc>
        <w:tc>
          <w:tcPr>
            <w:tcW w:type="dxa" w:w="1413"/>
            <w:shd w:val="clear" w:color="auto" w:fill="10375C"/>
          </w:tcPr>
          <w:p>
            <w:pPr>
              <w:spacing w:after="50" w:before="50"/>
            </w:pPr>
            <w:r>
              <w:rPr>
                <w:b/>
                <w:color w:val="FFFFFF"/>
                <w:sz w:val="17"/>
              </w:rPr>
              <w:t>Used on</w:t>
            </w:r>
          </w:p>
        </w:tc>
      </w:tr>
      <w:tr>
        <w:tc>
          <w:tcPr>
            <w:tcW w:type="dxa" w:w="850"/>
          </w:tcPr>
          <w:p>
            <w:pPr>
              <w:spacing w:after="50" w:before="50" w:line="252" w:lineRule="auto"/>
            </w:pPr>
            <w:r>
              <w:rPr>
                <w:sz w:val="17"/>
              </w:rPr>
              <w:t>S-01</w:t>
            </w:r>
          </w:p>
        </w:tc>
        <w:tc>
          <w:tcPr>
            <w:tcW w:type="dxa" w:w="3663"/>
          </w:tcPr>
          <w:p>
            <w:pPr>
              <w:spacing w:after="50" w:before="50" w:line="252" w:lineRule="auto"/>
            </w:pPr>
            <w:r>
              <w:rPr>
                <w:sz w:val="17"/>
              </w:rPr>
              <w:t>The unpaid final instalment</w:t>
            </w:r>
          </w:p>
        </w:tc>
        <w:tc>
          <w:tcPr>
            <w:tcW w:type="dxa" w:w="2727"/>
          </w:tcPr>
          <w:p>
            <w:pPr>
              <w:spacing w:after="50" w:before="50" w:line="252" w:lineRule="auto"/>
            </w:pPr>
            <w:r>
              <w:rPr>
                <w:sz w:val="17"/>
              </w:rPr>
              <w:t>Commercial supply</w:t>
            </w:r>
          </w:p>
        </w:tc>
        <w:tc>
          <w:tcPr>
            <w:tcW w:type="dxa" w:w="1051"/>
          </w:tcPr>
          <w:p>
            <w:pPr>
              <w:spacing w:after="50" w:before="50" w:line="252" w:lineRule="auto"/>
            </w:pPr>
            <w:r>
              <w:rPr>
                <w:sz w:val="17"/>
              </w:rPr>
              <w:t>Low</w:t>
            </w:r>
          </w:p>
        </w:tc>
        <w:tc>
          <w:tcPr>
            <w:tcW w:type="dxa" w:w="1413"/>
          </w:tcPr>
          <w:p>
            <w:pPr>
              <w:spacing w:after="50" w:before="50" w:line="252" w:lineRule="auto"/>
            </w:pPr>
            <w:r>
              <w:rPr>
                <w:sz w:val="17"/>
              </w:rPr>
              <w:t>Day 1</w:t>
            </w:r>
          </w:p>
        </w:tc>
      </w:tr>
      <w:tr>
        <w:tc>
          <w:tcPr>
            <w:tcW w:type="dxa" w:w="850"/>
            <w:shd w:val="clear" w:color="auto" w:fill="EAF1F4"/>
          </w:tcPr>
          <w:p>
            <w:pPr>
              <w:spacing w:after="50" w:before="50" w:line="252" w:lineRule="auto"/>
            </w:pPr>
            <w:r>
              <w:rPr>
                <w:sz w:val="17"/>
              </w:rPr>
              <w:t>S-02</w:t>
            </w:r>
          </w:p>
        </w:tc>
        <w:tc>
          <w:tcPr>
            <w:tcW w:type="dxa" w:w="3663"/>
            <w:shd w:val="clear" w:color="auto" w:fill="EAF1F4"/>
          </w:tcPr>
          <w:p>
            <w:pPr>
              <w:spacing w:after="50" w:before="50" w:line="252" w:lineRule="auto"/>
            </w:pPr>
            <w:r>
              <w:rPr>
                <w:sz w:val="17"/>
              </w:rPr>
              <w:t>The delayed consignment</w:t>
            </w:r>
          </w:p>
        </w:tc>
        <w:tc>
          <w:tcPr>
            <w:tcW w:type="dxa" w:w="2727"/>
            <w:shd w:val="clear" w:color="auto" w:fill="EAF1F4"/>
          </w:tcPr>
          <w:p>
            <w:pPr>
              <w:spacing w:after="50" w:before="50" w:line="252" w:lineRule="auto"/>
            </w:pPr>
            <w:r>
              <w:rPr>
                <w:sz w:val="17"/>
              </w:rPr>
              <w:t>Commercial, MSME</w:t>
            </w:r>
          </w:p>
        </w:tc>
        <w:tc>
          <w:tcPr>
            <w:tcW w:type="dxa" w:w="1051"/>
            <w:shd w:val="clear" w:color="auto" w:fill="EAF1F4"/>
          </w:tcPr>
          <w:p>
            <w:pPr>
              <w:spacing w:after="50" w:before="50" w:line="252" w:lineRule="auto"/>
            </w:pPr>
            <w:r>
              <w:rPr>
                <w:sz w:val="17"/>
              </w:rPr>
              <w:t>Low–medium</w:t>
            </w:r>
          </w:p>
        </w:tc>
        <w:tc>
          <w:tcPr>
            <w:tcW w:type="dxa" w:w="1413"/>
            <w:shd w:val="clear" w:color="auto" w:fill="EAF1F4"/>
          </w:tcPr>
          <w:p>
            <w:pPr>
              <w:spacing w:after="50" w:before="50" w:line="252" w:lineRule="auto"/>
            </w:pPr>
            <w:r>
              <w:rPr>
                <w:sz w:val="17"/>
              </w:rPr>
              <w:t>Day 2</w:t>
            </w:r>
          </w:p>
        </w:tc>
      </w:tr>
      <w:tr>
        <w:tc>
          <w:tcPr>
            <w:tcW w:type="dxa" w:w="850"/>
          </w:tcPr>
          <w:p>
            <w:pPr>
              <w:spacing w:after="50" w:before="50" w:line="252" w:lineRule="auto"/>
            </w:pPr>
            <w:r>
              <w:rPr>
                <w:sz w:val="17"/>
              </w:rPr>
              <w:t>S-03</w:t>
            </w:r>
          </w:p>
        </w:tc>
        <w:tc>
          <w:tcPr>
            <w:tcW w:type="dxa" w:w="3663"/>
          </w:tcPr>
          <w:p>
            <w:pPr>
              <w:spacing w:after="50" w:before="50" w:line="252" w:lineRule="auto"/>
            </w:pPr>
            <w:r>
              <w:rPr>
                <w:sz w:val="17"/>
              </w:rPr>
              <w:t>The disputed one-time settlement</w:t>
            </w:r>
          </w:p>
        </w:tc>
        <w:tc>
          <w:tcPr>
            <w:tcW w:type="dxa" w:w="2727"/>
          </w:tcPr>
          <w:p>
            <w:pPr>
              <w:spacing w:after="50" w:before="50" w:line="252" w:lineRule="auto"/>
            </w:pPr>
            <w:r>
              <w:rPr>
                <w:sz w:val="17"/>
              </w:rPr>
              <w:t>Financial, lending</w:t>
            </w:r>
          </w:p>
        </w:tc>
        <w:tc>
          <w:tcPr>
            <w:tcW w:type="dxa" w:w="1051"/>
          </w:tcPr>
          <w:p>
            <w:pPr>
              <w:spacing w:after="50" w:before="50" w:line="252" w:lineRule="auto"/>
            </w:pPr>
            <w:r>
              <w:rPr>
                <w:sz w:val="17"/>
              </w:rPr>
              <w:t>Medium</w:t>
            </w:r>
          </w:p>
        </w:tc>
        <w:tc>
          <w:tcPr>
            <w:tcW w:type="dxa" w:w="1413"/>
          </w:tcPr>
          <w:p>
            <w:pPr>
              <w:spacing w:after="50" w:before="50" w:line="252" w:lineRule="auto"/>
            </w:pPr>
            <w:r>
              <w:rPr>
                <w:sz w:val="17"/>
              </w:rPr>
              <w:t>Day 3</w:t>
            </w:r>
          </w:p>
        </w:tc>
      </w:tr>
      <w:tr>
        <w:tc>
          <w:tcPr>
            <w:tcW w:type="dxa" w:w="850"/>
            <w:shd w:val="clear" w:color="auto" w:fill="EAF1F4"/>
          </w:tcPr>
          <w:p>
            <w:pPr>
              <w:spacing w:after="50" w:before="50" w:line="252" w:lineRule="auto"/>
            </w:pPr>
            <w:r>
              <w:rPr>
                <w:sz w:val="17"/>
              </w:rPr>
              <w:t>S-04</w:t>
            </w:r>
          </w:p>
        </w:tc>
        <w:tc>
          <w:tcPr>
            <w:tcW w:type="dxa" w:w="3663"/>
            <w:shd w:val="clear" w:color="auto" w:fill="EAF1F4"/>
          </w:tcPr>
          <w:p>
            <w:pPr>
              <w:spacing w:after="50" w:before="50" w:line="252" w:lineRule="auto"/>
            </w:pPr>
            <w:r>
              <w:rPr>
                <w:sz w:val="17"/>
              </w:rPr>
              <w:t>The full-and-final that was not</w:t>
            </w:r>
          </w:p>
        </w:tc>
        <w:tc>
          <w:tcPr>
            <w:tcW w:type="dxa" w:w="2727"/>
            <w:shd w:val="clear" w:color="auto" w:fill="EAF1F4"/>
          </w:tcPr>
          <w:p>
            <w:pPr>
              <w:spacing w:after="50" w:before="50" w:line="252" w:lineRule="auto"/>
            </w:pPr>
            <w:r>
              <w:rPr>
                <w:sz w:val="17"/>
              </w:rPr>
              <w:t>Workplace</w:t>
            </w:r>
          </w:p>
        </w:tc>
        <w:tc>
          <w:tcPr>
            <w:tcW w:type="dxa" w:w="1051"/>
            <w:shd w:val="clear" w:color="auto" w:fill="EAF1F4"/>
          </w:tcPr>
          <w:p>
            <w:pPr>
              <w:spacing w:after="50" w:before="50" w:line="252" w:lineRule="auto"/>
            </w:pPr>
            <w:r>
              <w:rPr>
                <w:sz w:val="17"/>
              </w:rPr>
              <w:t>Medium</w:t>
            </w:r>
          </w:p>
        </w:tc>
        <w:tc>
          <w:tcPr>
            <w:tcW w:type="dxa" w:w="1413"/>
            <w:shd w:val="clear" w:color="auto" w:fill="EAF1F4"/>
          </w:tcPr>
          <w:p>
            <w:pPr>
              <w:spacing w:after="50" w:before="50" w:line="252" w:lineRule="auto"/>
            </w:pPr>
            <w:r>
              <w:rPr>
                <w:sz w:val="17"/>
              </w:rPr>
              <w:t>Day 3 alternative</w:t>
            </w:r>
          </w:p>
        </w:tc>
      </w:tr>
      <w:tr>
        <w:tc>
          <w:tcPr>
            <w:tcW w:type="dxa" w:w="850"/>
          </w:tcPr>
          <w:p>
            <w:pPr>
              <w:spacing w:after="50" w:before="50" w:line="252" w:lineRule="auto"/>
            </w:pPr>
            <w:r>
              <w:rPr>
                <w:sz w:val="17"/>
              </w:rPr>
              <w:t>S-05</w:t>
            </w:r>
          </w:p>
        </w:tc>
        <w:tc>
          <w:tcPr>
            <w:tcW w:type="dxa" w:w="3663"/>
          </w:tcPr>
          <w:p>
            <w:pPr>
              <w:spacing w:after="50" w:before="50" w:line="252" w:lineRule="auto"/>
            </w:pPr>
            <w:r>
              <w:rPr>
                <w:sz w:val="17"/>
              </w:rPr>
              <w:t>The repudiated claim</w:t>
            </w:r>
          </w:p>
        </w:tc>
        <w:tc>
          <w:tcPr>
            <w:tcW w:type="dxa" w:w="2727"/>
          </w:tcPr>
          <w:p>
            <w:pPr>
              <w:spacing w:after="50" w:before="50" w:line="252" w:lineRule="auto"/>
            </w:pPr>
            <w:r>
              <w:rPr>
                <w:sz w:val="17"/>
              </w:rPr>
              <w:t>Insurance</w:t>
            </w:r>
          </w:p>
        </w:tc>
        <w:tc>
          <w:tcPr>
            <w:tcW w:type="dxa" w:w="1051"/>
          </w:tcPr>
          <w:p>
            <w:pPr>
              <w:spacing w:after="50" w:before="50" w:line="252" w:lineRule="auto"/>
            </w:pPr>
            <w:r>
              <w:rPr>
                <w:sz w:val="17"/>
              </w:rPr>
              <w:t>Medium–high</w:t>
            </w:r>
          </w:p>
        </w:tc>
        <w:tc>
          <w:tcPr>
            <w:tcW w:type="dxa" w:w="1413"/>
          </w:tcPr>
          <w:p>
            <w:pPr>
              <w:spacing w:after="50" w:before="50" w:line="252" w:lineRule="auto"/>
            </w:pPr>
            <w:r>
              <w:rPr>
                <w:sz w:val="17"/>
              </w:rPr>
              <w:t>Day 4</w:t>
            </w:r>
          </w:p>
        </w:tc>
      </w:tr>
      <w:tr>
        <w:tc>
          <w:tcPr>
            <w:tcW w:type="dxa" w:w="850"/>
            <w:shd w:val="clear" w:color="auto" w:fill="EAF1F4"/>
          </w:tcPr>
          <w:p>
            <w:pPr>
              <w:spacing w:after="50" w:before="50" w:line="252" w:lineRule="auto"/>
            </w:pPr>
            <w:r>
              <w:rPr>
                <w:sz w:val="17"/>
              </w:rPr>
              <w:t>S-06</w:t>
            </w:r>
          </w:p>
        </w:tc>
        <w:tc>
          <w:tcPr>
            <w:tcW w:type="dxa" w:w="3663"/>
            <w:shd w:val="clear" w:color="auto" w:fill="EAF1F4"/>
          </w:tcPr>
          <w:p>
            <w:pPr>
              <w:spacing w:after="50" w:before="50" w:line="252" w:lineRule="auto"/>
            </w:pPr>
            <w:r>
              <w:rPr>
                <w:sz w:val="17"/>
              </w:rPr>
              <w:t>The dissolving partnership</w:t>
            </w:r>
          </w:p>
        </w:tc>
        <w:tc>
          <w:tcPr>
            <w:tcW w:type="dxa" w:w="2727"/>
            <w:shd w:val="clear" w:color="auto" w:fill="EAF1F4"/>
          </w:tcPr>
          <w:p>
            <w:pPr>
              <w:spacing w:after="50" w:before="50" w:line="252" w:lineRule="auto"/>
            </w:pPr>
            <w:r>
              <w:rPr>
                <w:sz w:val="17"/>
              </w:rPr>
              <w:t>Commercial, relational</w:t>
            </w:r>
          </w:p>
        </w:tc>
        <w:tc>
          <w:tcPr>
            <w:tcW w:type="dxa" w:w="1051"/>
            <w:shd w:val="clear" w:color="auto" w:fill="EAF1F4"/>
          </w:tcPr>
          <w:p>
            <w:pPr>
              <w:spacing w:after="50" w:before="50" w:line="252" w:lineRule="auto"/>
            </w:pPr>
            <w:r>
              <w:rPr>
                <w:sz w:val="17"/>
              </w:rPr>
              <w:t>High</w:t>
            </w:r>
          </w:p>
        </w:tc>
        <w:tc>
          <w:tcPr>
            <w:tcW w:type="dxa" w:w="1413"/>
            <w:shd w:val="clear" w:color="auto" w:fill="EAF1F4"/>
          </w:tcPr>
          <w:p>
            <w:pPr>
              <w:spacing w:after="50" w:before="50" w:line="252" w:lineRule="auto"/>
            </w:pPr>
            <w:r>
              <w:rPr>
                <w:sz w:val="17"/>
              </w:rPr>
              <w:t>Day 4</w:t>
            </w:r>
          </w:p>
        </w:tc>
      </w:tr>
      <w:tr>
        <w:tc>
          <w:tcPr>
            <w:tcW w:type="dxa" w:w="850"/>
          </w:tcPr>
          <w:p>
            <w:pPr>
              <w:spacing w:after="50" w:before="50" w:line="252" w:lineRule="auto"/>
            </w:pPr>
            <w:r>
              <w:rPr>
                <w:sz w:val="17"/>
              </w:rPr>
              <w:t>S-07</w:t>
            </w:r>
          </w:p>
        </w:tc>
        <w:tc>
          <w:tcPr>
            <w:tcW w:type="dxa" w:w="3663"/>
          </w:tcPr>
          <w:p>
            <w:pPr>
              <w:spacing w:after="50" w:before="50" w:line="252" w:lineRule="auto"/>
            </w:pPr>
            <w:r>
              <w:rPr>
                <w:sz w:val="17"/>
              </w:rPr>
              <w:t>The construction delay chain</w:t>
            </w:r>
          </w:p>
        </w:tc>
        <w:tc>
          <w:tcPr>
            <w:tcW w:type="dxa" w:w="2727"/>
          </w:tcPr>
          <w:p>
            <w:pPr>
              <w:spacing w:after="50" w:before="50" w:line="252" w:lineRule="auto"/>
            </w:pPr>
            <w:r>
              <w:rPr>
                <w:sz w:val="17"/>
              </w:rPr>
              <w:t>Commercial, multi-party</w:t>
            </w:r>
          </w:p>
        </w:tc>
        <w:tc>
          <w:tcPr>
            <w:tcW w:type="dxa" w:w="1051"/>
          </w:tcPr>
          <w:p>
            <w:pPr>
              <w:spacing w:after="50" w:before="50" w:line="252" w:lineRule="auto"/>
            </w:pPr>
            <w:r>
              <w:rPr>
                <w:sz w:val="17"/>
              </w:rPr>
              <w:t>High</w:t>
            </w:r>
          </w:p>
        </w:tc>
        <w:tc>
          <w:tcPr>
            <w:tcW w:type="dxa" w:w="1413"/>
          </w:tcPr>
          <w:p>
            <w:pPr>
              <w:spacing w:after="50" w:before="50" w:line="252" w:lineRule="auto"/>
            </w:pPr>
            <w:r>
              <w:rPr>
                <w:sz w:val="17"/>
              </w:rPr>
              <w:t>Day 5</w:t>
            </w:r>
          </w:p>
        </w:tc>
      </w:tr>
      <w:tr>
        <w:tc>
          <w:tcPr>
            <w:tcW w:type="dxa" w:w="850"/>
            <w:shd w:val="clear" w:color="auto" w:fill="EAF1F4"/>
          </w:tcPr>
          <w:p>
            <w:pPr>
              <w:spacing w:after="50" w:before="50" w:line="252" w:lineRule="auto"/>
            </w:pPr>
            <w:r>
              <w:rPr>
                <w:sz w:val="17"/>
              </w:rPr>
              <w:t>S-08</w:t>
            </w:r>
          </w:p>
        </w:tc>
        <w:tc>
          <w:tcPr>
            <w:tcW w:type="dxa" w:w="3663"/>
            <w:shd w:val="clear" w:color="auto" w:fill="EAF1F4"/>
          </w:tcPr>
          <w:p>
            <w:pPr>
              <w:spacing w:after="50" w:before="50" w:line="252" w:lineRule="auto"/>
            </w:pPr>
            <w:r>
              <w:rPr>
                <w:sz w:val="17"/>
              </w:rPr>
              <w:t>The family business succession</w:t>
            </w:r>
          </w:p>
        </w:tc>
        <w:tc>
          <w:tcPr>
            <w:tcW w:type="dxa" w:w="2727"/>
            <w:shd w:val="clear" w:color="auto" w:fill="EAF1F4"/>
          </w:tcPr>
          <w:p>
            <w:pPr>
              <w:spacing w:after="50" w:before="50" w:line="252" w:lineRule="auto"/>
            </w:pPr>
            <w:r>
              <w:rPr>
                <w:sz w:val="17"/>
              </w:rPr>
              <w:t>Family and commercial overlap</w:t>
            </w:r>
          </w:p>
        </w:tc>
        <w:tc>
          <w:tcPr>
            <w:tcW w:type="dxa" w:w="1051"/>
            <w:shd w:val="clear" w:color="auto" w:fill="EAF1F4"/>
          </w:tcPr>
          <w:p>
            <w:pPr>
              <w:spacing w:after="50" w:before="50" w:line="252" w:lineRule="auto"/>
            </w:pPr>
            <w:r>
              <w:rPr>
                <w:sz w:val="17"/>
              </w:rPr>
              <w:t>High</w:t>
            </w:r>
          </w:p>
        </w:tc>
        <w:tc>
          <w:tcPr>
            <w:tcW w:type="dxa" w:w="1413"/>
            <w:shd w:val="clear" w:color="auto" w:fill="EAF1F4"/>
          </w:tcPr>
          <w:p>
            <w:pPr>
              <w:spacing w:after="50" w:before="50" w:line="252" w:lineRule="auto"/>
            </w:pPr>
            <w:r>
              <w:rPr>
                <w:sz w:val="17"/>
              </w:rPr>
              <w:t>Day 5 alternative</w:t>
            </w:r>
          </w:p>
        </w:tc>
      </w:tr>
    </w:tbl>
    <w:p>
      <w:pPr>
        <w:spacing w:after="80" w:before="0"/>
      </w:pPr>
    </w:p>
    <w:p>
      <w:r>
        <w:rPr>
          <w:b/>
        </w:rPr>
        <w:t>Each simulation comprises:</w:t>
      </w:r>
      <w:r>
        <w:t xml:space="preserve"> general information for all participants; confidential instructions for each party; a role brief for counsel where applicable; observer scoring sheet; faculty notes with the intended learning points and the traps built into the fact pattern.</w:t>
      </w:r>
    </w:p>
    <w:p>
      <w:r>
        <w:rPr>
          <w:b/>
        </w:rPr>
        <w:t>Design rule.</w:t>
      </w:r>
      <w:r>
        <w:t xml:space="preserve"> Every simulation contains at least one interest that is not visible from the pleadings and one piece of information a party will disclose only in caucus. A simulation without a hidden interest teaches nothing.</w:t>
      </w:r>
    </w:p>
    <w:p>
      <w:pPr>
        <w:spacing w:before="80" w:after="160"/>
        <w:pBdr>
          <w:bottom w:val="single" w:sz="6" w:space="1" w:color="C9D6DE"/>
        </w:pBdr>
      </w:pPr>
    </w:p>
    <w:p>
      <w:pPr>
        <w:pStyle w:val="Heading1"/>
        <w:pBdr>
          <w:bottom w:val="single" w:sz="8" w:space="4" w:color="C9D6DE"/>
        </w:pBdr>
      </w:pPr>
      <w:r>
        <w:t>5. Assessment specification</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1720"/>
            <w:shd w:val="clear" w:color="auto" w:fill="10375C"/>
          </w:tcPr>
          <w:p>
            <w:pPr>
              <w:spacing w:after="50" w:before="50"/>
            </w:pPr>
            <w:r>
              <w:rPr>
                <w:b/>
                <w:color w:val="FFFFFF"/>
                <w:sz w:val="17"/>
              </w:rPr>
              <w:t>Component</w:t>
            </w:r>
          </w:p>
        </w:tc>
        <w:tc>
          <w:tcPr>
            <w:tcW w:type="dxa" w:w="850"/>
            <w:shd w:val="clear" w:color="auto" w:fill="10375C"/>
          </w:tcPr>
          <w:p>
            <w:pPr>
              <w:spacing w:after="50" w:before="50"/>
            </w:pPr>
            <w:r>
              <w:rPr>
                <w:b/>
                <w:color w:val="FFFFFF"/>
                <w:sz w:val="17"/>
              </w:rPr>
              <w:t>Weight</w:t>
            </w:r>
          </w:p>
        </w:tc>
        <w:tc>
          <w:tcPr>
            <w:tcW w:type="dxa" w:w="5534"/>
            <w:shd w:val="clear" w:color="auto" w:fill="10375C"/>
          </w:tcPr>
          <w:p>
            <w:pPr>
              <w:spacing w:after="50" w:before="50"/>
            </w:pPr>
            <w:r>
              <w:rPr>
                <w:b/>
                <w:color w:val="FFFFFF"/>
                <w:sz w:val="17"/>
              </w:rPr>
              <w:t>Method</w:t>
            </w:r>
          </w:p>
        </w:tc>
        <w:tc>
          <w:tcPr>
            <w:tcW w:type="dxa" w:w="1660"/>
            <w:shd w:val="clear" w:color="auto" w:fill="10375C"/>
          </w:tcPr>
          <w:p>
            <w:pPr>
              <w:spacing w:after="50" w:before="50"/>
            </w:pPr>
            <w:r>
              <w:rPr>
                <w:b/>
                <w:color w:val="FFFFFF"/>
                <w:sz w:val="17"/>
              </w:rPr>
              <w:t>Pass</w:t>
            </w:r>
          </w:p>
        </w:tc>
      </w:tr>
      <w:tr>
        <w:tc>
          <w:tcPr>
            <w:tcW w:type="dxa" w:w="1720"/>
          </w:tcPr>
          <w:p>
            <w:pPr>
              <w:spacing w:after="50" w:before="50" w:line="252" w:lineRule="auto"/>
            </w:pPr>
            <w:r>
              <w:rPr>
                <w:sz w:val="17"/>
              </w:rPr>
              <w:t>Written assessment</w:t>
            </w:r>
          </w:p>
        </w:tc>
        <w:tc>
          <w:tcPr>
            <w:tcW w:type="dxa" w:w="850"/>
          </w:tcPr>
          <w:p>
            <w:pPr>
              <w:spacing w:after="50" w:before="50" w:line="252" w:lineRule="auto"/>
            </w:pPr>
            <w:r>
              <w:rPr>
                <w:sz w:val="17"/>
              </w:rPr>
              <w:t>30%</w:t>
            </w:r>
          </w:p>
        </w:tc>
        <w:tc>
          <w:tcPr>
            <w:tcW w:type="dxa" w:w="5534"/>
          </w:tcPr>
          <w:p>
            <w:pPr>
              <w:spacing w:after="50" w:before="50" w:line="252" w:lineRule="auto"/>
            </w:pPr>
            <w:r>
              <w:rPr>
                <w:sz w:val="17"/>
              </w:rPr>
              <w:t>20 multiple choice, 3 short answer, 1 problem question</w:t>
            </w:r>
          </w:p>
        </w:tc>
        <w:tc>
          <w:tcPr>
            <w:tcW w:type="dxa" w:w="1660"/>
          </w:tcPr>
          <w:p>
            <w:pPr>
              <w:spacing w:after="50" w:before="50" w:line="252" w:lineRule="auto"/>
            </w:pPr>
            <w:r>
              <w:rPr>
                <w:sz w:val="17"/>
              </w:rPr>
              <w:t>50%</w:t>
            </w:r>
          </w:p>
        </w:tc>
      </w:tr>
      <w:tr>
        <w:tc>
          <w:tcPr>
            <w:tcW w:type="dxa" w:w="1720"/>
            <w:shd w:val="clear" w:color="auto" w:fill="EAF1F4"/>
          </w:tcPr>
          <w:p>
            <w:pPr>
              <w:spacing w:after="50" w:before="50" w:line="252" w:lineRule="auto"/>
            </w:pPr>
            <w:r>
              <w:rPr>
                <w:sz w:val="17"/>
              </w:rPr>
              <w:t>Assessed simulation</w:t>
            </w:r>
          </w:p>
        </w:tc>
        <w:tc>
          <w:tcPr>
            <w:tcW w:type="dxa" w:w="850"/>
            <w:shd w:val="clear" w:color="auto" w:fill="EAF1F4"/>
          </w:tcPr>
          <w:p>
            <w:pPr>
              <w:spacing w:after="50" w:before="50" w:line="252" w:lineRule="auto"/>
            </w:pPr>
            <w:r>
              <w:rPr>
                <w:sz w:val="17"/>
              </w:rPr>
              <w:t>50%</w:t>
            </w:r>
          </w:p>
        </w:tc>
        <w:tc>
          <w:tcPr>
            <w:tcW w:type="dxa" w:w="5534"/>
            <w:shd w:val="clear" w:color="auto" w:fill="EAF1F4"/>
          </w:tcPr>
          <w:p>
            <w:pPr>
              <w:spacing w:after="50" w:before="50" w:line="252" w:lineRule="auto"/>
            </w:pPr>
            <w:r>
              <w:rPr>
                <w:sz w:val="17"/>
              </w:rPr>
              <w:t>90-minute mediation, scored by a trained assessor against the rubric</w:t>
            </w:r>
          </w:p>
        </w:tc>
        <w:tc>
          <w:tcPr>
            <w:tcW w:type="dxa" w:w="1660"/>
            <w:shd w:val="clear" w:color="auto" w:fill="EAF1F4"/>
          </w:tcPr>
          <w:p>
            <w:pPr>
              <w:spacing w:after="50" w:before="50" w:line="252" w:lineRule="auto"/>
            </w:pPr>
            <w:r>
              <w:rPr>
                <w:sz w:val="17"/>
              </w:rPr>
              <w:t>50%</w:t>
            </w:r>
          </w:p>
        </w:tc>
      </w:tr>
      <w:tr>
        <w:tc>
          <w:tcPr>
            <w:tcW w:type="dxa" w:w="1720"/>
          </w:tcPr>
          <w:p>
            <w:pPr>
              <w:spacing w:after="50" w:before="50" w:line="252" w:lineRule="auto"/>
            </w:pPr>
            <w:r>
              <w:rPr>
                <w:sz w:val="17"/>
              </w:rPr>
              <w:t>Viva</w:t>
            </w:r>
          </w:p>
        </w:tc>
        <w:tc>
          <w:tcPr>
            <w:tcW w:type="dxa" w:w="850"/>
          </w:tcPr>
          <w:p>
            <w:pPr>
              <w:spacing w:after="50" w:before="50" w:line="252" w:lineRule="auto"/>
            </w:pPr>
            <w:r>
              <w:rPr>
                <w:sz w:val="17"/>
              </w:rPr>
              <w:t>20%</w:t>
            </w:r>
          </w:p>
        </w:tc>
        <w:tc>
          <w:tcPr>
            <w:tcW w:type="dxa" w:w="5534"/>
          </w:tcPr>
          <w:p>
            <w:pPr>
              <w:spacing w:after="50" w:before="50" w:line="252" w:lineRule="auto"/>
            </w:pPr>
            <w:r>
              <w:rPr>
                <w:sz w:val="17"/>
              </w:rPr>
              <w:t>10 minutes on the reflective log and ethical scenarios</w:t>
            </w:r>
          </w:p>
        </w:tc>
        <w:tc>
          <w:tcPr>
            <w:tcW w:type="dxa" w:w="1660"/>
          </w:tcPr>
          <w:p>
            <w:pPr>
              <w:spacing w:after="50" w:before="50" w:line="252" w:lineRule="auto"/>
            </w:pPr>
            <w:r>
              <w:rPr>
                <w:sz w:val="17"/>
              </w:rPr>
              <w:t>50%</w:t>
            </w:r>
          </w:p>
        </w:tc>
      </w:tr>
      <w:tr>
        <w:tc>
          <w:tcPr>
            <w:tcW w:type="dxa" w:w="1720"/>
            <w:shd w:val="clear" w:color="auto" w:fill="EAF1F4"/>
          </w:tcPr>
          <w:p>
            <w:pPr>
              <w:spacing w:after="50" w:before="50" w:line="252" w:lineRule="auto"/>
            </w:pPr>
            <w:r>
              <w:rPr>
                <w:sz w:val="17"/>
              </w:rPr>
              <w:t>Attendance</w:t>
            </w:r>
          </w:p>
        </w:tc>
        <w:tc>
          <w:tcPr>
            <w:tcW w:type="dxa" w:w="850"/>
            <w:shd w:val="clear" w:color="auto" w:fill="EAF1F4"/>
          </w:tcPr>
          <w:p>
            <w:pPr>
              <w:spacing w:after="50" w:before="50" w:line="252" w:lineRule="auto"/>
            </w:pPr>
            <w:r>
              <w:rPr>
                <w:sz w:val="17"/>
              </w:rPr>
              <w:t>Gate</w:t>
            </w:r>
          </w:p>
        </w:tc>
        <w:tc>
          <w:tcPr>
            <w:tcW w:type="dxa" w:w="5534"/>
            <w:shd w:val="clear" w:color="auto" w:fill="EAF1F4"/>
          </w:tcPr>
          <w:p>
            <w:pPr>
              <w:spacing w:after="50" w:before="50" w:line="252" w:lineRule="auto"/>
            </w:pPr>
            <w:r>
              <w:rPr>
                <w:sz w:val="17"/>
              </w:rPr>
              <w:t>90% of scheduled hours</w:t>
            </w:r>
          </w:p>
        </w:tc>
        <w:tc>
          <w:tcPr>
            <w:tcW w:type="dxa" w:w="1660"/>
            <w:shd w:val="clear" w:color="auto" w:fill="EAF1F4"/>
          </w:tcPr>
          <w:p>
            <w:pPr>
              <w:spacing w:after="50" w:before="50" w:line="252" w:lineRule="auto"/>
            </w:pPr>
            <w:r>
              <w:rPr>
                <w:sz w:val="17"/>
              </w:rPr>
              <w:t xml:space="preserve">Mandatory, </w:t>
            </w:r>
            <w:r>
              <w:rPr>
                <w:b/>
                <w:sz w:val="17"/>
              </w:rPr>
              <w:t>no discretion</w:t>
            </w:r>
          </w:p>
        </w:tc>
      </w:tr>
    </w:tbl>
    <w:p>
      <w:pPr>
        <w:spacing w:after="80" w:before="0"/>
      </w:pPr>
    </w:p>
    <w:p>
      <w:r>
        <w:rPr>
          <w:b/>
        </w:rPr>
        <w:t>Overall pass: 50% aggregate and not less than 50% in the assessed simulation.</w:t>
      </w:r>
      <w:r>
        <w:t xml:space="preserve"> A participant may pass the written assessment and fail the programme; competence in the room is the point.</w:t>
      </w:r>
    </w:p>
    <w:p>
      <w:r>
        <w:t>Detailed rubrics, the appeals procedure and reassessment rules are in 05.7.</w:t>
      </w:r>
    </w:p>
    <w:p>
      <w:pPr>
        <w:spacing w:before="80" w:after="160"/>
        <w:pBdr>
          <w:bottom w:val="single" w:sz="6" w:space="1" w:color="C9D6DE"/>
        </w:pBdr>
      </w:pPr>
    </w:p>
    <w:p>
      <w:pPr>
        <w:pStyle w:val="Heading1"/>
        <w:pBdr>
          <w:bottom w:val="single" w:sz="8" w:space="4" w:color="C9D6DE"/>
        </w:pBdr>
      </w:pPr>
      <w:r>
        <w:t>6. Materials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7776"/>
            <w:shd w:val="clear" w:color="auto" w:fill="10375C"/>
          </w:tcPr>
          <w:p>
            <w:pPr>
              <w:spacing w:after="50" w:before="50"/>
            </w:pPr>
            <w:r>
              <w:rPr>
                <w:b/>
                <w:color w:val="FFFFFF"/>
                <w:sz w:val="17"/>
              </w:rPr>
              <w:t>Item</w:t>
            </w:r>
          </w:p>
        </w:tc>
        <w:tc>
          <w:tcPr>
            <w:tcW w:type="dxa" w:w="1691"/>
            <w:shd w:val="clear" w:color="auto" w:fill="10375C"/>
          </w:tcPr>
          <w:p>
            <w:pPr>
              <w:spacing w:after="50" w:before="50"/>
            </w:pPr>
            <w:r>
              <w:rPr>
                <w:b/>
                <w:color w:val="FFFFFF"/>
                <w:sz w:val="17"/>
              </w:rPr>
              <w:t>Supplied by</w:t>
            </w:r>
          </w:p>
        </w:tc>
      </w:tr>
      <w:tr>
        <w:tc>
          <w:tcPr>
            <w:tcW w:type="dxa" w:w="7776"/>
          </w:tcPr>
          <w:p>
            <w:pPr>
              <w:spacing w:after="50" w:before="50" w:line="252" w:lineRule="auto"/>
            </w:pPr>
            <w:r>
              <w:rPr>
                <w:sz w:val="17"/>
              </w:rPr>
              <w:t>Participant workbook, approximately 120 pages</w:t>
            </w:r>
          </w:p>
        </w:tc>
        <w:tc>
          <w:tcPr>
            <w:tcW w:type="dxa" w:w="1691"/>
          </w:tcPr>
          <w:p>
            <w:pPr>
              <w:spacing w:after="50" w:before="50" w:line="252" w:lineRule="auto"/>
            </w:pPr>
            <w:r>
              <w:rPr>
                <w:sz w:val="17"/>
              </w:rPr>
              <w:t>Institute</w:t>
            </w:r>
          </w:p>
        </w:tc>
      </w:tr>
      <w:tr>
        <w:tc>
          <w:tcPr>
            <w:tcW w:type="dxa" w:w="7776"/>
            <w:shd w:val="clear" w:color="auto" w:fill="EAF1F4"/>
          </w:tcPr>
          <w:p>
            <w:pPr>
              <w:spacing w:after="50" w:before="50" w:line="252" w:lineRule="auto"/>
            </w:pPr>
            <w:r>
              <w:rPr>
                <w:sz w:val="17"/>
              </w:rPr>
              <w:t>Statute extracts — Mediation Act 2023, section 12A extract, relevant rules</w:t>
            </w:r>
          </w:p>
        </w:tc>
        <w:tc>
          <w:tcPr>
            <w:tcW w:type="dxa" w:w="1691"/>
            <w:shd w:val="clear" w:color="auto" w:fill="EAF1F4"/>
          </w:tcPr>
          <w:p>
            <w:pPr>
              <w:spacing w:after="50" w:before="50" w:line="252" w:lineRule="auto"/>
            </w:pPr>
            <w:r>
              <w:rPr>
                <w:sz w:val="17"/>
              </w:rPr>
              <w:t>Institute</w:t>
            </w:r>
          </w:p>
        </w:tc>
      </w:tr>
      <w:tr>
        <w:tc>
          <w:tcPr>
            <w:tcW w:type="dxa" w:w="7776"/>
          </w:tcPr>
          <w:p>
            <w:pPr>
              <w:spacing w:after="50" w:before="50" w:line="252" w:lineRule="auto"/>
            </w:pPr>
            <w:r>
              <w:rPr>
                <w:sz w:val="17"/>
              </w:rPr>
              <w:t>Simulation packs, sealed and issued at the point of use</w:t>
            </w:r>
          </w:p>
        </w:tc>
        <w:tc>
          <w:tcPr>
            <w:tcW w:type="dxa" w:w="1691"/>
          </w:tcPr>
          <w:p>
            <w:pPr>
              <w:spacing w:after="50" w:before="50" w:line="252" w:lineRule="auto"/>
            </w:pPr>
            <w:r>
              <w:rPr>
                <w:sz w:val="17"/>
              </w:rPr>
              <w:t>Institute</w:t>
            </w:r>
          </w:p>
        </w:tc>
      </w:tr>
      <w:tr>
        <w:tc>
          <w:tcPr>
            <w:tcW w:type="dxa" w:w="7776"/>
            <w:shd w:val="clear" w:color="auto" w:fill="EAF1F4"/>
          </w:tcPr>
          <w:p>
            <w:pPr>
              <w:spacing w:after="50" w:before="50" w:line="252" w:lineRule="auto"/>
            </w:pPr>
            <w:r>
              <w:rPr>
                <w:sz w:val="17"/>
              </w:rPr>
              <w:t>Drafting precedents and settlement agreement templates</w:t>
            </w:r>
          </w:p>
        </w:tc>
        <w:tc>
          <w:tcPr>
            <w:tcW w:type="dxa" w:w="1691"/>
            <w:shd w:val="clear" w:color="auto" w:fill="EAF1F4"/>
          </w:tcPr>
          <w:p>
            <w:pPr>
              <w:spacing w:after="50" w:before="50" w:line="252" w:lineRule="auto"/>
            </w:pPr>
            <w:r>
              <w:rPr>
                <w:sz w:val="17"/>
              </w:rPr>
              <w:t>Institute</w:t>
            </w:r>
          </w:p>
        </w:tc>
      </w:tr>
      <w:tr>
        <w:tc>
          <w:tcPr>
            <w:tcW w:type="dxa" w:w="7776"/>
          </w:tcPr>
          <w:p>
            <w:pPr>
              <w:spacing w:after="50" w:before="50" w:line="252" w:lineRule="auto"/>
            </w:pPr>
            <w:r>
              <w:rPr>
                <w:sz w:val="17"/>
              </w:rPr>
              <w:t>Observer scoring sheets</w:t>
            </w:r>
          </w:p>
        </w:tc>
        <w:tc>
          <w:tcPr>
            <w:tcW w:type="dxa" w:w="1691"/>
          </w:tcPr>
          <w:p>
            <w:pPr>
              <w:spacing w:after="50" w:before="50" w:line="252" w:lineRule="auto"/>
            </w:pPr>
            <w:r>
              <w:rPr>
                <w:sz w:val="17"/>
              </w:rPr>
              <w:t>Institute</w:t>
            </w:r>
          </w:p>
        </w:tc>
      </w:tr>
      <w:tr>
        <w:tc>
          <w:tcPr>
            <w:tcW w:type="dxa" w:w="7776"/>
            <w:shd w:val="clear" w:color="auto" w:fill="EAF1F4"/>
          </w:tcPr>
          <w:p>
            <w:pPr>
              <w:spacing w:after="50" w:before="50" w:line="252" w:lineRule="auto"/>
            </w:pPr>
            <w:r>
              <w:rPr>
                <w:sz w:val="17"/>
              </w:rPr>
              <w:t>Reflective log booklet</w:t>
            </w:r>
          </w:p>
        </w:tc>
        <w:tc>
          <w:tcPr>
            <w:tcW w:type="dxa" w:w="1691"/>
            <w:shd w:val="clear" w:color="auto" w:fill="EAF1F4"/>
          </w:tcPr>
          <w:p>
            <w:pPr>
              <w:spacing w:after="50" w:before="50" w:line="252" w:lineRule="auto"/>
            </w:pPr>
            <w:r>
              <w:rPr>
                <w:sz w:val="17"/>
              </w:rPr>
              <w:t>Institute</w:t>
            </w:r>
          </w:p>
        </w:tc>
      </w:tr>
      <w:tr>
        <w:tc>
          <w:tcPr>
            <w:tcW w:type="dxa" w:w="7776"/>
          </w:tcPr>
          <w:p>
            <w:pPr>
              <w:spacing w:after="50" w:before="50" w:line="252" w:lineRule="auto"/>
            </w:pPr>
            <w:r>
              <w:rPr>
                <w:sz w:val="17"/>
              </w:rPr>
              <w:t>Name cards, stationery, flip charts, markers</w:t>
            </w:r>
          </w:p>
        </w:tc>
        <w:tc>
          <w:tcPr>
            <w:tcW w:type="dxa" w:w="1691"/>
          </w:tcPr>
          <w:p>
            <w:pPr>
              <w:spacing w:after="50" w:before="50" w:line="252" w:lineRule="auto"/>
            </w:pPr>
            <w:r>
              <w:rPr>
                <w:sz w:val="17"/>
              </w:rPr>
              <w:t>Institute</w:t>
            </w:r>
          </w:p>
        </w:tc>
      </w:tr>
      <w:tr>
        <w:tc>
          <w:tcPr>
            <w:tcW w:type="dxa" w:w="7776"/>
            <w:shd w:val="clear" w:color="auto" w:fill="EAF1F4"/>
          </w:tcPr>
          <w:p>
            <w:pPr>
              <w:spacing w:after="50" w:before="50" w:line="252" w:lineRule="auto"/>
            </w:pPr>
            <w:r>
              <w:rPr>
                <w:sz w:val="17"/>
              </w:rPr>
              <w:t>Digital resource pack, access for twelve months</w:t>
            </w:r>
          </w:p>
        </w:tc>
        <w:tc>
          <w:tcPr>
            <w:tcW w:type="dxa" w:w="1691"/>
            <w:shd w:val="clear" w:color="auto" w:fill="EAF1F4"/>
          </w:tcPr>
          <w:p>
            <w:pPr>
              <w:spacing w:after="50" w:before="50" w:line="252" w:lineRule="auto"/>
            </w:pPr>
            <w:r>
              <w:rPr>
                <w:sz w:val="17"/>
              </w:rPr>
              <w:t>Institute</w:t>
            </w:r>
          </w:p>
        </w:tc>
      </w:tr>
      <w:tr>
        <w:tc>
          <w:tcPr>
            <w:tcW w:type="dxa" w:w="7776"/>
          </w:tcPr>
          <w:p>
            <w:pPr>
              <w:spacing w:after="50" w:before="50" w:line="252" w:lineRule="auto"/>
            </w:pPr>
            <w:r>
              <w:rPr>
                <w:sz w:val="17"/>
              </w:rPr>
              <w:t>Certificate</w:t>
            </w:r>
          </w:p>
        </w:tc>
        <w:tc>
          <w:tcPr>
            <w:tcW w:type="dxa" w:w="1691"/>
          </w:tcPr>
          <w:p>
            <w:pPr>
              <w:spacing w:after="50" w:before="50" w:line="252" w:lineRule="auto"/>
            </w:pPr>
            <w:r>
              <w:rPr>
                <w:sz w:val="17"/>
              </w:rPr>
              <w:t>Institute</w:t>
            </w:r>
          </w:p>
        </w:tc>
      </w:tr>
    </w:tbl>
    <w:p>
      <w:pPr>
        <w:spacing w:after="80" w:before="0"/>
      </w:pPr>
    </w:p>
    <w:p>
      <w:pPr>
        <w:spacing w:before="80" w:after="160"/>
        <w:pBdr>
          <w:bottom w:val="single" w:sz="6" w:space="1" w:color="C9D6DE"/>
        </w:pBdr>
      </w:pPr>
    </w:p>
    <w:p>
      <w:pPr>
        <w:pStyle w:val="Heading1"/>
        <w:pBdr>
          <w:bottom w:val="single" w:sz="8" w:space="4" w:color="C9D6DE"/>
        </w:pBdr>
      </w:pPr>
      <w:r>
        <w:t>7. Faculty requirement</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066"/>
            <w:shd w:val="clear" w:color="auto" w:fill="10375C"/>
          </w:tcPr>
          <w:p>
            <w:pPr>
              <w:spacing w:after="50" w:before="50"/>
            </w:pPr>
            <w:r>
              <w:rPr>
                <w:b/>
                <w:color w:val="FFFFFF"/>
                <w:sz w:val="17"/>
              </w:rPr>
              <w:t>Role</w:t>
            </w:r>
          </w:p>
        </w:tc>
        <w:tc>
          <w:tcPr>
            <w:tcW w:type="dxa" w:w="7401"/>
            <w:shd w:val="clear" w:color="auto" w:fill="10375C"/>
          </w:tcPr>
          <w:p>
            <w:pPr>
              <w:spacing w:after="50" w:before="50"/>
            </w:pPr>
            <w:r>
              <w:rPr>
                <w:b/>
                <w:color w:val="FFFFFF"/>
                <w:sz w:val="17"/>
              </w:rPr>
              <w:t>Requirement</w:t>
            </w:r>
          </w:p>
        </w:tc>
      </w:tr>
      <w:tr>
        <w:tc>
          <w:tcPr>
            <w:tcW w:type="dxa" w:w="2066"/>
          </w:tcPr>
          <w:p>
            <w:pPr>
              <w:spacing w:after="50" w:before="50" w:line="252" w:lineRule="auto"/>
            </w:pPr>
            <w:r>
              <w:rPr>
                <w:sz w:val="17"/>
              </w:rPr>
              <w:t>Lead trainer</w:t>
            </w:r>
          </w:p>
        </w:tc>
        <w:tc>
          <w:tcPr>
            <w:tcW w:type="dxa" w:w="7401"/>
          </w:tcPr>
          <w:p>
            <w:pPr>
              <w:spacing w:after="50" w:before="50" w:line="252" w:lineRule="auto"/>
            </w:pPr>
            <w:r>
              <w:rPr>
                <w:sz w:val="17"/>
              </w:rPr>
              <w:t>Certified to the Institute trainer standard; not fewer than 20 mediations conducted; T-TTT completed; observed within the last 12 months</w:t>
            </w:r>
          </w:p>
        </w:tc>
      </w:tr>
      <w:tr>
        <w:tc>
          <w:tcPr>
            <w:tcW w:type="dxa" w:w="2066"/>
            <w:shd w:val="clear" w:color="auto" w:fill="EAF1F4"/>
          </w:tcPr>
          <w:p>
            <w:pPr>
              <w:spacing w:after="50" w:before="50" w:line="252" w:lineRule="auto"/>
            </w:pPr>
            <w:r>
              <w:rPr>
                <w:sz w:val="17"/>
              </w:rPr>
              <w:t>Associate trainer</w:t>
            </w:r>
          </w:p>
        </w:tc>
        <w:tc>
          <w:tcPr>
            <w:tcW w:type="dxa" w:w="7401"/>
            <w:shd w:val="clear" w:color="auto" w:fill="EAF1F4"/>
          </w:tcPr>
          <w:p>
            <w:pPr>
              <w:spacing w:after="50" w:before="50" w:line="252" w:lineRule="auto"/>
            </w:pPr>
            <w:r>
              <w:rPr>
                <w:sz w:val="17"/>
              </w:rPr>
              <w:t>T-40 and T-20 completed; T-TTT completed or in progress; works under the lead</w:t>
            </w:r>
          </w:p>
        </w:tc>
      </w:tr>
      <w:tr>
        <w:tc>
          <w:tcPr>
            <w:tcW w:type="dxa" w:w="2066"/>
          </w:tcPr>
          <w:p>
            <w:pPr>
              <w:spacing w:after="50" w:before="50" w:line="252" w:lineRule="auto"/>
            </w:pPr>
            <w:r>
              <w:rPr>
                <w:sz w:val="17"/>
              </w:rPr>
              <w:t>Assessors, day 5</w:t>
            </w:r>
          </w:p>
        </w:tc>
        <w:tc>
          <w:tcPr>
            <w:tcW w:type="dxa" w:w="7401"/>
          </w:tcPr>
          <w:p>
            <w:pPr>
              <w:spacing w:after="50" w:before="50" w:line="252" w:lineRule="auto"/>
            </w:pPr>
            <w:r>
              <w:rPr>
                <w:sz w:val="17"/>
              </w:rPr>
              <w:t>T-ASSESS certified; not the trainer who taught that participant, where numbers permit</w:t>
            </w:r>
          </w:p>
        </w:tc>
      </w:tr>
      <w:tr>
        <w:tc>
          <w:tcPr>
            <w:tcW w:type="dxa" w:w="2066"/>
            <w:shd w:val="clear" w:color="auto" w:fill="EAF1F4"/>
          </w:tcPr>
          <w:p>
            <w:pPr>
              <w:spacing w:after="50" w:before="50" w:line="252" w:lineRule="auto"/>
            </w:pPr>
            <w:r>
              <w:rPr>
                <w:sz w:val="17"/>
              </w:rPr>
              <w:t>Ratio</w:t>
            </w:r>
          </w:p>
        </w:tc>
        <w:tc>
          <w:tcPr>
            <w:tcW w:type="dxa" w:w="7401"/>
            <w:shd w:val="clear" w:color="auto" w:fill="EAF1F4"/>
          </w:tcPr>
          <w:p>
            <w:pPr>
              <w:spacing w:after="50" w:before="50" w:line="252" w:lineRule="auto"/>
            </w:pPr>
            <w:r>
              <w:rPr>
                <w:sz w:val="17"/>
              </w:rPr>
              <w:t>Not more than 15 participants per trainer during simulation</w:t>
            </w:r>
          </w:p>
        </w:tc>
      </w:tr>
    </w:tbl>
    <w:p>
      <w:pPr>
        <w:spacing w:after="80" w:before="0"/>
      </w:pPr>
    </w:p>
    <w:p>
      <w:pPr>
        <w:spacing w:before="80" w:after="160"/>
        <w:pBdr>
          <w:bottom w:val="single" w:sz="6" w:space="1" w:color="C9D6DE"/>
        </w:pBdr>
      </w:pPr>
    </w:p>
    <w:p>
      <w:pPr>
        <w:pStyle w:val="Heading1"/>
        <w:pBdr>
          <w:bottom w:val="single" w:sz="8" w:space="4" w:color="C9D6DE"/>
        </w:pBdr>
      </w:pPr>
      <w:r>
        <w:t>8. Quality assurance</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6577"/>
            <w:shd w:val="clear" w:color="auto" w:fill="10375C"/>
          </w:tcPr>
          <w:p>
            <w:pPr>
              <w:spacing w:after="50" w:before="50"/>
            </w:pPr>
            <w:r>
              <w:rPr>
                <w:b/>
                <w:color w:val="FFFFFF"/>
                <w:sz w:val="17"/>
              </w:rPr>
              <w:t>Control</w:t>
            </w:r>
          </w:p>
        </w:tc>
        <w:tc>
          <w:tcPr>
            <w:tcW w:type="dxa" w:w="2891"/>
            <w:shd w:val="clear" w:color="auto" w:fill="10375C"/>
          </w:tcPr>
          <w:p>
            <w:pPr>
              <w:spacing w:after="50" w:before="50"/>
            </w:pPr>
            <w:r>
              <w:rPr>
                <w:b/>
                <w:color w:val="FFFFFF"/>
                <w:sz w:val="17"/>
              </w:rPr>
              <w:t>Frequency</w:t>
            </w:r>
          </w:p>
        </w:tc>
      </w:tr>
      <w:tr>
        <w:tc>
          <w:tcPr>
            <w:tcW w:type="dxa" w:w="6577"/>
          </w:tcPr>
          <w:p>
            <w:pPr>
              <w:spacing w:after="50" w:before="50" w:line="252" w:lineRule="auto"/>
            </w:pPr>
            <w:r>
              <w:rPr>
                <w:sz w:val="17"/>
              </w:rPr>
              <w:t>Feedback captured at the end of each day, not only at the end</w:t>
            </w:r>
          </w:p>
        </w:tc>
        <w:tc>
          <w:tcPr>
            <w:tcW w:type="dxa" w:w="2891"/>
          </w:tcPr>
          <w:p>
            <w:pPr>
              <w:spacing w:after="50" w:before="50" w:line="252" w:lineRule="auto"/>
            </w:pPr>
            <w:r>
              <w:rPr>
                <w:sz w:val="17"/>
              </w:rPr>
              <w:t>Daily</w:t>
            </w:r>
          </w:p>
        </w:tc>
      </w:tr>
      <w:tr>
        <w:tc>
          <w:tcPr>
            <w:tcW w:type="dxa" w:w="6577"/>
            <w:shd w:val="clear" w:color="auto" w:fill="EAF1F4"/>
          </w:tcPr>
          <w:p>
            <w:pPr>
              <w:spacing w:after="50" w:before="50" w:line="252" w:lineRule="auto"/>
            </w:pPr>
            <w:r>
              <w:rPr>
                <w:sz w:val="17"/>
              </w:rPr>
              <w:t>Lead trainer observed by the Head of Curriculum</w:t>
            </w:r>
          </w:p>
        </w:tc>
        <w:tc>
          <w:tcPr>
            <w:tcW w:type="dxa" w:w="2891"/>
            <w:shd w:val="clear" w:color="auto" w:fill="EAF1F4"/>
          </w:tcPr>
          <w:p>
            <w:pPr>
              <w:spacing w:after="50" w:before="50" w:line="252" w:lineRule="auto"/>
            </w:pPr>
            <w:r>
              <w:rPr>
                <w:sz w:val="17"/>
              </w:rPr>
              <w:t>Once per trainer per year</w:t>
            </w:r>
          </w:p>
        </w:tc>
      </w:tr>
      <w:tr>
        <w:tc>
          <w:tcPr>
            <w:tcW w:type="dxa" w:w="6577"/>
          </w:tcPr>
          <w:p>
            <w:pPr>
              <w:spacing w:after="50" w:before="50" w:line="252" w:lineRule="auto"/>
            </w:pPr>
            <w:r>
              <w:rPr>
                <w:sz w:val="17"/>
              </w:rPr>
              <w:t>Assessment marks moderated; all borderline scripts double-marked</w:t>
            </w:r>
          </w:p>
        </w:tc>
        <w:tc>
          <w:tcPr>
            <w:tcW w:type="dxa" w:w="2891"/>
          </w:tcPr>
          <w:p>
            <w:pPr>
              <w:spacing w:after="50" w:before="50" w:line="252" w:lineRule="auto"/>
            </w:pPr>
            <w:r>
              <w:rPr>
                <w:sz w:val="17"/>
              </w:rPr>
              <w:t>Every cohort</w:t>
            </w:r>
          </w:p>
        </w:tc>
      </w:tr>
      <w:tr>
        <w:tc>
          <w:tcPr>
            <w:tcW w:type="dxa" w:w="6577"/>
            <w:shd w:val="clear" w:color="auto" w:fill="EAF1F4"/>
          </w:tcPr>
          <w:p>
            <w:pPr>
              <w:spacing w:after="50" w:before="50" w:line="252" w:lineRule="auto"/>
            </w:pPr>
            <w:r>
              <w:rPr>
                <w:sz w:val="17"/>
              </w:rPr>
              <w:t>Assessor calibration session</w:t>
            </w:r>
          </w:p>
        </w:tc>
        <w:tc>
          <w:tcPr>
            <w:tcW w:type="dxa" w:w="2891"/>
            <w:shd w:val="clear" w:color="auto" w:fill="EAF1F4"/>
          </w:tcPr>
          <w:p>
            <w:pPr>
              <w:spacing w:after="50" w:before="50" w:line="252" w:lineRule="auto"/>
            </w:pPr>
            <w:r>
              <w:rPr>
                <w:sz w:val="17"/>
              </w:rPr>
              <w:t>Before every assessed cohort</w:t>
            </w:r>
          </w:p>
        </w:tc>
      </w:tr>
      <w:tr>
        <w:tc>
          <w:tcPr>
            <w:tcW w:type="dxa" w:w="6577"/>
          </w:tcPr>
          <w:p>
            <w:pPr>
              <w:spacing w:after="50" w:before="50" w:line="252" w:lineRule="auto"/>
            </w:pPr>
            <w:r>
              <w:rPr>
                <w:sz w:val="17"/>
              </w:rPr>
              <w:t>Cohort report — attendance, marks distribution, feedback, incidents</w:t>
            </w:r>
          </w:p>
        </w:tc>
        <w:tc>
          <w:tcPr>
            <w:tcW w:type="dxa" w:w="2891"/>
          </w:tcPr>
          <w:p>
            <w:pPr>
              <w:spacing w:after="50" w:before="50" w:line="252" w:lineRule="auto"/>
            </w:pPr>
            <w:r>
              <w:rPr>
                <w:sz w:val="17"/>
              </w:rPr>
              <w:t>Within 21 days</w:t>
            </w:r>
          </w:p>
        </w:tc>
      </w:tr>
      <w:tr>
        <w:tc>
          <w:tcPr>
            <w:tcW w:type="dxa" w:w="6577"/>
            <w:shd w:val="clear" w:color="auto" w:fill="EAF1F4"/>
          </w:tcPr>
          <w:p>
            <w:pPr>
              <w:spacing w:after="50" w:before="50" w:line="252" w:lineRule="auto"/>
            </w:pPr>
            <w:r>
              <w:rPr>
                <w:sz w:val="17"/>
              </w:rPr>
              <w:t>Curriculum reviewed against any change of law</w:t>
            </w:r>
          </w:p>
        </w:tc>
        <w:tc>
          <w:tcPr>
            <w:tcW w:type="dxa" w:w="2891"/>
            <w:shd w:val="clear" w:color="auto" w:fill="EAF1F4"/>
          </w:tcPr>
          <w:p>
            <w:pPr>
              <w:spacing w:after="50" w:before="50" w:line="252" w:lineRule="auto"/>
            </w:pPr>
            <w:r>
              <w:rPr>
                <w:sz w:val="17"/>
              </w:rPr>
              <w:t>On change, and annually</w:t>
            </w:r>
          </w:p>
        </w:tc>
      </w:tr>
    </w:tbl>
    <w:p>
      <w:pPr>
        <w:spacing w:after="80" w:before="0"/>
      </w:pPr>
    </w:p>
    <w:sectPr w:rsidR="00FC693F" w:rsidRPr="0006063C" w:rsidSect="00034616">
      <w:headerReference w:type="default" r:id="rId9"/>
      <w:footerReference w:type="default" r:id="rId10"/>
      <w:pgSz w:w="11906" w:h="16838"/>
      <w:pgMar w:top="1134" w:right="1134" w:bottom="1020" w:left="130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734" w:val="center"/>
        <w:tab w:pos="9468" w:val="right"/>
      </w:tabs>
      <w:pBdr>
        <w:top w:val="single" w:sz="6" w:space="3" w:color="C9D6DE"/>
      </w:pBdr>
    </w:pPr>
    <w:r/>
    <w:r>
      <w:rPr>
        <w:color w:val="595959"/>
        <w:sz w:val="15"/>
      </w:rPr>
      <w:t>EQ-UAP-052  ·  v1.0</w:t>
    </w:r>
    <w:r>
      <w:tab/>
    </w:r>
    <w:r>
      <w:rPr>
        <w:b/>
        <w:color w:val="595959"/>
        <w:sz w:val="15"/>
      </w:rPr>
      <w:t>EQUATOR RESOLUTION</w:t>
    </w:r>
    <w:r>
      <w:tab/>
    </w:r>
    <w:r>
      <w:rPr>
        <w:color w:val="595959"/>
        <w:sz w:val="15"/>
      </w:rPr>
      <w:t xml:space="preserve">Page </w:t>
    </w:r>
    <w:r>
      <w:fldChar w:fldCharType="begin"/>
    </w:r>
    <w:r>
      <w:instrText xml:space="preserve"> PAGE </w:instrText>
    </w:r>
    <w:r>
      <w:fldChar w:fldCharType="separate"/>
    </w:r>
    <w:r>
      <w:rPr>
        <w:color w:val="595959"/>
        <w:sz w:val="15"/>
      </w:rPr>
      <w:t>…</w:t>
    </w:r>
    <w:r>
      <w:fldChar w:fldCharType="end"/>
    </w:r>
    <w:r>
      <w:rPr>
        <w:color w:val="595959"/>
        <w:sz w:val="15"/>
      </w:rPr>
      <w:t xml:space="preserve"> of </w:t>
    </w:r>
    <w:r>
      <w:fldChar w:fldCharType="begin"/>
    </w:r>
    <w:r>
      <w:instrText xml:space="preserve"> NUMPAGES </w:instrText>
    </w:r>
    <w:r>
      <w:fldChar w:fldCharType="separate"/>
    </w:r>
    <w:r>
      <w:rPr>
        <w:color w:val="595959"/>
        <w:sz w:val="15"/>
      </w:rPr>
      <w:t>…</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68" w:val="right"/>
      </w:tabs>
      <w:pBdr>
        <w:bottom w:val="single" w:sz="6" w:space="3" w:color="C9D6DE"/>
      </w:pBdr>
    </w:pPr>
    <w:r/>
    <w:r>
      <w:rPr>
        <w:rFonts w:ascii="Calibri" w:hAnsi="Calibri"/>
        <w:b/>
        <w:color w:val="10375C"/>
        <w:sz w:val="16"/>
      </w:rPr>
      <w:t>40-Hour Basic Mediation Training</w:t>
    </w:r>
    <w:r>
      <w:rPr>
        <w:rFonts w:ascii="Calibri" w:hAnsi="Calibri"/>
        <w:color w:val="595959"/>
        <w:sz w:val="16"/>
      </w:rPr>
      <w:tab/>
      <w:t>Confidential — Internal. Curriculum is proprietary Institute material.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before="0" w:lineRule="auto" w:line="271"/>
    </w:pPr>
    <w:rPr>
      <w:rFonts w:ascii="Calibri" w:hAnsi="Calibri" w:eastAsia="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lineRule="auto" w:line="240"/>
      <w:outlineLvl w:val="0"/>
    </w:pPr>
    <w:rPr>
      <w:rFonts w:asciiTheme="majorHAnsi" w:eastAsiaTheme="majorEastAsia" w:hAnsiTheme="majorHAnsi" w:cstheme="majorBidi" w:ascii="Calibri" w:hAnsi="Calibri" w:eastAsia="Calibri"/>
      <w:b/>
      <w:bCs/>
      <w:i w:val="0"/>
      <w:caps w:val="0"/>
      <w:color w:val="10375C"/>
      <w:sz w:val="31"/>
      <w:szCs w:val="28"/>
    </w:rPr>
  </w:style>
  <w:style w:type="paragraph" w:styleId="Heading2">
    <w:name w:val="heading 2"/>
    <w:basedOn w:val="Normal"/>
    <w:next w:val="Normal"/>
    <w:link w:val="Heading2Char"/>
    <w:uiPriority w:val="9"/>
    <w:unhideWhenUsed/>
    <w:qFormat/>
    <w:rsid w:val="00FC693F"/>
    <w:pPr>
      <w:keepNext/>
      <w:keepLines/>
      <w:spacing w:before="320" w:after="100" w:lineRule="auto" w:line="240"/>
      <w:outlineLvl w:val="1"/>
    </w:pPr>
    <w:rPr>
      <w:rFonts w:asciiTheme="majorHAnsi" w:eastAsiaTheme="majorEastAsia" w:hAnsiTheme="majorHAnsi" w:cstheme="majorBidi" w:ascii="Calibri" w:hAnsi="Calibri" w:eastAsia="Calibri"/>
      <w:b/>
      <w:bCs/>
      <w:i w:val="0"/>
      <w:caps w:val="0"/>
      <w:color w:val="0E7C7B"/>
      <w:sz w:val="25"/>
      <w:szCs w:val="26"/>
    </w:rPr>
  </w:style>
  <w:style w:type="paragraph" w:styleId="Heading3">
    <w:name w:val="heading 3"/>
    <w:basedOn w:val="Normal"/>
    <w:next w:val="Normal"/>
    <w:link w:val="Heading3Char"/>
    <w:uiPriority w:val="9"/>
    <w:unhideWhenUsed/>
    <w:qFormat/>
    <w:rsid w:val="00FC693F"/>
    <w:pPr>
      <w:keepNext/>
      <w:keepLines/>
      <w:spacing w:before="260" w:after="80" w:lineRule="auto" w:line="240"/>
      <w:outlineLvl w:val="2"/>
    </w:pPr>
    <w:rPr>
      <w:rFonts w:asciiTheme="majorHAnsi" w:eastAsiaTheme="majorEastAsia" w:hAnsiTheme="majorHAnsi" w:cstheme="majorBidi" w:ascii="Calibri" w:hAnsi="Calibri" w:eastAsia="Calibri"/>
      <w:b/>
      <w:bCs/>
      <w:i w:val="0"/>
      <w:caps w:val="0"/>
      <w:color w:val="10375C"/>
      <w:sz w:val="22"/>
    </w:rPr>
  </w:style>
  <w:style w:type="paragraph" w:styleId="Heading4">
    <w:name w:val="heading 4"/>
    <w:basedOn w:val="Normal"/>
    <w:next w:val="Normal"/>
    <w:link w:val="Heading4Char"/>
    <w:uiPriority w:val="9"/>
    <w:semiHidden/>
    <w:unhideWhenUsed/>
    <w:qFormat/>
    <w:rsid w:val="00FC693F"/>
    <w:pPr>
      <w:keepNext/>
      <w:keepLines/>
      <w:spacing w:before="220" w:after="60" w:lineRule="auto" w:line="240"/>
      <w:outlineLvl w:val="3"/>
    </w:pPr>
    <w:rPr>
      <w:rFonts w:asciiTheme="majorHAnsi" w:eastAsiaTheme="majorEastAsia" w:hAnsiTheme="majorHAnsi" w:cstheme="majorBidi" w:ascii="Calibri" w:hAnsi="Calibri" w:eastAsia="Calibri"/>
      <w:b/>
      <w:bCs/>
      <w:i/>
      <w:iCs/>
      <w:caps w:val="0"/>
      <w:color w:val="59595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rPr>
      <w:rFonts w:ascii="Calibri" w:hAnsi="Calibri"/>
      <w:color w:val="262626"/>
      <w:sz w:val="21"/>
    </w:rPr>
  </w:style>
  <w:style w:type="paragraph" w:styleId="ListBullet2">
    <w:name w:val="List Bullet 2"/>
    <w:basedOn w:val="Normal"/>
    <w:uiPriority w:val="99"/>
    <w:unhideWhenUsed/>
    <w:rsid w:val="00326F90"/>
    <w:pPr>
      <w:numPr>
        <w:numId w:val="2"/>
      </w:numPr>
      <w:spacing w:after="40"/>
      <w:contextualSpacing/>
    </w:pPr>
    <w:rPr>
      <w:rFonts w:ascii="Calibri" w:hAnsi="Calibri"/>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contextualSpacing/>
    </w:pPr>
    <w:rPr>
      <w:rFonts w:ascii="Calibri" w:hAnsi="Calibri"/>
      <w:color w:val="262626"/>
      <w:sz w:val="21"/>
    </w:rPr>
  </w:style>
  <w:style w:type="paragraph" w:styleId="ListNumber2">
    <w:name w:val="List Number 2"/>
    <w:basedOn w:val="Normal"/>
    <w:uiPriority w:val="99"/>
    <w:unhideWhenUsed/>
    <w:rsid w:val="0029639D"/>
    <w:pPr>
      <w:numPr>
        <w:numId w:val="6"/>
      </w:numPr>
      <w:spacing w:after="40"/>
      <w:contextualSpacing/>
    </w:pPr>
    <w:rPr>
      <w:rFonts w:ascii="Calibri" w:hAnsi="Calibri"/>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82AE9FA7-3E9C-44E5-9B72-24BCFF9F5622}"/>
</file>

<file path=customXml/itemProps3.xml><?xml version="1.0" encoding="utf-8"?>
<ds:datastoreItem xmlns:ds="http://schemas.openxmlformats.org/officeDocument/2006/customXml" ds:itemID="{752170CF-C3B7-4087-953E-20BE31A9BD31}"/>
</file>

<file path=customXml/itemProps4.xml><?xml version="1.0" encoding="utf-8"?>
<ds:datastoreItem xmlns:ds="http://schemas.openxmlformats.org/officeDocument/2006/customXml" ds:itemID="{E9E11C13-DF15-4286-9917-6BE79A67A413}"/>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