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20-Hour Advanced Mediation Training</w:t>
      </w:r>
    </w:p>
    <w:p>
      <w:pPr>
        <w:spacing w:after="280" w:line="276" w:lineRule="auto"/>
      </w:pPr>
      <w:r>
        <w:rPr>
          <w:rFonts w:ascii="Calibri" w:hAnsi="Calibri"/>
          <w:i/>
          <w:color w:val="3E6B8A"/>
          <w:sz w:val="25"/>
        </w:rPr>
        <w:t>Curriculum, session plan and assessment for the advanced module, taken after supervised practice</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EQ-UAP-053</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Curriculum</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Position of this programme</w:t>
      </w:r>
    </w:p>
    <w:p>
      <w:r>
        <w:t xml:space="preserve">The advanced module is taken </w:t>
      </w:r>
      <w:r>
        <w:rPr>
          <w:b/>
        </w:rPr>
        <w:t>after</w:t>
      </w:r>
      <w:r>
        <w:t xml:space="preserve"> the basic programme and </w:t>
      </w:r>
      <w:r>
        <w:rPr>
          <w:b/>
        </w:rPr>
        <w:t>after</w:t>
      </w:r>
      <w:r>
        <w:t xml:space="preserve"> the supervised practice requirement has been met. It is the point at which a participant moves from having been trained to being assessed as competent.</w:t>
      </w:r>
    </w:p>
    <w:p>
      <w:r>
        <w:rPr>
          <w:b/>
        </w:rPr>
        <w:t>It is deliberately hard.</w:t>
      </w:r>
      <w:r>
        <w:t xml:space="preserve"> The pass rate is expected to sit materially below 100%, and trainers are instructed not to manage it upward. The credibility of the credential depends on this.</w:t>
      </w:r>
    </w:p>
    <w:p>
      <w:pPr>
        <w:pStyle w:val="Heading2"/>
      </w:pPr>
      <w:r>
        <w:t>1.1 Entry requirements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489"/>
            <w:shd w:val="clear" w:color="auto" w:fill="10375C"/>
          </w:tcPr>
          <w:p>
            <w:pPr>
              <w:spacing w:after="50" w:before="50"/>
            </w:pPr>
            <w:r>
              <w:rPr>
                <w:b/>
                <w:color w:val="FFFFFF"/>
                <w:sz w:val="17"/>
              </w:rPr>
              <w:t>Requirement</w:t>
            </w:r>
          </w:p>
        </w:tc>
        <w:tc>
          <w:tcPr>
            <w:tcW w:type="dxa" w:w="6979"/>
            <w:shd w:val="clear" w:color="auto" w:fill="10375C"/>
          </w:tcPr>
          <w:p>
            <w:pPr>
              <w:spacing w:after="50" w:before="50"/>
            </w:pPr>
            <w:r>
              <w:rPr>
                <w:b/>
                <w:color w:val="FFFFFF"/>
                <w:sz w:val="17"/>
              </w:rPr>
              <w:t>Detail</w:t>
            </w:r>
          </w:p>
        </w:tc>
      </w:tr>
      <w:tr>
        <w:tc>
          <w:tcPr>
            <w:tcW w:type="dxa" w:w="2489"/>
          </w:tcPr>
          <w:p>
            <w:pPr>
              <w:spacing w:after="50" w:before="50" w:line="252" w:lineRule="auto"/>
            </w:pPr>
            <w:r>
              <w:rPr>
                <w:sz w:val="17"/>
              </w:rPr>
              <w:t>T-40 completed</w:t>
            </w:r>
          </w:p>
        </w:tc>
        <w:tc>
          <w:tcPr>
            <w:tcW w:type="dxa" w:w="6979"/>
          </w:tcPr>
          <w:p>
            <w:pPr>
              <w:spacing w:after="50" w:before="50" w:line="252" w:lineRule="auto"/>
            </w:pPr>
            <w:r>
              <w:rPr>
                <w:sz w:val="17"/>
              </w:rPr>
              <w:t>With an overall pass and not less than 50% in the assessed simulation</w:t>
            </w:r>
          </w:p>
        </w:tc>
      </w:tr>
      <w:tr>
        <w:tc>
          <w:tcPr>
            <w:tcW w:type="dxa" w:w="2489"/>
            <w:shd w:val="clear" w:color="auto" w:fill="EAF1F4"/>
          </w:tcPr>
          <w:p>
            <w:pPr>
              <w:spacing w:after="50" w:before="50" w:line="252" w:lineRule="auto"/>
            </w:pPr>
            <w:r>
              <w:rPr>
                <w:sz w:val="17"/>
              </w:rPr>
              <w:t>Supervised practice</w:t>
            </w:r>
          </w:p>
        </w:tc>
        <w:tc>
          <w:tcPr>
            <w:tcW w:type="dxa" w:w="6979"/>
            <w:shd w:val="clear" w:color="auto" w:fill="EAF1F4"/>
          </w:tcPr>
          <w:p>
            <w:pPr>
              <w:spacing w:after="50" w:before="50" w:line="252" w:lineRule="auto"/>
            </w:pPr>
            <w:r>
              <w:rPr>
                <w:sz w:val="17"/>
              </w:rPr>
              <w:t xml:space="preserve">Not fewer than </w:t>
            </w:r>
            <w:r>
              <w:rPr>
                <w:b/>
                <w:sz w:val="17"/>
              </w:rPr>
              <w:t>[●] mediations</w:t>
            </w:r>
            <w:r>
              <w:rPr>
                <w:sz w:val="17"/>
              </w:rPr>
              <w:t xml:space="preserve">, including at least </w:t>
            </w:r>
            <w:r>
              <w:rPr>
                <w:b/>
                <w:sz w:val="17"/>
              </w:rPr>
              <w:t>[●] as co-mediator</w:t>
            </w:r>
            <w:r>
              <w:rPr>
                <w:sz w:val="17"/>
              </w:rPr>
              <w:t>, logged and countersigned by the supervising neutral</w:t>
            </w:r>
          </w:p>
        </w:tc>
      </w:tr>
      <w:tr>
        <w:tc>
          <w:tcPr>
            <w:tcW w:type="dxa" w:w="2489"/>
          </w:tcPr>
          <w:p>
            <w:pPr>
              <w:spacing w:after="50" w:before="50" w:line="252" w:lineRule="auto"/>
            </w:pPr>
            <w:r>
              <w:rPr>
                <w:sz w:val="17"/>
              </w:rPr>
              <w:t>Reflective portfolio</w:t>
            </w:r>
          </w:p>
        </w:tc>
        <w:tc>
          <w:tcPr>
            <w:tcW w:type="dxa" w:w="6979"/>
          </w:tcPr>
          <w:p>
            <w:pPr>
              <w:spacing w:after="50" w:before="50" w:line="252" w:lineRule="auto"/>
            </w:pPr>
            <w:r>
              <w:rPr>
                <w:sz w:val="17"/>
              </w:rPr>
              <w:t>Submitted not less than 14 days before the programme; see section 4</w:t>
            </w:r>
          </w:p>
        </w:tc>
      </w:tr>
      <w:tr>
        <w:tc>
          <w:tcPr>
            <w:tcW w:type="dxa" w:w="2489"/>
            <w:shd w:val="clear" w:color="auto" w:fill="EAF1F4"/>
          </w:tcPr>
          <w:p>
            <w:pPr>
              <w:spacing w:after="50" w:before="50" w:line="252" w:lineRule="auto"/>
            </w:pPr>
            <w:r>
              <w:rPr>
                <w:sz w:val="17"/>
              </w:rPr>
              <w:t>Interval</w:t>
            </w:r>
          </w:p>
        </w:tc>
        <w:tc>
          <w:tcPr>
            <w:tcW w:type="dxa" w:w="6979"/>
            <w:shd w:val="clear" w:color="auto" w:fill="EAF1F4"/>
          </w:tcPr>
          <w:p>
            <w:pPr>
              <w:spacing w:after="50" w:before="50" w:line="252" w:lineRule="auto"/>
            </w:pPr>
            <w:r>
              <w:rPr>
                <w:sz w:val="17"/>
              </w:rPr>
              <w:t>Not less than three months after T-40, so that practice has occurred</w:t>
            </w:r>
          </w:p>
        </w:tc>
      </w:tr>
    </w:tbl>
    <w:p>
      <w:pPr>
        <w:spacing w:after="80" w:before="0"/>
      </w:pPr>
    </w:p>
    <w:p>
      <w:r>
        <w:rPr>
          <w:b/>
        </w:rPr>
        <w:t>[verify — quantum of supervised practice, against the prevailing court-annexed requirement and any Council norm when notified.]</w:t>
      </w:r>
    </w:p>
    <w:p>
      <w:pPr>
        <w:pStyle w:val="Heading2"/>
      </w:pPr>
      <w:r>
        <w:t>1.2 Learning outcomes</w:t>
      </w:r>
    </w:p>
    <w:p>
      <w:r>
        <w:t>On completion a participant should be able to:</w:t>
      </w:r>
    </w:p>
    <w:p>
      <w:pPr>
        <w:pStyle w:val="ListNumber"/>
      </w:pPr>
      <w:r>
        <w:rPr>
          <w:sz w:val="21"/>
        </w:rPr>
        <w:t>conduct a complete mediation of moderate complexity to a professional standard without prompting;</w:t>
      </w:r>
    </w:p>
    <w:p>
      <w:pPr>
        <w:pStyle w:val="ListNumber"/>
      </w:pPr>
      <w:r>
        <w:rPr>
          <w:sz w:val="21"/>
        </w:rPr>
        <w:t>diagnose the cause of impasse and select an intervention on reasoned grounds;</w:t>
      </w:r>
    </w:p>
    <w:p>
      <w:pPr>
        <w:pStyle w:val="ListNumber"/>
      </w:pPr>
      <w:r>
        <w:rPr>
          <w:sz w:val="21"/>
        </w:rPr>
        <w:t>manage multi-party and multi-issue processes, including sequencing and coalition dynamics;</w:t>
      </w:r>
    </w:p>
    <w:p>
      <w:pPr>
        <w:pStyle w:val="ListNumber"/>
      </w:pPr>
      <w:r>
        <w:rPr>
          <w:sz w:val="21"/>
        </w:rPr>
        <w:t>handle power imbalance, unrepresented parties and questions of capacity appropriately;</w:t>
      </w:r>
    </w:p>
    <w:p>
      <w:pPr>
        <w:pStyle w:val="ListNumber"/>
      </w:pPr>
      <w:r>
        <w:rPr>
          <w:sz w:val="21"/>
        </w:rPr>
        <w:t>apply the confidentiality and disclosure regime to genuinely difficult ethical situations;</w:t>
      </w:r>
    </w:p>
    <w:p>
      <w:pPr>
        <w:pStyle w:val="ListNumber"/>
      </w:pPr>
      <w:r>
        <w:rPr>
          <w:sz w:val="21"/>
        </w:rPr>
        <w:t>draft an enforceable mediated settlement agreement of moderate complexity unaided;</w:t>
      </w:r>
    </w:p>
    <w:p>
      <w:pPr>
        <w:pStyle w:val="ListNumber"/>
      </w:pPr>
      <w:r>
        <w:rPr>
          <w:sz w:val="21"/>
        </w:rPr>
        <w:t>reflect critically and accurately on their own practice, including its weaknesses; and</w:t>
      </w:r>
    </w:p>
    <w:p>
      <w:pPr>
        <w:pStyle w:val="ListNumber"/>
      </w:pPr>
      <w:r>
        <w:rPr>
          <w:sz w:val="21"/>
        </w:rPr>
        <w:t>co-mediate effectively, including managing disagreement with a co-mediator in the room.</w:t>
      </w:r>
    </w:p>
    <w:p>
      <w:pPr>
        <w:spacing w:before="80" w:after="160"/>
        <w:pBdr>
          <w:bottom w:val="single" w:sz="6" w:space="1" w:color="C9D6DE"/>
        </w:pBdr>
      </w:pPr>
    </w:p>
    <w:p>
      <w:pPr>
        <w:pStyle w:val="Heading1"/>
        <w:pBdr>
          <w:bottom w:val="single" w:sz="8" w:space="4" w:color="C9D6DE"/>
        </w:pBdr>
      </w:pPr>
      <w:r>
        <w:t>2. Session plan</w:t>
      </w:r>
    </w:p>
    <w:p>
      <w:pPr>
        <w:pStyle w:val="Heading2"/>
      </w:pPr>
      <w:r>
        <w:t>Day 1 · Reflection, diagnosis and advanced process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406"/>
            <w:shd w:val="clear" w:color="auto" w:fill="10375C"/>
          </w:tcPr>
          <w:p>
            <w:pPr>
              <w:spacing w:after="50" w:before="50"/>
            </w:pPr>
            <w:r>
              <w:rPr>
                <w:b/>
                <w:color w:val="FFFFFF"/>
                <w:sz w:val="17"/>
              </w:rPr>
              <w:t>Time</w:t>
            </w:r>
          </w:p>
        </w:tc>
        <w:tc>
          <w:tcPr>
            <w:tcW w:type="dxa" w:w="5964"/>
            <w:shd w:val="clear" w:color="auto" w:fill="10375C"/>
          </w:tcPr>
          <w:p>
            <w:pPr>
              <w:spacing w:after="50" w:before="50"/>
            </w:pPr>
            <w:r>
              <w:rPr>
                <w:b/>
                <w:color w:val="FFFFFF"/>
                <w:sz w:val="17"/>
              </w:rPr>
              <w:t>Session</w:t>
            </w:r>
          </w:p>
        </w:tc>
        <w:tc>
          <w:tcPr>
            <w:tcW w:type="dxa" w:w="2097"/>
            <w:shd w:val="clear" w:color="auto" w:fill="10375C"/>
          </w:tcPr>
          <w:p>
            <w:pPr>
              <w:spacing w:after="50" w:before="50"/>
            </w:pPr>
            <w:r>
              <w:rPr>
                <w:b/>
                <w:color w:val="FFFFFF"/>
                <w:sz w:val="17"/>
              </w:rPr>
              <w:t>Method</w:t>
            </w:r>
          </w:p>
        </w:tc>
      </w:tr>
      <w:tr>
        <w:tc>
          <w:tcPr>
            <w:tcW w:type="dxa" w:w="1406"/>
          </w:tcPr>
          <w:p>
            <w:pPr>
              <w:spacing w:after="50" w:before="50" w:line="252" w:lineRule="auto"/>
            </w:pPr>
            <w:r>
              <w:rPr>
                <w:sz w:val="17"/>
              </w:rPr>
              <w:t>09:00–09:30</w:t>
            </w:r>
          </w:p>
        </w:tc>
        <w:tc>
          <w:tcPr>
            <w:tcW w:type="dxa" w:w="5964"/>
          </w:tcPr>
          <w:p>
            <w:pPr>
              <w:spacing w:after="50" w:before="50" w:line="252" w:lineRule="auto"/>
            </w:pPr>
            <w:r>
              <w:rPr>
                <w:sz w:val="17"/>
              </w:rPr>
              <w:t>Opening; the standard expected at this level</w:t>
            </w:r>
          </w:p>
        </w:tc>
        <w:tc>
          <w:tcPr>
            <w:tcW w:type="dxa" w:w="2097"/>
          </w:tcPr>
          <w:p>
            <w:pPr>
              <w:spacing w:after="50" w:before="50" w:line="252" w:lineRule="auto"/>
            </w:pPr>
            <w:r>
              <w:rPr>
                <w:sz w:val="17"/>
              </w:rPr>
              <w:t>Plenary</w:t>
            </w:r>
          </w:p>
        </w:tc>
      </w:tr>
      <w:tr>
        <w:tc>
          <w:tcPr>
            <w:tcW w:type="dxa" w:w="1406"/>
            <w:shd w:val="clear" w:color="auto" w:fill="EAF1F4"/>
          </w:tcPr>
          <w:p>
            <w:pPr>
              <w:spacing w:after="50" w:before="50" w:line="252" w:lineRule="auto"/>
            </w:pPr>
            <w:r>
              <w:rPr>
                <w:sz w:val="17"/>
              </w:rPr>
              <w:t>09:30–11:00</w:t>
            </w:r>
          </w:p>
        </w:tc>
        <w:tc>
          <w:tcPr>
            <w:tcW w:type="dxa" w:w="5964"/>
            <w:shd w:val="clear" w:color="auto" w:fill="EAF1F4"/>
          </w:tcPr>
          <w:p>
            <w:pPr>
              <w:spacing w:after="50" w:before="50" w:line="252" w:lineRule="auto"/>
            </w:pPr>
            <w:r>
              <w:rPr>
                <w:b/>
                <w:sz w:val="17"/>
              </w:rPr>
              <w:t>1.1 Portfolio review.</w:t>
            </w:r>
            <w:r>
              <w:rPr>
                <w:sz w:val="17"/>
              </w:rPr>
              <w:t xml:space="preserve"> Participants present one case from their supervised practice — what they did, what they would now do differently. Peer and faculty challenge</w:t>
            </w:r>
          </w:p>
        </w:tc>
        <w:tc>
          <w:tcPr>
            <w:tcW w:type="dxa" w:w="2097"/>
            <w:shd w:val="clear" w:color="auto" w:fill="EAF1F4"/>
          </w:tcPr>
          <w:p>
            <w:pPr>
              <w:spacing w:after="50" w:before="50" w:line="252" w:lineRule="auto"/>
            </w:pPr>
            <w:r>
              <w:rPr>
                <w:sz w:val="17"/>
              </w:rPr>
              <w:t>Presentation and challenge</w:t>
            </w:r>
          </w:p>
        </w:tc>
      </w:tr>
      <w:tr>
        <w:tc>
          <w:tcPr>
            <w:tcW w:type="dxa" w:w="1406"/>
          </w:tcPr>
          <w:p>
            <w:pPr>
              <w:spacing w:after="50" w:before="50" w:line="252" w:lineRule="auto"/>
            </w:pPr>
            <w:r>
              <w:rPr>
                <w:sz w:val="17"/>
              </w:rPr>
              <w:t>11:00–11:15</w:t>
            </w:r>
          </w:p>
        </w:tc>
        <w:tc>
          <w:tcPr>
            <w:tcW w:type="dxa" w:w="5964"/>
          </w:tcPr>
          <w:p>
            <w:pPr>
              <w:spacing w:after="50" w:before="50" w:line="252" w:lineRule="auto"/>
            </w:pPr>
            <w:r>
              <w:rPr>
                <w:sz w:val="17"/>
              </w:rPr>
              <w:t>Break</w:t>
            </w:r>
          </w:p>
        </w:tc>
        <w:tc>
          <w:tcPr>
            <w:tcW w:type="dxa" w:w="2097"/>
          </w:tcPr>
          <w:p>
            <w:pPr>
              <w:spacing w:after="50" w:before="50" w:line="252" w:lineRule="auto"/>
            </w:pPr>
          </w:p>
        </w:tc>
      </w:tr>
      <w:tr>
        <w:tc>
          <w:tcPr>
            <w:tcW w:type="dxa" w:w="1406"/>
            <w:shd w:val="clear" w:color="auto" w:fill="EAF1F4"/>
          </w:tcPr>
          <w:p>
            <w:pPr>
              <w:spacing w:after="50" w:before="50" w:line="252" w:lineRule="auto"/>
            </w:pPr>
            <w:r>
              <w:rPr>
                <w:sz w:val="17"/>
              </w:rPr>
              <w:t>11:15–12:45</w:t>
            </w:r>
          </w:p>
        </w:tc>
        <w:tc>
          <w:tcPr>
            <w:tcW w:type="dxa" w:w="5964"/>
            <w:shd w:val="clear" w:color="auto" w:fill="EAF1F4"/>
          </w:tcPr>
          <w:p>
            <w:pPr>
              <w:spacing w:after="50" w:before="50" w:line="252" w:lineRule="auto"/>
            </w:pPr>
            <w:r>
              <w:rPr>
                <w:b/>
                <w:sz w:val="17"/>
              </w:rPr>
              <w:t>1.2 Diagnosis before intervention.</w:t>
            </w:r>
            <w:r>
              <w:rPr>
                <w:sz w:val="17"/>
              </w:rPr>
              <w:t xml:space="preserve"> A framework for reading a room: what is actually blocking settlement — information, interest, emotion, authority, relationship, or the alternative to settlement</w:t>
            </w:r>
          </w:p>
        </w:tc>
        <w:tc>
          <w:tcPr>
            <w:tcW w:type="dxa" w:w="2097"/>
            <w:shd w:val="clear" w:color="auto" w:fill="EAF1F4"/>
          </w:tcPr>
          <w:p>
            <w:pPr>
              <w:spacing w:after="50" w:before="50" w:line="252" w:lineRule="auto"/>
            </w:pPr>
            <w:r>
              <w:rPr>
                <w:sz w:val="17"/>
              </w:rPr>
              <w:t>Input and case analysis</w:t>
            </w:r>
          </w:p>
        </w:tc>
      </w:tr>
      <w:tr>
        <w:tc>
          <w:tcPr>
            <w:tcW w:type="dxa" w:w="1406"/>
          </w:tcPr>
          <w:p>
            <w:pPr>
              <w:spacing w:after="50" w:before="50" w:line="252" w:lineRule="auto"/>
            </w:pPr>
            <w:r>
              <w:rPr>
                <w:sz w:val="17"/>
              </w:rPr>
              <w:t>12:45–13:30</w:t>
            </w:r>
          </w:p>
        </w:tc>
        <w:tc>
          <w:tcPr>
            <w:tcW w:type="dxa" w:w="5964"/>
          </w:tcPr>
          <w:p>
            <w:pPr>
              <w:spacing w:after="50" w:before="50" w:line="252" w:lineRule="auto"/>
            </w:pPr>
            <w:r>
              <w:rPr>
                <w:b/>
                <w:sz w:val="17"/>
              </w:rPr>
              <w:t>1.3 Advanced questioning.</w:t>
            </w:r>
            <w:r>
              <w:rPr>
                <w:sz w:val="17"/>
              </w:rPr>
              <w:t xml:space="preserve"> Circular and hypothetical questioning; the mediator's silence; questions that shift perspective</w:t>
            </w:r>
          </w:p>
        </w:tc>
        <w:tc>
          <w:tcPr>
            <w:tcW w:type="dxa" w:w="2097"/>
          </w:tcPr>
          <w:p>
            <w:pPr>
              <w:spacing w:after="50" w:before="50" w:line="252" w:lineRule="auto"/>
            </w:pPr>
            <w:r>
              <w:rPr>
                <w:sz w:val="17"/>
              </w:rPr>
              <w:t>Input and drills</w:t>
            </w:r>
          </w:p>
        </w:tc>
      </w:tr>
      <w:tr>
        <w:tc>
          <w:tcPr>
            <w:tcW w:type="dxa" w:w="1406"/>
            <w:shd w:val="clear" w:color="auto" w:fill="EAF1F4"/>
          </w:tcPr>
          <w:p>
            <w:pPr>
              <w:spacing w:after="50" w:before="50" w:line="252" w:lineRule="auto"/>
            </w:pPr>
            <w:r>
              <w:rPr>
                <w:sz w:val="17"/>
              </w:rPr>
              <w:t>13:30–14:15</w:t>
            </w:r>
          </w:p>
        </w:tc>
        <w:tc>
          <w:tcPr>
            <w:tcW w:type="dxa" w:w="5964"/>
            <w:shd w:val="clear" w:color="auto" w:fill="EAF1F4"/>
          </w:tcPr>
          <w:p>
            <w:pPr>
              <w:spacing w:after="50" w:before="50" w:line="252" w:lineRule="auto"/>
            </w:pPr>
            <w:r>
              <w:rPr>
                <w:sz w:val="17"/>
              </w:rPr>
              <w:t>Lunch</w:t>
            </w:r>
          </w:p>
        </w:tc>
        <w:tc>
          <w:tcPr>
            <w:tcW w:type="dxa" w:w="2097"/>
            <w:shd w:val="clear" w:color="auto" w:fill="EAF1F4"/>
          </w:tcPr>
          <w:p>
            <w:pPr>
              <w:spacing w:after="50" w:before="50" w:line="252" w:lineRule="auto"/>
            </w:pPr>
          </w:p>
        </w:tc>
      </w:tr>
      <w:tr>
        <w:tc>
          <w:tcPr>
            <w:tcW w:type="dxa" w:w="1406"/>
          </w:tcPr>
          <w:p>
            <w:pPr>
              <w:spacing w:after="50" w:before="50" w:line="252" w:lineRule="auto"/>
            </w:pPr>
            <w:r>
              <w:rPr>
                <w:sz w:val="17"/>
              </w:rPr>
              <w:t>14:15–16:15</w:t>
            </w:r>
          </w:p>
        </w:tc>
        <w:tc>
          <w:tcPr>
            <w:tcW w:type="dxa" w:w="5964"/>
          </w:tcPr>
          <w:p>
            <w:pPr>
              <w:spacing w:after="50" w:before="50" w:line="252" w:lineRule="auto"/>
            </w:pPr>
            <w:r>
              <w:rPr>
                <w:b/>
                <w:sz w:val="17"/>
              </w:rPr>
              <w:t>1.4 Simulation A — impasse.</w:t>
            </w:r>
            <w:r>
              <w:rPr>
                <w:sz w:val="17"/>
              </w:rPr>
              <w:t xml:space="preserve"> A mediation designed to reach impasse; participants must diagnose and intervene</w:t>
            </w:r>
          </w:p>
        </w:tc>
        <w:tc>
          <w:tcPr>
            <w:tcW w:type="dxa" w:w="2097"/>
          </w:tcPr>
          <w:p>
            <w:pPr>
              <w:spacing w:after="50" w:before="50" w:line="252" w:lineRule="auto"/>
            </w:pPr>
            <w:r>
              <w:rPr>
                <w:sz w:val="17"/>
              </w:rPr>
              <w:t>Simulation</w:t>
            </w:r>
          </w:p>
        </w:tc>
      </w:tr>
      <w:tr>
        <w:tc>
          <w:tcPr>
            <w:tcW w:type="dxa" w:w="1406"/>
            <w:shd w:val="clear" w:color="auto" w:fill="EAF1F4"/>
          </w:tcPr>
          <w:p>
            <w:pPr>
              <w:spacing w:after="50" w:before="50" w:line="252" w:lineRule="auto"/>
            </w:pPr>
            <w:r>
              <w:rPr>
                <w:sz w:val="17"/>
              </w:rPr>
              <w:t>16:15–17:00</w:t>
            </w:r>
          </w:p>
        </w:tc>
        <w:tc>
          <w:tcPr>
            <w:tcW w:type="dxa" w:w="5964"/>
            <w:shd w:val="clear" w:color="auto" w:fill="EAF1F4"/>
          </w:tcPr>
          <w:p>
            <w:pPr>
              <w:spacing w:after="50" w:before="50" w:line="252" w:lineRule="auto"/>
            </w:pPr>
            <w:r>
              <w:rPr>
                <w:sz w:val="17"/>
              </w:rPr>
              <w:t>Structured debrief focused on diagnosis, not technique</w:t>
            </w:r>
          </w:p>
        </w:tc>
        <w:tc>
          <w:tcPr>
            <w:tcW w:type="dxa" w:w="2097"/>
            <w:shd w:val="clear" w:color="auto" w:fill="EAF1F4"/>
          </w:tcPr>
          <w:p>
            <w:pPr>
              <w:spacing w:after="50" w:before="50" w:line="252" w:lineRule="auto"/>
            </w:pPr>
            <w:r>
              <w:rPr>
                <w:sz w:val="17"/>
              </w:rPr>
              <w:t>Plenary</w:t>
            </w:r>
          </w:p>
        </w:tc>
      </w:tr>
      <w:tr>
        <w:tc>
          <w:tcPr>
            <w:tcW w:type="dxa" w:w="1406"/>
          </w:tcPr>
          <w:p>
            <w:pPr>
              <w:spacing w:after="50" w:before="50" w:line="252" w:lineRule="auto"/>
            </w:pPr>
            <w:r>
              <w:rPr>
                <w:sz w:val="17"/>
              </w:rPr>
              <w:t>17:00–18:00</w:t>
            </w:r>
          </w:p>
        </w:tc>
        <w:tc>
          <w:tcPr>
            <w:tcW w:type="dxa" w:w="5964"/>
          </w:tcPr>
          <w:p>
            <w:pPr>
              <w:spacing w:after="50" w:before="50" w:line="252" w:lineRule="auto"/>
            </w:pPr>
            <w:r>
              <w:rPr>
                <w:b/>
                <w:sz w:val="17"/>
              </w:rPr>
              <w:t>1.5 Co-mediation.</w:t>
            </w:r>
            <w:r>
              <w:rPr>
                <w:sz w:val="17"/>
              </w:rPr>
              <w:t xml:space="preserve"> Roles, signals, division of labour, handling disagreement with a co-mediator in front of the parties</w:t>
            </w:r>
          </w:p>
        </w:tc>
        <w:tc>
          <w:tcPr>
            <w:tcW w:type="dxa" w:w="2097"/>
          </w:tcPr>
          <w:p>
            <w:pPr>
              <w:spacing w:after="50" w:before="50" w:line="252" w:lineRule="auto"/>
            </w:pPr>
            <w:r>
              <w:rPr>
                <w:sz w:val="17"/>
              </w:rPr>
              <w:t>Input and paired practice</w:t>
            </w:r>
          </w:p>
        </w:tc>
      </w:tr>
    </w:tbl>
    <w:p>
      <w:pPr>
        <w:spacing w:after="80" w:before="0"/>
      </w:pPr>
    </w:p>
    <w:p>
      <w:pPr>
        <w:pStyle w:val="Heading2"/>
      </w:pPr>
      <w:r>
        <w:t>Day 2 · Complexity, ethics and the hard cases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392"/>
            <w:shd w:val="clear" w:color="auto" w:fill="10375C"/>
          </w:tcPr>
          <w:p>
            <w:pPr>
              <w:spacing w:after="50" w:before="50"/>
            </w:pPr>
            <w:r>
              <w:rPr>
                <w:b/>
                <w:color w:val="FFFFFF"/>
                <w:sz w:val="17"/>
              </w:rPr>
              <w:t>Time</w:t>
            </w:r>
          </w:p>
        </w:tc>
        <w:tc>
          <w:tcPr>
            <w:tcW w:type="dxa" w:w="5933"/>
            <w:shd w:val="clear" w:color="auto" w:fill="10375C"/>
          </w:tcPr>
          <w:p>
            <w:pPr>
              <w:spacing w:after="50" w:before="50"/>
            </w:pPr>
            <w:r>
              <w:rPr>
                <w:b/>
                <w:color w:val="FFFFFF"/>
                <w:sz w:val="17"/>
              </w:rPr>
              <w:t>Session</w:t>
            </w:r>
          </w:p>
        </w:tc>
        <w:tc>
          <w:tcPr>
            <w:tcW w:type="dxa" w:w="2143"/>
            <w:shd w:val="clear" w:color="auto" w:fill="10375C"/>
          </w:tcPr>
          <w:p>
            <w:pPr>
              <w:spacing w:after="50" w:before="50"/>
            </w:pPr>
            <w:r>
              <w:rPr>
                <w:b/>
                <w:color w:val="FFFFFF"/>
                <w:sz w:val="17"/>
              </w:rPr>
              <w:t>Method</w:t>
            </w:r>
          </w:p>
        </w:tc>
      </w:tr>
      <w:tr>
        <w:tc>
          <w:tcPr>
            <w:tcW w:type="dxa" w:w="1392"/>
          </w:tcPr>
          <w:p>
            <w:pPr>
              <w:spacing w:after="50" w:before="50" w:line="252" w:lineRule="auto"/>
            </w:pPr>
            <w:r>
              <w:rPr>
                <w:sz w:val="17"/>
              </w:rPr>
              <w:t>09:00–10:30</w:t>
            </w:r>
          </w:p>
        </w:tc>
        <w:tc>
          <w:tcPr>
            <w:tcW w:type="dxa" w:w="5933"/>
          </w:tcPr>
          <w:p>
            <w:pPr>
              <w:spacing w:after="50" w:before="50" w:line="252" w:lineRule="auto"/>
            </w:pPr>
            <w:r>
              <w:rPr>
                <w:b/>
                <w:sz w:val="17"/>
              </w:rPr>
              <w:t>2.1 Multi-party mediation.</w:t>
            </w:r>
            <w:r>
              <w:rPr>
                <w:sz w:val="17"/>
              </w:rPr>
              <w:t xml:space="preserve"> Sequencing, shuttle process, coalitions, the absent party, the party who will not attend</w:t>
            </w:r>
          </w:p>
        </w:tc>
        <w:tc>
          <w:tcPr>
            <w:tcW w:type="dxa" w:w="2143"/>
          </w:tcPr>
          <w:p>
            <w:pPr>
              <w:spacing w:after="50" w:before="50" w:line="252" w:lineRule="auto"/>
            </w:pPr>
            <w:r>
              <w:rPr>
                <w:sz w:val="17"/>
              </w:rPr>
              <w:t>Input and case analysis</w:t>
            </w:r>
          </w:p>
        </w:tc>
      </w:tr>
      <w:tr>
        <w:tc>
          <w:tcPr>
            <w:tcW w:type="dxa" w:w="1392"/>
            <w:shd w:val="clear" w:color="auto" w:fill="EAF1F4"/>
          </w:tcPr>
          <w:p>
            <w:pPr>
              <w:spacing w:after="50" w:before="50" w:line="252" w:lineRule="auto"/>
            </w:pPr>
            <w:r>
              <w:rPr>
                <w:sz w:val="17"/>
              </w:rPr>
              <w:t>10:30–11:30</w:t>
            </w:r>
          </w:p>
        </w:tc>
        <w:tc>
          <w:tcPr>
            <w:tcW w:type="dxa" w:w="5933"/>
            <w:shd w:val="clear" w:color="auto" w:fill="EAF1F4"/>
          </w:tcPr>
          <w:p>
            <w:pPr>
              <w:spacing w:after="50" w:before="50" w:line="252" w:lineRule="auto"/>
            </w:pPr>
            <w:r>
              <w:rPr>
                <w:b/>
                <w:sz w:val="17"/>
              </w:rPr>
              <w:t>2.2 Power imbalance and capacity.</w:t>
            </w:r>
            <w:r>
              <w:rPr>
                <w:sz w:val="17"/>
              </w:rPr>
              <w:t xml:space="preserve"> Recognising it; what a mediator may and may not do about it; unrepresented parties; when to suspend or terminate; safeguarding overlays</w:t>
            </w:r>
          </w:p>
        </w:tc>
        <w:tc>
          <w:tcPr>
            <w:tcW w:type="dxa" w:w="2143"/>
            <w:shd w:val="clear" w:color="auto" w:fill="EAF1F4"/>
          </w:tcPr>
          <w:p>
            <w:pPr>
              <w:spacing w:after="50" w:before="50" w:line="252" w:lineRule="auto"/>
            </w:pPr>
            <w:r>
              <w:rPr>
                <w:sz w:val="17"/>
              </w:rPr>
              <w:t>Input and dilemma exercise</w:t>
            </w:r>
          </w:p>
        </w:tc>
      </w:tr>
      <w:tr>
        <w:tc>
          <w:tcPr>
            <w:tcW w:type="dxa" w:w="1392"/>
          </w:tcPr>
          <w:p>
            <w:pPr>
              <w:spacing w:after="50" w:before="50" w:line="252" w:lineRule="auto"/>
            </w:pPr>
            <w:r>
              <w:rPr>
                <w:sz w:val="17"/>
              </w:rPr>
              <w:t>11:30–11:45</w:t>
            </w:r>
          </w:p>
        </w:tc>
        <w:tc>
          <w:tcPr>
            <w:tcW w:type="dxa" w:w="5933"/>
          </w:tcPr>
          <w:p>
            <w:pPr>
              <w:spacing w:after="50" w:before="50" w:line="252" w:lineRule="auto"/>
            </w:pPr>
            <w:r>
              <w:rPr>
                <w:sz w:val="17"/>
              </w:rPr>
              <w:t>Break</w:t>
            </w:r>
          </w:p>
        </w:tc>
        <w:tc>
          <w:tcPr>
            <w:tcW w:type="dxa" w:w="2143"/>
          </w:tcPr>
          <w:p>
            <w:pPr>
              <w:spacing w:after="50" w:before="50" w:line="252" w:lineRule="auto"/>
            </w:pPr>
          </w:p>
        </w:tc>
      </w:tr>
      <w:tr>
        <w:tc>
          <w:tcPr>
            <w:tcW w:type="dxa" w:w="1392"/>
            <w:shd w:val="clear" w:color="auto" w:fill="EAF1F4"/>
          </w:tcPr>
          <w:p>
            <w:pPr>
              <w:spacing w:after="50" w:before="50" w:line="252" w:lineRule="auto"/>
            </w:pPr>
            <w:r>
              <w:rPr>
                <w:sz w:val="17"/>
              </w:rPr>
              <w:t>11:45–13:00</w:t>
            </w:r>
          </w:p>
        </w:tc>
        <w:tc>
          <w:tcPr>
            <w:tcW w:type="dxa" w:w="5933"/>
            <w:shd w:val="clear" w:color="auto" w:fill="EAF1F4"/>
          </w:tcPr>
          <w:p>
            <w:pPr>
              <w:spacing w:after="50" w:before="50" w:line="252" w:lineRule="auto"/>
            </w:pPr>
            <w:r>
              <w:rPr>
                <w:b/>
                <w:sz w:val="17"/>
              </w:rPr>
              <w:t>2.3 Advanced ethics.</w:t>
            </w:r>
            <w:r>
              <w:rPr>
                <w:sz w:val="17"/>
              </w:rPr>
              <w:t xml:space="preserve"> Conflicts emerging mid-process; a party disclosing intended illegality; a settlement that appears grossly unfair; confidentiality against safety; pressure from an institution or referrer</w:t>
            </w:r>
          </w:p>
        </w:tc>
        <w:tc>
          <w:tcPr>
            <w:tcW w:type="dxa" w:w="2143"/>
            <w:shd w:val="clear" w:color="auto" w:fill="EAF1F4"/>
          </w:tcPr>
          <w:p>
            <w:pPr>
              <w:spacing w:after="50" w:before="50" w:line="252" w:lineRule="auto"/>
            </w:pPr>
            <w:r>
              <w:rPr>
                <w:sz w:val="17"/>
              </w:rPr>
              <w:t>Structured dilemma workshop</w:t>
            </w:r>
          </w:p>
        </w:tc>
      </w:tr>
      <w:tr>
        <w:tc>
          <w:tcPr>
            <w:tcW w:type="dxa" w:w="1392"/>
          </w:tcPr>
          <w:p>
            <w:pPr>
              <w:spacing w:after="50" w:before="50" w:line="252" w:lineRule="auto"/>
            </w:pPr>
            <w:r>
              <w:rPr>
                <w:sz w:val="17"/>
              </w:rPr>
              <w:t>13:00–13:45</w:t>
            </w:r>
          </w:p>
        </w:tc>
        <w:tc>
          <w:tcPr>
            <w:tcW w:type="dxa" w:w="5933"/>
          </w:tcPr>
          <w:p>
            <w:pPr>
              <w:spacing w:after="50" w:before="50" w:line="252" w:lineRule="auto"/>
            </w:pPr>
            <w:r>
              <w:rPr>
                <w:sz w:val="17"/>
              </w:rPr>
              <w:t>Lunch</w:t>
            </w:r>
          </w:p>
        </w:tc>
        <w:tc>
          <w:tcPr>
            <w:tcW w:type="dxa" w:w="2143"/>
          </w:tcPr>
          <w:p>
            <w:pPr>
              <w:spacing w:after="50" w:before="50" w:line="252" w:lineRule="auto"/>
            </w:pPr>
          </w:p>
        </w:tc>
      </w:tr>
      <w:tr>
        <w:tc>
          <w:tcPr>
            <w:tcW w:type="dxa" w:w="1392"/>
            <w:shd w:val="clear" w:color="auto" w:fill="EAF1F4"/>
          </w:tcPr>
          <w:p>
            <w:pPr>
              <w:spacing w:after="50" w:before="50" w:line="252" w:lineRule="auto"/>
            </w:pPr>
            <w:r>
              <w:rPr>
                <w:sz w:val="17"/>
              </w:rPr>
              <w:t>13:45–16:15</w:t>
            </w:r>
          </w:p>
        </w:tc>
        <w:tc>
          <w:tcPr>
            <w:tcW w:type="dxa" w:w="5933"/>
            <w:shd w:val="clear" w:color="auto" w:fill="EAF1F4"/>
          </w:tcPr>
          <w:p>
            <w:pPr>
              <w:spacing w:after="50" w:before="50" w:line="252" w:lineRule="auto"/>
            </w:pPr>
            <w:r>
              <w:rPr>
                <w:b/>
                <w:sz w:val="17"/>
              </w:rPr>
              <w:t>2.4 Simulation B — multi-party.</w:t>
            </w:r>
            <w:r>
              <w:rPr>
                <w:sz w:val="17"/>
              </w:rPr>
              <w:t xml:space="preserve"> A three-party construction or supply chain matter, ninety minutes, with structured observation</w:t>
            </w:r>
          </w:p>
        </w:tc>
        <w:tc>
          <w:tcPr>
            <w:tcW w:type="dxa" w:w="2143"/>
            <w:shd w:val="clear" w:color="auto" w:fill="EAF1F4"/>
          </w:tcPr>
          <w:p>
            <w:pPr>
              <w:spacing w:after="50" w:before="50" w:line="252" w:lineRule="auto"/>
            </w:pPr>
            <w:r>
              <w:rPr>
                <w:sz w:val="17"/>
              </w:rPr>
              <w:t>Simulation</w:t>
            </w:r>
          </w:p>
        </w:tc>
      </w:tr>
      <w:tr>
        <w:tc>
          <w:tcPr>
            <w:tcW w:type="dxa" w:w="1392"/>
          </w:tcPr>
          <w:p>
            <w:pPr>
              <w:spacing w:after="50" w:before="50" w:line="252" w:lineRule="auto"/>
            </w:pPr>
            <w:r>
              <w:rPr>
                <w:sz w:val="17"/>
              </w:rPr>
              <w:t>16:15–17:00</w:t>
            </w:r>
          </w:p>
        </w:tc>
        <w:tc>
          <w:tcPr>
            <w:tcW w:type="dxa" w:w="5933"/>
          </w:tcPr>
          <w:p>
            <w:pPr>
              <w:spacing w:after="50" w:before="50" w:line="252" w:lineRule="auto"/>
            </w:pPr>
            <w:r>
              <w:rPr>
                <w:sz w:val="17"/>
              </w:rPr>
              <w:t>Debrief</w:t>
            </w:r>
          </w:p>
        </w:tc>
        <w:tc>
          <w:tcPr>
            <w:tcW w:type="dxa" w:w="2143"/>
          </w:tcPr>
          <w:p>
            <w:pPr>
              <w:spacing w:after="50" w:before="50" w:line="252" w:lineRule="auto"/>
            </w:pPr>
          </w:p>
        </w:tc>
      </w:tr>
      <w:tr>
        <w:tc>
          <w:tcPr>
            <w:tcW w:type="dxa" w:w="1392"/>
            <w:shd w:val="clear" w:color="auto" w:fill="EAF1F4"/>
          </w:tcPr>
          <w:p>
            <w:pPr>
              <w:spacing w:after="50" w:before="50" w:line="252" w:lineRule="auto"/>
            </w:pPr>
            <w:r>
              <w:rPr>
                <w:sz w:val="17"/>
              </w:rPr>
              <w:t>17:00–18:00</w:t>
            </w:r>
          </w:p>
        </w:tc>
        <w:tc>
          <w:tcPr>
            <w:tcW w:type="dxa" w:w="5933"/>
            <w:shd w:val="clear" w:color="auto" w:fill="EAF1F4"/>
          </w:tcPr>
          <w:p>
            <w:pPr>
              <w:spacing w:after="50" w:before="50" w:line="252" w:lineRule="auto"/>
            </w:pPr>
            <w:r>
              <w:rPr>
                <w:b/>
                <w:sz w:val="17"/>
              </w:rPr>
              <w:t>2.5 Drafting complex agreements.</w:t>
            </w:r>
            <w:r>
              <w:rPr>
                <w:sz w:val="17"/>
              </w:rPr>
              <w:t xml:space="preserve"> Conditions precedent, staged payment, performance obligations, third-party consents, confidentiality, tax and enforcement considerations</w:t>
            </w:r>
          </w:p>
        </w:tc>
        <w:tc>
          <w:tcPr>
            <w:tcW w:type="dxa" w:w="2143"/>
            <w:shd w:val="clear" w:color="auto" w:fill="EAF1F4"/>
          </w:tcPr>
          <w:p>
            <w:pPr>
              <w:spacing w:after="50" w:before="50" w:line="252" w:lineRule="auto"/>
            </w:pPr>
            <w:r>
              <w:rPr>
                <w:sz w:val="17"/>
              </w:rPr>
              <w:t>Input and drafting</w:t>
            </w:r>
          </w:p>
        </w:tc>
      </w:tr>
    </w:tbl>
    <w:p>
      <w:pPr>
        <w:spacing w:after="80" w:before="0"/>
      </w:pPr>
    </w:p>
    <w:p>
      <w:pPr>
        <w:pStyle w:val="Heading2"/>
      </w:pPr>
      <w:r>
        <w:t>Day 3 · Assessment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271"/>
            <w:shd w:val="clear" w:color="auto" w:fill="10375C"/>
          </w:tcPr>
          <w:p>
            <w:pPr>
              <w:spacing w:after="50" w:before="50"/>
            </w:pPr>
            <w:r>
              <w:rPr>
                <w:b/>
                <w:color w:val="FFFFFF"/>
                <w:sz w:val="17"/>
              </w:rPr>
              <w:t>Time</w:t>
            </w:r>
          </w:p>
        </w:tc>
        <w:tc>
          <w:tcPr>
            <w:tcW w:type="dxa" w:w="5458"/>
            <w:shd w:val="clear" w:color="auto" w:fill="10375C"/>
          </w:tcPr>
          <w:p>
            <w:pPr>
              <w:spacing w:after="50" w:before="50"/>
            </w:pPr>
            <w:r>
              <w:rPr>
                <w:b/>
                <w:color w:val="FFFFFF"/>
                <w:sz w:val="17"/>
              </w:rPr>
              <w:t>Session</w:t>
            </w:r>
          </w:p>
        </w:tc>
        <w:tc>
          <w:tcPr>
            <w:tcW w:type="dxa" w:w="2738"/>
            <w:shd w:val="clear" w:color="auto" w:fill="10375C"/>
          </w:tcPr>
          <w:p>
            <w:pPr>
              <w:spacing w:after="50" w:before="50"/>
            </w:pPr>
            <w:r>
              <w:rPr>
                <w:b/>
                <w:color w:val="FFFFFF"/>
                <w:sz w:val="17"/>
              </w:rPr>
              <w:t>Method</w:t>
            </w:r>
          </w:p>
        </w:tc>
      </w:tr>
      <w:tr>
        <w:tc>
          <w:tcPr>
            <w:tcW w:type="dxa" w:w="1271"/>
          </w:tcPr>
          <w:p>
            <w:pPr>
              <w:spacing w:after="50" w:before="50" w:line="252" w:lineRule="auto"/>
            </w:pPr>
            <w:r>
              <w:rPr>
                <w:sz w:val="17"/>
              </w:rPr>
              <w:t>09:00–09:30</w:t>
            </w:r>
          </w:p>
        </w:tc>
        <w:tc>
          <w:tcPr>
            <w:tcW w:type="dxa" w:w="5458"/>
          </w:tcPr>
          <w:p>
            <w:pPr>
              <w:spacing w:after="50" w:before="50" w:line="252" w:lineRule="auto"/>
            </w:pPr>
            <w:r>
              <w:rPr>
                <w:sz w:val="17"/>
              </w:rPr>
              <w:t>Assessment briefing</w:t>
            </w:r>
          </w:p>
        </w:tc>
        <w:tc>
          <w:tcPr>
            <w:tcW w:type="dxa" w:w="2738"/>
          </w:tcPr>
          <w:p>
            <w:pPr>
              <w:spacing w:after="50" w:before="50" w:line="252" w:lineRule="auto"/>
            </w:pPr>
          </w:p>
        </w:tc>
      </w:tr>
      <w:tr>
        <w:tc>
          <w:tcPr>
            <w:tcW w:type="dxa" w:w="1271"/>
            <w:shd w:val="clear" w:color="auto" w:fill="EAF1F4"/>
          </w:tcPr>
          <w:p>
            <w:pPr>
              <w:spacing w:after="50" w:before="50" w:line="252" w:lineRule="auto"/>
            </w:pPr>
            <w:r>
              <w:rPr>
                <w:sz w:val="17"/>
              </w:rPr>
              <w:t>09:30–13:00</w:t>
            </w:r>
          </w:p>
        </w:tc>
        <w:tc>
          <w:tcPr>
            <w:tcW w:type="dxa" w:w="5458"/>
            <w:shd w:val="clear" w:color="auto" w:fill="EAF1F4"/>
          </w:tcPr>
          <w:p>
            <w:pPr>
              <w:spacing w:after="50" w:before="50" w:line="252" w:lineRule="auto"/>
            </w:pPr>
            <w:r>
              <w:rPr>
                <w:b/>
                <w:sz w:val="17"/>
              </w:rPr>
              <w:t>Assessed live simulation.</w:t>
            </w:r>
            <w:r>
              <w:rPr>
                <w:sz w:val="17"/>
              </w:rPr>
              <w:t xml:space="preserve"> Each participant mediates a full ninety-minute matter, assessed by two trained assessors against the advanced rubric. Rotations run in parallel rooms</w:t>
            </w:r>
          </w:p>
        </w:tc>
        <w:tc>
          <w:tcPr>
            <w:tcW w:type="dxa" w:w="2738"/>
            <w:shd w:val="clear" w:color="auto" w:fill="EAF1F4"/>
          </w:tcPr>
          <w:p>
            <w:pPr>
              <w:spacing w:after="50" w:before="50" w:line="252" w:lineRule="auto"/>
            </w:pPr>
            <w:r>
              <w:rPr>
                <w:b/>
                <w:sz w:val="17"/>
              </w:rPr>
              <w:t>Assessed, 60%</w:t>
            </w:r>
          </w:p>
        </w:tc>
      </w:tr>
      <w:tr>
        <w:tc>
          <w:tcPr>
            <w:tcW w:type="dxa" w:w="1271"/>
          </w:tcPr>
          <w:p>
            <w:pPr>
              <w:spacing w:after="50" w:before="50" w:line="252" w:lineRule="auto"/>
            </w:pPr>
            <w:r>
              <w:rPr>
                <w:sz w:val="17"/>
              </w:rPr>
              <w:t>13:00–13:45</w:t>
            </w:r>
          </w:p>
        </w:tc>
        <w:tc>
          <w:tcPr>
            <w:tcW w:type="dxa" w:w="5458"/>
          </w:tcPr>
          <w:p>
            <w:pPr>
              <w:spacing w:after="50" w:before="50" w:line="252" w:lineRule="auto"/>
            </w:pPr>
            <w:r>
              <w:rPr>
                <w:sz w:val="17"/>
              </w:rPr>
              <w:t>Lunch</w:t>
            </w:r>
          </w:p>
        </w:tc>
        <w:tc>
          <w:tcPr>
            <w:tcW w:type="dxa" w:w="2738"/>
          </w:tcPr>
          <w:p>
            <w:pPr>
              <w:spacing w:after="50" w:before="50" w:line="252" w:lineRule="auto"/>
            </w:pPr>
          </w:p>
        </w:tc>
      </w:tr>
      <w:tr>
        <w:tc>
          <w:tcPr>
            <w:tcW w:type="dxa" w:w="1271"/>
            <w:shd w:val="clear" w:color="auto" w:fill="EAF1F4"/>
          </w:tcPr>
          <w:p>
            <w:pPr>
              <w:spacing w:after="50" w:before="50" w:line="252" w:lineRule="auto"/>
            </w:pPr>
            <w:r>
              <w:rPr>
                <w:sz w:val="17"/>
              </w:rPr>
              <w:t>13:45–15:15</w:t>
            </w:r>
          </w:p>
        </w:tc>
        <w:tc>
          <w:tcPr>
            <w:tcW w:type="dxa" w:w="5458"/>
            <w:shd w:val="clear" w:color="auto" w:fill="EAF1F4"/>
          </w:tcPr>
          <w:p>
            <w:pPr>
              <w:spacing w:after="50" w:before="50" w:line="252" w:lineRule="auto"/>
            </w:pPr>
            <w:r>
              <w:rPr>
                <w:b/>
                <w:sz w:val="17"/>
              </w:rPr>
              <w:t>Assessed drafting exercise.</w:t>
            </w:r>
            <w:r>
              <w:rPr>
                <w:sz w:val="17"/>
              </w:rPr>
              <w:t xml:space="preserve"> Draft a settlement agreement from the assessed simulation outcome, unaided, in ninety minutes</w:t>
            </w:r>
          </w:p>
        </w:tc>
        <w:tc>
          <w:tcPr>
            <w:tcW w:type="dxa" w:w="2738"/>
            <w:shd w:val="clear" w:color="auto" w:fill="EAF1F4"/>
          </w:tcPr>
          <w:p>
            <w:pPr>
              <w:spacing w:after="50" w:before="50" w:line="252" w:lineRule="auto"/>
            </w:pPr>
            <w:r>
              <w:rPr>
                <w:b/>
                <w:sz w:val="17"/>
              </w:rPr>
              <w:t>Part of the 60%, or separately weighted at [●]%</w:t>
            </w:r>
          </w:p>
        </w:tc>
      </w:tr>
      <w:tr>
        <w:tc>
          <w:tcPr>
            <w:tcW w:type="dxa" w:w="1271"/>
          </w:tcPr>
          <w:p>
            <w:pPr>
              <w:spacing w:after="50" w:before="50" w:line="252" w:lineRule="auto"/>
            </w:pPr>
            <w:r>
              <w:rPr>
                <w:sz w:val="17"/>
              </w:rPr>
              <w:t>15:15–16:45</w:t>
            </w:r>
          </w:p>
        </w:tc>
        <w:tc>
          <w:tcPr>
            <w:tcW w:type="dxa" w:w="5458"/>
          </w:tcPr>
          <w:p>
            <w:pPr>
              <w:spacing w:after="50" w:before="50" w:line="252" w:lineRule="auto"/>
            </w:pPr>
            <w:r>
              <w:rPr>
                <w:b/>
                <w:sz w:val="17"/>
              </w:rPr>
              <w:t>Viva.</w:t>
            </w:r>
            <w:r>
              <w:rPr>
                <w:sz w:val="17"/>
              </w:rPr>
              <w:t xml:space="preserve"> Fifteen minutes on the portfolio, the assessed simulation and two ethical scenarios</w:t>
            </w:r>
          </w:p>
        </w:tc>
        <w:tc>
          <w:tcPr>
            <w:tcW w:type="dxa" w:w="2738"/>
          </w:tcPr>
          <w:p>
            <w:pPr>
              <w:spacing w:after="50" w:before="50" w:line="252" w:lineRule="auto"/>
            </w:pPr>
            <w:r>
              <w:rPr>
                <w:b/>
                <w:sz w:val="17"/>
              </w:rPr>
              <w:t>Assessed, 15%</w:t>
            </w:r>
          </w:p>
        </w:tc>
      </w:tr>
      <w:tr>
        <w:tc>
          <w:tcPr>
            <w:tcW w:type="dxa" w:w="1271"/>
            <w:shd w:val="clear" w:color="auto" w:fill="EAF1F4"/>
          </w:tcPr>
          <w:p>
            <w:pPr>
              <w:spacing w:after="50" w:before="50" w:line="252" w:lineRule="auto"/>
            </w:pPr>
            <w:r>
              <w:rPr>
                <w:sz w:val="17"/>
              </w:rPr>
              <w:t>16:45–17:30</w:t>
            </w:r>
          </w:p>
        </w:tc>
        <w:tc>
          <w:tcPr>
            <w:tcW w:type="dxa" w:w="5458"/>
            <w:shd w:val="clear" w:color="auto" w:fill="EAF1F4"/>
          </w:tcPr>
          <w:p>
            <w:pPr>
              <w:spacing w:after="50" w:before="50" w:line="252" w:lineRule="auto"/>
            </w:pPr>
            <w:r>
              <w:rPr>
                <w:sz w:val="17"/>
              </w:rPr>
              <w:t>Individual feedback to each participant</w:t>
            </w:r>
          </w:p>
        </w:tc>
        <w:tc>
          <w:tcPr>
            <w:tcW w:type="dxa" w:w="2738"/>
            <w:shd w:val="clear" w:color="auto" w:fill="EAF1F4"/>
          </w:tcPr>
          <w:p>
            <w:pPr>
              <w:spacing w:after="50" w:before="50" w:line="252" w:lineRule="auto"/>
            </w:pPr>
          </w:p>
        </w:tc>
      </w:tr>
      <w:tr>
        <w:tc>
          <w:tcPr>
            <w:tcW w:type="dxa" w:w="1271"/>
          </w:tcPr>
          <w:p>
            <w:pPr>
              <w:spacing w:after="50" w:before="50" w:line="252" w:lineRule="auto"/>
            </w:pPr>
            <w:r>
              <w:rPr>
                <w:sz w:val="17"/>
              </w:rPr>
              <w:t>17:30–18:00</w:t>
            </w:r>
          </w:p>
        </w:tc>
        <w:tc>
          <w:tcPr>
            <w:tcW w:type="dxa" w:w="5458"/>
          </w:tcPr>
          <w:p>
            <w:pPr>
              <w:spacing w:after="50" w:before="50" w:line="252" w:lineRule="auto"/>
            </w:pPr>
            <w:r>
              <w:rPr>
                <w:sz w:val="17"/>
              </w:rPr>
              <w:t>Route forward — empanelment, continuing professional development, specialisation</w:t>
            </w:r>
          </w:p>
        </w:tc>
        <w:tc>
          <w:tcPr>
            <w:tcW w:type="dxa" w:w="2738"/>
          </w:tcPr>
          <w:p>
            <w:pPr>
              <w:spacing w:after="50" w:before="50" w:line="252" w:lineRule="auto"/>
            </w:pPr>
            <w:r>
              <w:rPr>
                <w:sz w:val="17"/>
              </w:rPr>
              <w:t>Plenary</w:t>
            </w:r>
          </w:p>
        </w:tc>
      </w:tr>
    </w:tbl>
    <w:p>
      <w:pPr>
        <w:spacing w:after="80" w:before="0"/>
      </w:pPr>
    </w:p>
    <w:p>
      <w:pPr>
        <w:spacing w:before="80" w:after="160"/>
        <w:pBdr>
          <w:bottom w:val="single" w:sz="6" w:space="1" w:color="C9D6DE"/>
        </w:pBdr>
      </w:pPr>
    </w:p>
    <w:p>
      <w:pPr>
        <w:pStyle w:val="Heading1"/>
        <w:pBdr>
          <w:bottom w:val="single" w:sz="8" w:space="4" w:color="C9D6DE"/>
        </w:pBdr>
      </w:pPr>
      <w:r>
        <w:t>3. Assessment specification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857"/>
            <w:shd w:val="clear" w:color="auto" w:fill="10375C"/>
          </w:tcPr>
          <w:p>
            <w:pPr>
              <w:spacing w:after="50" w:before="50"/>
            </w:pPr>
            <w:r>
              <w:rPr>
                <w:b/>
                <w:color w:val="FFFFFF"/>
                <w:sz w:val="17"/>
              </w:rPr>
              <w:t>Component</w:t>
            </w:r>
          </w:p>
        </w:tc>
        <w:tc>
          <w:tcPr>
            <w:tcW w:type="dxa" w:w="897"/>
            <w:shd w:val="clear" w:color="auto" w:fill="10375C"/>
          </w:tcPr>
          <w:p>
            <w:pPr>
              <w:spacing w:after="50" w:before="50"/>
            </w:pPr>
            <w:r>
              <w:rPr>
                <w:b/>
                <w:color w:val="FFFFFF"/>
                <w:sz w:val="17"/>
              </w:rPr>
              <w:t>Weight</w:t>
            </w:r>
          </w:p>
        </w:tc>
        <w:tc>
          <w:tcPr>
            <w:tcW w:type="dxa" w:w="3714"/>
            <w:shd w:val="clear" w:color="auto" w:fill="10375C"/>
          </w:tcPr>
          <w:p>
            <w:pPr>
              <w:spacing w:after="50" w:before="50"/>
            </w:pPr>
            <w:r>
              <w:rPr>
                <w:b/>
                <w:color w:val="FFFFFF"/>
                <w:sz w:val="17"/>
              </w:rPr>
              <w:t>Pass</w:t>
            </w:r>
          </w:p>
        </w:tc>
      </w:tr>
      <w:tr>
        <w:tc>
          <w:tcPr>
            <w:tcW w:type="dxa" w:w="4857"/>
          </w:tcPr>
          <w:p>
            <w:pPr>
              <w:spacing w:after="50" w:before="50" w:line="252" w:lineRule="auto"/>
            </w:pPr>
            <w:r>
              <w:rPr>
                <w:sz w:val="17"/>
              </w:rPr>
              <w:t>Reflective portfolio, submitted in advance</w:t>
            </w:r>
          </w:p>
        </w:tc>
        <w:tc>
          <w:tcPr>
            <w:tcW w:type="dxa" w:w="897"/>
          </w:tcPr>
          <w:p>
            <w:pPr>
              <w:spacing w:after="50" w:before="50" w:line="252" w:lineRule="auto"/>
            </w:pPr>
            <w:r>
              <w:rPr>
                <w:sz w:val="17"/>
              </w:rPr>
              <w:t>25%</w:t>
            </w:r>
          </w:p>
        </w:tc>
        <w:tc>
          <w:tcPr>
            <w:tcW w:type="dxa" w:w="3714"/>
          </w:tcPr>
          <w:p>
            <w:pPr>
              <w:spacing w:after="50" w:before="50" w:line="252" w:lineRule="auto"/>
            </w:pPr>
            <w:r>
              <w:rPr>
                <w:sz w:val="17"/>
              </w:rPr>
              <w:t>50%</w:t>
            </w:r>
          </w:p>
        </w:tc>
      </w:tr>
      <w:tr>
        <w:tc>
          <w:tcPr>
            <w:tcW w:type="dxa" w:w="4857"/>
            <w:shd w:val="clear" w:color="auto" w:fill="EAF1F4"/>
          </w:tcPr>
          <w:p>
            <w:pPr>
              <w:spacing w:after="50" w:before="50" w:line="252" w:lineRule="auto"/>
            </w:pPr>
            <w:r>
              <w:rPr>
                <w:sz w:val="17"/>
              </w:rPr>
              <w:t>Assessed live simulation</w:t>
            </w:r>
          </w:p>
        </w:tc>
        <w:tc>
          <w:tcPr>
            <w:tcW w:type="dxa" w:w="897"/>
            <w:shd w:val="clear" w:color="auto" w:fill="EAF1F4"/>
          </w:tcPr>
          <w:p>
            <w:pPr>
              <w:spacing w:after="50" w:before="50" w:line="252" w:lineRule="auto"/>
            </w:pPr>
            <w:r>
              <w:rPr>
                <w:sz w:val="17"/>
              </w:rPr>
              <w:t>60%</w:t>
            </w:r>
          </w:p>
        </w:tc>
        <w:tc>
          <w:tcPr>
            <w:tcW w:type="dxa" w:w="3714"/>
            <w:shd w:val="clear" w:color="auto" w:fill="EAF1F4"/>
          </w:tcPr>
          <w:p>
            <w:pPr>
              <w:spacing w:after="50" w:before="50" w:line="252" w:lineRule="auto"/>
            </w:pPr>
            <w:r>
              <w:rPr>
                <w:b/>
                <w:sz w:val="17"/>
              </w:rPr>
              <w:t>55%</w:t>
            </w:r>
          </w:p>
        </w:tc>
      </w:tr>
      <w:tr>
        <w:tc>
          <w:tcPr>
            <w:tcW w:type="dxa" w:w="4857"/>
          </w:tcPr>
          <w:p>
            <w:pPr>
              <w:spacing w:after="50" w:before="50" w:line="252" w:lineRule="auto"/>
            </w:pPr>
            <w:r>
              <w:rPr>
                <w:sz w:val="17"/>
              </w:rPr>
              <w:t>Viva</w:t>
            </w:r>
          </w:p>
        </w:tc>
        <w:tc>
          <w:tcPr>
            <w:tcW w:type="dxa" w:w="897"/>
          </w:tcPr>
          <w:p>
            <w:pPr>
              <w:spacing w:after="50" w:before="50" w:line="252" w:lineRule="auto"/>
            </w:pPr>
            <w:r>
              <w:rPr>
                <w:sz w:val="17"/>
              </w:rPr>
              <w:t>15%</w:t>
            </w:r>
          </w:p>
        </w:tc>
        <w:tc>
          <w:tcPr>
            <w:tcW w:type="dxa" w:w="3714"/>
          </w:tcPr>
          <w:p>
            <w:pPr>
              <w:spacing w:after="50" w:before="50" w:line="252" w:lineRule="auto"/>
            </w:pPr>
            <w:r>
              <w:rPr>
                <w:sz w:val="17"/>
              </w:rPr>
              <w:t>50%</w:t>
            </w:r>
          </w:p>
        </w:tc>
      </w:tr>
      <w:tr>
        <w:tc>
          <w:tcPr>
            <w:tcW w:type="dxa" w:w="4857"/>
            <w:shd w:val="clear" w:color="auto" w:fill="EAF1F4"/>
          </w:tcPr>
          <w:p>
            <w:pPr>
              <w:spacing w:after="50" w:before="50" w:line="252" w:lineRule="auto"/>
            </w:pPr>
            <w:r>
              <w:rPr>
                <w:sz w:val="17"/>
              </w:rPr>
              <w:t>Attendance</w:t>
            </w:r>
          </w:p>
        </w:tc>
        <w:tc>
          <w:tcPr>
            <w:tcW w:type="dxa" w:w="897"/>
            <w:shd w:val="clear" w:color="auto" w:fill="EAF1F4"/>
          </w:tcPr>
          <w:p>
            <w:pPr>
              <w:spacing w:after="50" w:before="50" w:line="252" w:lineRule="auto"/>
            </w:pPr>
            <w:r>
              <w:rPr>
                <w:sz w:val="17"/>
              </w:rPr>
              <w:t>Gate</w:t>
            </w:r>
          </w:p>
        </w:tc>
        <w:tc>
          <w:tcPr>
            <w:tcW w:type="dxa" w:w="3714"/>
            <w:shd w:val="clear" w:color="auto" w:fill="EAF1F4"/>
          </w:tcPr>
          <w:p>
            <w:pPr>
              <w:spacing w:after="50" w:before="50" w:line="252" w:lineRule="auto"/>
            </w:pPr>
            <w:r>
              <w:rPr>
                <w:sz w:val="17"/>
              </w:rPr>
              <w:t>100% — three days, no absence permitted</w:t>
            </w:r>
          </w:p>
        </w:tc>
      </w:tr>
    </w:tbl>
    <w:p>
      <w:pPr>
        <w:spacing w:after="80" w:before="0"/>
      </w:pPr>
    </w:p>
    <w:p>
      <w:r>
        <w:rPr>
          <w:b/>
        </w:rPr>
        <w:t>Overall pass: 55% aggregate and not less than 55% in the assessed simulation.</w:t>
      </w:r>
      <w:r>
        <w:t xml:space="preserve"> A candidate failing the simulation fails the programme irrespective of aggregate.</w:t>
      </w:r>
    </w:p>
    <w:p>
      <w:r>
        <w:rPr>
          <w:b/>
        </w:rPr>
        <w:t>Reassessment.</w:t>
      </w:r>
      <w:r>
        <w:t xml:space="preserve"> One reassessment of the simulation is permitted, not earlier than three months later, on payment of the reassessment fee, and only after a further </w:t>
      </w:r>
      <w:r>
        <w:rPr>
          <w:b/>
        </w:rPr>
        <w:t>[●]</w:t>
      </w:r>
      <w:r>
        <w:t xml:space="preserve"> supervised mediations. A second failure requires the candidate to repeat the programme.</w:t>
      </w:r>
    </w:p>
    <w:p>
      <w:pPr>
        <w:spacing w:before="80" w:after="160"/>
        <w:pBdr>
          <w:bottom w:val="single" w:sz="6" w:space="1" w:color="C9D6DE"/>
        </w:pBdr>
      </w:pPr>
    </w:p>
    <w:p>
      <w:pPr>
        <w:pStyle w:val="Heading1"/>
        <w:pBdr>
          <w:bottom w:val="single" w:sz="8" w:space="4" w:color="C9D6DE"/>
        </w:pBdr>
      </w:pPr>
      <w:r>
        <w:t>4. The reflective portfolio</w:t>
      </w:r>
    </w:p>
    <w:p>
      <w:r>
        <w:t>Submitted fourteen days in advance. Approximately 4,000 words.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Part</w:t>
            </w:r>
          </w:p>
        </w:tc>
        <w:tc>
          <w:tcPr>
            <w:tcW w:type="dxa" w:w="7890"/>
            <w:shd w:val="clear" w:color="auto" w:fill="10375C"/>
          </w:tcPr>
          <w:p>
            <w:pPr>
              <w:spacing w:after="50" w:before="50"/>
            </w:pPr>
            <w:r>
              <w:rPr>
                <w:b/>
                <w:color w:val="FFFFFF"/>
                <w:sz w:val="17"/>
              </w:rPr>
              <w:t>Content</w:t>
            </w:r>
          </w:p>
        </w:tc>
        <w:tc>
          <w:tcPr>
            <w:tcW w:type="dxa" w:w="850"/>
            <w:shd w:val="clear" w:color="auto" w:fill="10375C"/>
          </w:tcPr>
          <w:p>
            <w:pPr>
              <w:spacing w:after="50" w:before="50"/>
            </w:pPr>
            <w:r>
              <w:rPr>
                <w:b/>
                <w:color w:val="FFFFFF"/>
                <w:sz w:val="17"/>
              </w:rPr>
              <w:t>Weight</w:t>
            </w:r>
          </w:p>
        </w:tc>
      </w:tr>
      <w:tr>
        <w:tc>
          <w:tcPr>
            <w:tcW w:type="dxa" w:w="850"/>
          </w:tcPr>
          <w:p>
            <w:pPr>
              <w:spacing w:after="50" w:before="50" w:line="252" w:lineRule="auto"/>
            </w:pPr>
            <w:r>
              <w:rPr>
                <w:sz w:val="17"/>
              </w:rPr>
              <w:t>A</w:t>
            </w:r>
          </w:p>
        </w:tc>
        <w:tc>
          <w:tcPr>
            <w:tcW w:type="dxa" w:w="7890"/>
          </w:tcPr>
          <w:p>
            <w:pPr>
              <w:spacing w:after="50" w:before="50" w:line="252" w:lineRule="auto"/>
            </w:pPr>
            <w:r>
              <w:rPr>
                <w:sz w:val="17"/>
              </w:rPr>
              <w:t>Practice log — every mediation conducted, with date, sector, parties in outline, duration, outcome, role, and the supervisor's countersignature</w:t>
            </w:r>
          </w:p>
        </w:tc>
        <w:tc>
          <w:tcPr>
            <w:tcW w:type="dxa" w:w="850"/>
          </w:tcPr>
          <w:p>
            <w:pPr>
              <w:spacing w:after="50" w:before="50" w:line="252" w:lineRule="auto"/>
            </w:pPr>
            <w:r>
              <w:rPr>
                <w:sz w:val="17"/>
              </w:rPr>
              <w:t>Gate</w:t>
            </w:r>
          </w:p>
        </w:tc>
      </w:tr>
      <w:tr>
        <w:tc>
          <w:tcPr>
            <w:tcW w:type="dxa" w:w="850"/>
            <w:shd w:val="clear" w:color="auto" w:fill="EAF1F4"/>
          </w:tcPr>
          <w:p>
            <w:pPr>
              <w:spacing w:after="50" w:before="50" w:line="252" w:lineRule="auto"/>
            </w:pPr>
            <w:r>
              <w:rPr>
                <w:sz w:val="17"/>
              </w:rPr>
              <w:t>B</w:t>
            </w:r>
          </w:p>
        </w:tc>
        <w:tc>
          <w:tcPr>
            <w:tcW w:type="dxa" w:w="7890"/>
            <w:shd w:val="clear" w:color="auto" w:fill="EAF1F4"/>
          </w:tcPr>
          <w:p>
            <w:pPr>
              <w:spacing w:after="50" w:before="50" w:line="252" w:lineRule="auto"/>
            </w:pPr>
            <w:r>
              <w:rPr>
                <w:sz w:val="17"/>
              </w:rPr>
              <w:t>Three case reflections of approximately 800 words each: what happened, what you did, why, what you would now do differently, and what it revealed about your practice</w:t>
            </w:r>
          </w:p>
        </w:tc>
        <w:tc>
          <w:tcPr>
            <w:tcW w:type="dxa" w:w="850"/>
            <w:shd w:val="clear" w:color="auto" w:fill="EAF1F4"/>
          </w:tcPr>
          <w:p>
            <w:pPr>
              <w:spacing w:after="50" w:before="50" w:line="252" w:lineRule="auto"/>
            </w:pPr>
            <w:r>
              <w:rPr>
                <w:sz w:val="17"/>
              </w:rPr>
              <w:t>60%</w:t>
            </w:r>
          </w:p>
        </w:tc>
      </w:tr>
      <w:tr>
        <w:tc>
          <w:tcPr>
            <w:tcW w:type="dxa" w:w="850"/>
          </w:tcPr>
          <w:p>
            <w:pPr>
              <w:spacing w:after="50" w:before="50" w:line="252" w:lineRule="auto"/>
            </w:pPr>
            <w:r>
              <w:rPr>
                <w:sz w:val="17"/>
              </w:rPr>
              <w:t>C</w:t>
            </w:r>
          </w:p>
        </w:tc>
        <w:tc>
          <w:tcPr>
            <w:tcW w:type="dxa" w:w="7890"/>
          </w:tcPr>
          <w:p>
            <w:pPr>
              <w:spacing w:after="50" w:before="50" w:line="252" w:lineRule="auto"/>
            </w:pPr>
            <w:r>
              <w:rPr>
                <w:sz w:val="17"/>
              </w:rPr>
              <w:t>A self-assessment against the twelve learning outcomes of the basic programme, with evidence</w:t>
            </w:r>
          </w:p>
        </w:tc>
        <w:tc>
          <w:tcPr>
            <w:tcW w:type="dxa" w:w="850"/>
          </w:tcPr>
          <w:p>
            <w:pPr>
              <w:spacing w:after="50" w:before="50" w:line="252" w:lineRule="auto"/>
            </w:pPr>
            <w:r>
              <w:rPr>
                <w:sz w:val="17"/>
              </w:rPr>
              <w:t>25%</w:t>
            </w:r>
          </w:p>
        </w:tc>
      </w:tr>
      <w:tr>
        <w:tc>
          <w:tcPr>
            <w:tcW w:type="dxa" w:w="850"/>
            <w:shd w:val="clear" w:color="auto" w:fill="EAF1F4"/>
          </w:tcPr>
          <w:p>
            <w:pPr>
              <w:spacing w:after="50" w:before="50" w:line="252" w:lineRule="auto"/>
            </w:pPr>
            <w:r>
              <w:rPr>
                <w:sz w:val="17"/>
              </w:rPr>
              <w:t>D</w:t>
            </w:r>
          </w:p>
        </w:tc>
        <w:tc>
          <w:tcPr>
            <w:tcW w:type="dxa" w:w="7890"/>
            <w:shd w:val="clear" w:color="auto" w:fill="EAF1F4"/>
          </w:tcPr>
          <w:p>
            <w:pPr>
              <w:spacing w:after="50" w:before="50" w:line="252" w:lineRule="auto"/>
            </w:pPr>
            <w:r>
              <w:rPr>
                <w:sz w:val="17"/>
              </w:rPr>
              <w:t>A development plan for the next twelve months</w:t>
            </w:r>
          </w:p>
        </w:tc>
        <w:tc>
          <w:tcPr>
            <w:tcW w:type="dxa" w:w="850"/>
            <w:shd w:val="clear" w:color="auto" w:fill="EAF1F4"/>
          </w:tcPr>
          <w:p>
            <w:pPr>
              <w:spacing w:after="50" w:before="50" w:line="252" w:lineRule="auto"/>
            </w:pPr>
            <w:r>
              <w:rPr>
                <w:sz w:val="17"/>
              </w:rPr>
              <w:t>15%</w:t>
            </w:r>
          </w:p>
        </w:tc>
      </w:tr>
    </w:tbl>
    <w:p>
      <w:pPr>
        <w:spacing w:after="80" w:before="0"/>
      </w:pPr>
    </w:p>
    <w:p>
      <w:r>
        <w:rPr>
          <w:b/>
        </w:rPr>
        <w:t>Marking note.</w:t>
      </w:r>
      <w:r>
        <w:t xml:space="preserve"> Part B is marked on the quality of the reflection, not on the outcome of the cases. A candidate who describes a mediation that failed, and analyses honestly why, scores higher than one who recounts a settlement without insight. Assessors are instructed to reward candour.</w:t>
      </w:r>
    </w:p>
    <w:p>
      <w:r>
        <w:rPr>
          <w:b/>
        </w:rPr>
        <w:t>Anonymisation.</w:t>
      </w:r>
      <w:r>
        <w:t xml:space="preserve"> Portfolios must be fully anonymised. No party may be identifiable. A portfolio breaching confidentiality is returned unmarked and the breach is reported.</w:t>
      </w:r>
    </w:p>
    <w:p>
      <w:pPr>
        <w:spacing w:before="80" w:after="160"/>
        <w:pBdr>
          <w:bottom w:val="single" w:sz="6" w:space="1" w:color="C9D6DE"/>
        </w:pBdr>
      </w:pPr>
    </w:p>
    <w:p>
      <w:pPr>
        <w:pStyle w:val="Heading1"/>
        <w:pBdr>
          <w:bottom w:val="single" w:sz="8" w:space="4" w:color="C9D6DE"/>
        </w:pBdr>
      </w:pPr>
      <w:r>
        <w:t>5. Certification and what follows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982"/>
            <w:shd w:val="clear" w:color="auto" w:fill="10375C"/>
          </w:tcPr>
          <w:p>
            <w:pPr>
              <w:spacing w:after="50" w:before="50"/>
            </w:pPr>
            <w:r>
              <w:rPr>
                <w:b/>
                <w:color w:val="FFFFFF"/>
                <w:sz w:val="17"/>
              </w:rPr>
              <w:t>Item</w:t>
            </w:r>
          </w:p>
        </w:tc>
        <w:tc>
          <w:tcPr>
            <w:tcW w:type="dxa" w:w="6486"/>
            <w:shd w:val="clear" w:color="auto" w:fill="10375C"/>
          </w:tcPr>
          <w:p>
            <w:pPr>
              <w:spacing w:after="50" w:before="50"/>
            </w:pPr>
            <w:r>
              <w:rPr>
                <w:b/>
                <w:color w:val="FFFFFF"/>
                <w:sz w:val="17"/>
              </w:rPr>
              <w:t>Detail</w:t>
            </w:r>
          </w:p>
        </w:tc>
      </w:tr>
      <w:tr>
        <w:tc>
          <w:tcPr>
            <w:tcW w:type="dxa" w:w="2982"/>
          </w:tcPr>
          <w:p>
            <w:pPr>
              <w:spacing w:after="50" w:before="50" w:line="252" w:lineRule="auto"/>
            </w:pPr>
            <w:r>
              <w:rPr>
                <w:sz w:val="17"/>
              </w:rPr>
              <w:t>Certificate</w:t>
            </w:r>
          </w:p>
        </w:tc>
        <w:tc>
          <w:tcPr>
            <w:tcW w:type="dxa" w:w="6486"/>
          </w:tcPr>
          <w:p>
            <w:pPr>
              <w:spacing w:after="50" w:before="50" w:line="252" w:lineRule="auto"/>
            </w:pPr>
            <w:r>
              <w:rPr>
                <w:sz w:val="17"/>
              </w:rPr>
              <w:t>Certificate of Advanced Practice — Mediation (20 hours)</w:t>
            </w:r>
          </w:p>
        </w:tc>
      </w:tr>
      <w:tr>
        <w:tc>
          <w:tcPr>
            <w:tcW w:type="dxa" w:w="2982"/>
            <w:shd w:val="clear" w:color="auto" w:fill="EAF1F4"/>
          </w:tcPr>
          <w:p>
            <w:pPr>
              <w:spacing w:after="50" w:before="50" w:line="252" w:lineRule="auto"/>
            </w:pPr>
            <w:r>
              <w:rPr>
                <w:sz w:val="17"/>
              </w:rPr>
              <w:t>Register</w:t>
            </w:r>
          </w:p>
        </w:tc>
        <w:tc>
          <w:tcPr>
            <w:tcW w:type="dxa" w:w="6486"/>
            <w:shd w:val="clear" w:color="auto" w:fill="EAF1F4"/>
          </w:tcPr>
          <w:p>
            <w:pPr>
              <w:spacing w:after="50" w:before="50" w:line="252" w:lineRule="auto"/>
            </w:pPr>
            <w:r>
              <w:rPr>
                <w:sz w:val="17"/>
              </w:rPr>
              <w:t>Entered in the certification register; verifiable on request</w:t>
            </w:r>
          </w:p>
        </w:tc>
      </w:tr>
      <w:tr>
        <w:tc>
          <w:tcPr>
            <w:tcW w:type="dxa" w:w="2982"/>
          </w:tcPr>
          <w:p>
            <w:pPr>
              <w:spacing w:after="50" w:before="50" w:line="252" w:lineRule="auto"/>
            </w:pPr>
            <w:r>
              <w:rPr>
                <w:sz w:val="17"/>
              </w:rPr>
              <w:t>Eligibility unlocked</w:t>
            </w:r>
          </w:p>
        </w:tc>
        <w:tc>
          <w:tcPr>
            <w:tcW w:type="dxa" w:w="6486"/>
          </w:tcPr>
          <w:p>
            <w:pPr>
              <w:spacing w:after="50" w:before="50" w:line="252" w:lineRule="auto"/>
            </w:pPr>
            <w:r>
              <w:rPr>
                <w:sz w:val="17"/>
              </w:rPr>
              <w:t>Consideration for empanelment on the Equator panel; eligibility for assessor certification; eligibility to co-mediate under Equator appointment</w:t>
            </w:r>
          </w:p>
        </w:tc>
      </w:tr>
      <w:tr>
        <w:tc>
          <w:tcPr>
            <w:tcW w:type="dxa" w:w="2982"/>
            <w:shd w:val="clear" w:color="auto" w:fill="EAF1F4"/>
          </w:tcPr>
          <w:p>
            <w:pPr>
              <w:spacing w:after="50" w:before="50" w:line="252" w:lineRule="auto"/>
            </w:pPr>
            <w:r>
              <w:rPr>
                <w:sz w:val="17"/>
              </w:rPr>
              <w:t>Continuing professional development</w:t>
            </w:r>
          </w:p>
        </w:tc>
        <w:tc>
          <w:tcPr>
            <w:tcW w:type="dxa" w:w="6486"/>
            <w:shd w:val="clear" w:color="auto" w:fill="EAF1F4"/>
          </w:tcPr>
          <w:p>
            <w:pPr>
              <w:spacing w:after="50" w:before="50" w:line="252" w:lineRule="auto"/>
            </w:pPr>
            <w:r>
              <w:rPr>
                <w:sz w:val="17"/>
              </w:rPr>
              <w:t>[●] hours per year to maintain currency</w:t>
            </w:r>
          </w:p>
        </w:tc>
      </w:tr>
      <w:tr>
        <w:tc>
          <w:tcPr>
            <w:tcW w:type="dxa" w:w="2982"/>
          </w:tcPr>
          <w:p>
            <w:pPr>
              <w:spacing w:after="50" w:before="50" w:line="252" w:lineRule="auto"/>
            </w:pPr>
            <w:r>
              <w:rPr>
                <w:sz w:val="17"/>
              </w:rPr>
              <w:t>Representation</w:t>
            </w:r>
          </w:p>
        </w:tc>
        <w:tc>
          <w:tcPr>
            <w:tcW w:type="dxa" w:w="6486"/>
          </w:tcPr>
          <w:p>
            <w:pPr>
              <w:spacing w:after="50" w:before="50" w:line="252" w:lineRule="auto"/>
            </w:pPr>
            <w:r>
              <w:rPr>
                <w:sz w:val="17"/>
              </w:rPr>
              <w:t xml:space="preserve">The holder may state that they have completed advanced mediation training with Equator ADR Institute. They may </w:t>
            </w:r>
            <w:r>
              <w:rPr>
                <w:b/>
                <w:sz w:val="17"/>
              </w:rPr>
              <w:t>not</w:t>
            </w:r>
            <w:r>
              <w:rPr>
                <w:sz w:val="17"/>
              </w:rPr>
              <w:t xml:space="preserve"> state that they are an accredited or recognised mediator</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EQ-UAP-053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20-Hour Advanced Mediation Training</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42F3ED6-14AE-41BC-91F3-FE628B118153}"/>
</file>

<file path=customXml/itemProps3.xml><?xml version="1.0" encoding="utf-8"?>
<ds:datastoreItem xmlns:ds="http://schemas.openxmlformats.org/officeDocument/2006/customXml" ds:itemID="{FC2AE2A5-C22D-4C22-8E6F-C988457E910B}"/>
</file>

<file path=customXml/itemProps4.xml><?xml version="1.0" encoding="utf-8"?>
<ds:datastoreItem xmlns:ds="http://schemas.openxmlformats.org/officeDocument/2006/customXml" ds:itemID="{9BDCE560-B048-4DF6-9740-5587880C218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