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customXml/itemProps1.xml" ContentType="application/vnd.openxmlformats-officedocument.customXmlProperties+xml"/>
  <Override PartName="/word/numbering.xml" ContentType="application/vnd.openxmlformats-officedocument.wordprocessingml.numbering+xml"/>
  <Override PartName="/word/header1.xml" ContentType="application/vnd.openxmlformats-officedocument.wordprocessingml.header+xml"/>
  <Override PartName="/word/footer1.xml" ContentType="application/vnd.openxmlformats-officedocument.wordprocessingml.footer+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jpeg"/><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shd w:val="clear" w:color="auto" w:fill="10375C"/>
      </w:pPr>
      <w:r>
        <w:rPr>
          <w:rFonts w:ascii="Calibri" w:hAnsi="Calibri"/>
          <w:b/>
          <w:caps/>
          <w:color w:val="FFFFFF"/>
          <w:sz w:val="26"/>
        </w:rPr>
        <w:t xml:space="preserve"> EQUATOR RESOLUTION</w:t>
      </w:r>
    </w:p>
    <w:p>
      <w:pPr>
        <w:spacing w:before="0" w:after="880"/>
        <w:shd w:val="clear" w:color="auto" w:fill="0E7C7B"/>
      </w:pPr>
      <w:r>
        <w:rPr>
          <w:rFonts w:ascii="Calibri" w:hAnsi="Calibri"/>
          <w:color w:val="FFFFFF"/>
          <w:sz w:val="16"/>
        </w:rPr>
        <w:t xml:space="preserve"> An Infrabyx Group venture  ·  www.equatorresolution.com</w:t>
      </w:r>
    </w:p>
    <w:p>
      <w:pPr>
        <w:spacing w:after="40"/>
      </w:pPr>
      <w:r>
        <w:rPr>
          <w:rFonts w:ascii="Calibri" w:hAnsi="Calibri"/>
          <w:b/>
          <w:caps/>
          <w:color w:val="0E7C7B"/>
          <w:sz w:val="19"/>
        </w:rPr>
        <w:t>UNIVERSITY &amp; ACADEMIC PARTNERSHIP PROGRAMME</w:t>
      </w:r>
    </w:p>
    <w:p>
      <w:pPr>
        <w:spacing w:after="120" w:line="240" w:lineRule="auto"/>
      </w:pPr>
      <w:r>
        <w:rPr>
          <w:rFonts w:ascii="Calibri" w:hAnsi="Calibri"/>
          <w:b/>
          <w:color w:val="10375C"/>
          <w:sz w:val="54"/>
        </w:rPr>
        <w:t>Faculty Development Programme — Design &amp; Session Plan</w:t>
      </w:r>
    </w:p>
    <w:p>
      <w:pPr>
        <w:spacing w:after="280" w:line="276" w:lineRule="auto"/>
      </w:pPr>
      <w:r>
        <w:rPr>
          <w:rFonts w:ascii="Calibri" w:hAnsi="Calibri"/>
          <w:i/>
          <w:color w:val="3E6B8A"/>
          <w:sz w:val="25"/>
        </w:rPr>
        <w:t>Five-day programme for law and management faculty: substantive ADR, mediation skills, and how to teach both</w:t>
      </w:r>
    </w:p>
    <w:p>
      <w:pPr>
        <w:spacing w:after="520"/>
        <w:pBdr>
          <w:bottom w:val="single" w:sz="18" w:space="1" w:color="0E7C7B"/>
        </w:pBdr>
      </w:pPr>
    </w:p>
    <w:tbl>
      <w:tblPr>
        <w:tblW w:type="auto" w:w="0"/>
        <w:jc w:val="left"/>
        <w:tblLayout w:type="fixed"/>
        <w:tblLook w:firstColumn="1" w:firstRow="1" w:lastColumn="0" w:lastRow="0" w:noHBand="0" w:noVBand="1" w:val="04A0"/>
        <w:tblBorders>
          <w:top w:val="single" w:sz="2" w:space="0" w:color="FFFFFF"/>
          <w:left w:val="single" w:sz="2" w:space="0" w:color="FFFFFF"/>
          <w:bottom w:val="single" w:sz="2" w:space="0" w:color="FFFFFF"/>
          <w:right w:val="single" w:sz="2" w:space="0" w:color="FFFFFF"/>
          <w:insideH w:val="single" w:sz="2" w:space="0" w:color="FFFFFF"/>
          <w:insideV w:val="single" w:sz="2" w:space="0" w:color="FFFFFF"/>
        </w:tblBorders>
      </w:tblPr>
      <w:tblGrid>
        <w:gridCol w:w="4734"/>
        <w:gridCol w:w="4734"/>
      </w:tblGrid>
      <w:tr>
        <w:tc>
          <w:tcPr>
            <w:tcW w:type="dxa" w:w="2891"/>
            <w:shd w:val="clear" w:color="auto" w:fill="EAF1F4"/>
          </w:tcPr>
          <w:p>
            <w:pPr>
              <w:spacing w:after="60" w:before="60"/>
            </w:pPr>
            <w:r>
              <w:rPr>
                <w:rFonts w:ascii="Calibri" w:hAnsi="Calibri"/>
                <w:b/>
                <w:color w:val="10375C"/>
                <w:sz w:val="18"/>
              </w:rPr>
              <w:t>Document reference</w:t>
            </w:r>
          </w:p>
        </w:tc>
        <w:tc>
          <w:tcPr>
            <w:tcW w:type="dxa" w:w="6576"/>
          </w:tcPr>
          <w:p>
            <w:pPr>
              <w:spacing w:after="60" w:before="60"/>
            </w:pPr>
            <w:r>
              <w:rPr>
                <w:rFonts w:ascii="Calibri" w:hAnsi="Calibri"/>
                <w:color w:val="333333"/>
                <w:sz w:val="18"/>
              </w:rPr>
              <w:t>EQ-UAP-054</w:t>
            </w:r>
          </w:p>
        </w:tc>
      </w:tr>
      <w:tr>
        <w:tc>
          <w:tcPr>
            <w:tcW w:type="dxa" w:w="2891"/>
            <w:shd w:val="clear" w:color="auto" w:fill="EAF1F4"/>
          </w:tcPr>
          <w:p>
            <w:pPr>
              <w:spacing w:after="60" w:before="60"/>
            </w:pPr>
            <w:r>
              <w:rPr>
                <w:rFonts w:ascii="Calibri" w:hAnsi="Calibri"/>
                <w:b/>
                <w:color w:val="10375C"/>
                <w:sz w:val="18"/>
              </w:rPr>
              <w:t>Document family</w:t>
            </w:r>
          </w:p>
        </w:tc>
        <w:tc>
          <w:tcPr>
            <w:tcW w:type="dxa" w:w="6576"/>
          </w:tcPr>
          <w:p>
            <w:pPr>
              <w:spacing w:after="60" w:before="60"/>
            </w:pPr>
            <w:r>
              <w:rPr>
                <w:rFonts w:ascii="Calibri" w:hAnsi="Calibri"/>
                <w:color w:val="333333"/>
                <w:sz w:val="18"/>
              </w:rPr>
              <w:t>Curriculum</w:t>
            </w:r>
          </w:p>
        </w:tc>
      </w:tr>
      <w:tr>
        <w:tc>
          <w:tcPr>
            <w:tcW w:type="dxa" w:w="2891"/>
            <w:shd w:val="clear" w:color="auto" w:fill="EAF1F4"/>
          </w:tcPr>
          <w:p>
            <w:pPr>
              <w:spacing w:after="60" w:before="60"/>
            </w:pPr>
            <w:r>
              <w:rPr>
                <w:rFonts w:ascii="Calibri" w:hAnsi="Calibri"/>
                <w:b/>
                <w:color w:val="10375C"/>
                <w:sz w:val="18"/>
              </w:rPr>
              <w:t>Version</w:t>
            </w:r>
          </w:p>
        </w:tc>
        <w:tc>
          <w:tcPr>
            <w:tcW w:type="dxa" w:w="6576"/>
          </w:tcPr>
          <w:p>
            <w:pPr>
              <w:spacing w:after="60" w:before="60"/>
            </w:pPr>
            <w:r>
              <w:rPr>
                <w:rFonts w:ascii="Calibri" w:hAnsi="Calibri"/>
                <w:color w:val="333333"/>
                <w:sz w:val="18"/>
              </w:rPr>
              <w:t>v1.0   ·   Draft for legal sign-off</w:t>
            </w:r>
          </w:p>
        </w:tc>
      </w:tr>
      <w:tr>
        <w:tc>
          <w:tcPr>
            <w:tcW w:type="dxa" w:w="2891"/>
            <w:shd w:val="clear" w:color="auto" w:fill="EAF1F4"/>
          </w:tcPr>
          <w:p>
            <w:pPr>
              <w:spacing w:after="60" w:before="60"/>
            </w:pPr>
            <w:r>
              <w:rPr>
                <w:rFonts w:ascii="Calibri" w:hAnsi="Calibri"/>
                <w:b/>
                <w:color w:val="10375C"/>
                <w:sz w:val="18"/>
              </w:rPr>
              <w:t>Date of issue</w:t>
            </w:r>
          </w:p>
        </w:tc>
        <w:tc>
          <w:tcPr>
            <w:tcW w:type="dxa" w:w="6576"/>
          </w:tcPr>
          <w:p>
            <w:pPr>
              <w:spacing w:after="60" w:before="60"/>
            </w:pPr>
            <w:r>
              <w:rPr>
                <w:rFonts w:ascii="Calibri" w:hAnsi="Calibri"/>
                <w:color w:val="333333"/>
                <w:sz w:val="18"/>
              </w:rPr>
              <w:t>July 2026</w:t>
            </w:r>
          </w:p>
        </w:tc>
      </w:tr>
      <w:tr>
        <w:tc>
          <w:tcPr>
            <w:tcW w:type="dxa" w:w="2891"/>
            <w:shd w:val="clear" w:color="auto" w:fill="EAF1F4"/>
          </w:tcPr>
          <w:p>
            <w:pPr>
              <w:spacing w:after="60" w:before="60"/>
            </w:pPr>
            <w:r>
              <w:rPr>
                <w:rFonts w:ascii="Calibri" w:hAnsi="Calibri"/>
                <w:b/>
                <w:color w:val="10375C"/>
                <w:sz w:val="18"/>
              </w:rPr>
              <w:t>Law stated as at</w:t>
            </w:r>
          </w:p>
        </w:tc>
        <w:tc>
          <w:tcPr>
            <w:tcW w:type="dxa" w:w="6576"/>
          </w:tcPr>
          <w:p>
            <w:pPr>
              <w:spacing w:after="60" w:before="60"/>
            </w:pPr>
            <w:r>
              <w:rPr>
                <w:rFonts w:ascii="Calibri" w:hAnsi="Calibri"/>
                <w:color w:val="333333"/>
                <w:sz w:val="18"/>
              </w:rPr>
              <w:t>22 July 2026</w:t>
            </w:r>
          </w:p>
        </w:tc>
      </w:tr>
      <w:tr>
        <w:tc>
          <w:tcPr>
            <w:tcW w:type="dxa" w:w="2891"/>
            <w:shd w:val="clear" w:color="auto" w:fill="EAF1F4"/>
          </w:tcPr>
          <w:p>
            <w:pPr>
              <w:spacing w:after="60" w:before="60"/>
            </w:pPr>
            <w:r>
              <w:rPr>
                <w:rFonts w:ascii="Calibri" w:hAnsi="Calibri"/>
                <w:b/>
                <w:color w:val="10375C"/>
                <w:sz w:val="18"/>
              </w:rPr>
              <w:t>Owner</w:t>
            </w:r>
          </w:p>
        </w:tc>
        <w:tc>
          <w:tcPr>
            <w:tcW w:type="dxa" w:w="6576"/>
          </w:tcPr>
          <w:p>
            <w:pPr>
              <w:spacing w:after="60" w:before="60"/>
            </w:pPr>
            <w:r>
              <w:rPr>
                <w:rFonts w:ascii="Calibri" w:hAnsi="Calibri"/>
                <w:color w:val="333333"/>
                <w:sz w:val="18"/>
              </w:rPr>
              <w:t>Director — Academic Partnerships, Equator ADR Institute</w:t>
            </w:r>
          </w:p>
        </w:tc>
      </w:tr>
      <w:tr>
        <w:tc>
          <w:tcPr>
            <w:tcW w:type="dxa" w:w="2891"/>
            <w:shd w:val="clear" w:color="auto" w:fill="EAF1F4"/>
          </w:tcPr>
          <w:p>
            <w:pPr>
              <w:spacing w:after="60" w:before="60"/>
            </w:pPr>
            <w:r>
              <w:rPr>
                <w:rFonts w:ascii="Calibri" w:hAnsi="Calibri"/>
                <w:b/>
                <w:color w:val="10375C"/>
                <w:sz w:val="18"/>
              </w:rPr>
              <w:t>Approver</w:t>
            </w:r>
          </w:p>
        </w:tc>
        <w:tc>
          <w:tcPr>
            <w:tcW w:type="dxa" w:w="6576"/>
          </w:tcPr>
          <w:p>
            <w:pPr>
              <w:spacing w:after="60" w:before="60"/>
            </w:pPr>
            <w:r>
              <w:rPr>
                <w:rFonts w:ascii="Calibri" w:hAnsi="Calibri"/>
                <w:color w:val="333333"/>
                <w:sz w:val="18"/>
              </w:rPr>
              <w:t>Managing Director, Equator Resolution</w:t>
            </w:r>
          </w:p>
        </w:tc>
      </w:tr>
      <w:tr>
        <w:tc>
          <w:tcPr>
            <w:tcW w:type="dxa" w:w="2891"/>
            <w:shd w:val="clear" w:color="auto" w:fill="EAF1F4"/>
          </w:tcPr>
          <w:p>
            <w:pPr>
              <w:spacing w:after="60" w:before="60"/>
            </w:pPr>
            <w:r>
              <w:rPr>
                <w:rFonts w:ascii="Calibri" w:hAnsi="Calibri"/>
                <w:b/>
                <w:color w:val="10375C"/>
                <w:sz w:val="18"/>
              </w:rPr>
              <w:t>Classification</w:t>
            </w:r>
          </w:p>
        </w:tc>
        <w:tc>
          <w:tcPr>
            <w:tcW w:type="dxa" w:w="6576"/>
          </w:tcPr>
          <w:p>
            <w:pPr>
              <w:spacing w:after="60" w:before="60"/>
            </w:pPr>
            <w:r>
              <w:rPr>
                <w:rFonts w:ascii="Calibri" w:hAnsi="Calibri"/>
                <w:color w:val="333333"/>
                <w:sz w:val="18"/>
              </w:rPr>
              <w:t>Confidential — Internal</w:t>
            </w:r>
          </w:p>
        </w:tc>
      </w:tr>
    </w:tbl>
    <w:p>
      <w:pPr>
        <w:spacing w:before="600"/>
        <w:ind w:left="170"/>
        <w:pBdr>
          <w:left w:val="single" w:sz="18" w:space="6" w:color="8A5A00"/>
        </w:pBdr>
        <w:shd w:val="clear" w:color="auto" w:fill="FDF6EC"/>
      </w:pPr>
      <w:r>
        <w:rPr>
          <w:b/>
          <w:color w:val="8A5A00"/>
          <w:sz w:val="17"/>
        </w:rPr>
        <w:t xml:space="preserve">Not legal advice.  </w:t>
      </w:r>
      <w:r>
        <w:rPr>
          <w:color w:val="595959"/>
          <w:sz w:val="17"/>
        </w:rPr>
        <w:t>This document is a working draft prepared for Equator Resolution. Before it is used with any institution, student or party it must be reviewed by qualified counsel and, where personal data is involved, by the Data Protection Officer. Items marked [verify] must be cleared in the Master Legal Sign-off Register.</w:t>
      </w:r>
    </w:p>
    <w:p>
      <w:r>
        <w:br w:type="page"/>
      </w:r>
    </w:p>
    <w:p>
      <w:pPr>
        <w:spacing w:after="200"/>
        <w:pBdr>
          <w:bottom w:val="single" w:sz="10" w:space="4" w:color="0E7C7B"/>
        </w:pBdr>
      </w:pPr>
      <w:r>
        <w:rPr>
          <w:rFonts w:ascii="Calibri" w:hAnsi="Calibri"/>
          <w:b/>
          <w:color w:val="10375C"/>
          <w:sz w:val="31"/>
        </w:rPr>
        <w:t>Document control</w:t>
      </w:r>
    </w:p>
    <w:p>
      <w:pPr>
        <w:spacing w:before="240" w:after="80"/>
        <w:keepNext w:val="1"/>
      </w:pPr>
      <w:r>
        <w:rPr>
          <w:rFonts w:ascii="Calibri" w:hAnsi="Calibri"/>
          <w:b/>
          <w:color w:val="0E7C7B"/>
          <w:sz w:val="22"/>
        </w:rPr>
        <w:t>Version history</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1894"/>
        <w:gridCol w:w="1894"/>
        <w:gridCol w:w="1894"/>
        <w:gridCol w:w="1894"/>
        <w:gridCol w:w="1894"/>
      </w:tblGrid>
      <w:tr>
        <w:trPr>
          <w:tblHeader w:val="true"/>
        </w:trPr>
        <w:tc>
          <w:tcPr>
            <w:tcW w:type="dxa" w:w="964"/>
            <w:shd w:val="clear" w:color="auto" w:fill="10375C"/>
          </w:tcPr>
          <w:p>
            <w:pPr>
              <w:spacing w:after="40" w:before="40"/>
            </w:pPr>
            <w:r>
              <w:rPr>
                <w:rFonts w:ascii="Calibri" w:hAnsi="Calibri"/>
                <w:b/>
                <w:color w:val="FFFFFF"/>
                <w:sz w:val="17"/>
              </w:rPr>
              <w:t>Version</w:t>
            </w:r>
          </w:p>
        </w:tc>
        <w:tc>
          <w:tcPr>
            <w:tcW w:type="dxa" w:w="1304"/>
            <w:shd w:val="clear" w:color="auto" w:fill="10375C"/>
          </w:tcPr>
          <w:p>
            <w:pPr>
              <w:spacing w:after="40" w:before="40"/>
            </w:pPr>
            <w:r>
              <w:rPr>
                <w:rFonts w:ascii="Calibri" w:hAnsi="Calibri"/>
                <w:b/>
                <w:color w:val="FFFFFF"/>
                <w:sz w:val="17"/>
              </w:rPr>
              <w:t>Date</w:t>
            </w:r>
          </w:p>
        </w:tc>
        <w:tc>
          <w:tcPr>
            <w:tcW w:type="dxa" w:w="2041"/>
            <w:shd w:val="clear" w:color="auto" w:fill="10375C"/>
          </w:tcPr>
          <w:p>
            <w:pPr>
              <w:spacing w:after="40" w:before="40"/>
            </w:pPr>
            <w:r>
              <w:rPr>
                <w:rFonts w:ascii="Calibri" w:hAnsi="Calibri"/>
                <w:b/>
                <w:color w:val="FFFFFF"/>
                <w:sz w:val="17"/>
              </w:rPr>
              <w:t>Author</w:t>
            </w:r>
          </w:p>
        </w:tc>
        <w:tc>
          <w:tcPr>
            <w:tcW w:type="dxa" w:w="3742"/>
            <w:shd w:val="clear" w:color="auto" w:fill="10375C"/>
          </w:tcPr>
          <w:p>
            <w:pPr>
              <w:spacing w:after="40" w:before="40"/>
            </w:pPr>
            <w:r>
              <w:rPr>
                <w:rFonts w:ascii="Calibri" w:hAnsi="Calibri"/>
                <w:b/>
                <w:color w:val="FFFFFF"/>
                <w:sz w:val="17"/>
              </w:rPr>
              <w:t>Summary of change</w:t>
            </w:r>
          </w:p>
        </w:tc>
        <w:tc>
          <w:tcPr>
            <w:tcW w:type="dxa" w:w="1417"/>
            <w:shd w:val="clear" w:color="auto" w:fill="10375C"/>
          </w:tcPr>
          <w:p>
            <w:pPr>
              <w:spacing w:after="40" w:before="40"/>
            </w:pPr>
            <w:r>
              <w:rPr>
                <w:rFonts w:ascii="Calibri" w:hAnsi="Calibri"/>
                <w:b/>
                <w:color w:val="FFFFFF"/>
                <w:sz w:val="17"/>
              </w:rPr>
              <w:t>Status</w:t>
            </w:r>
          </w:p>
        </w:tc>
      </w:tr>
      <w:tr>
        <w:tc>
          <w:tcPr>
            <w:tcW w:type="dxa" w:w="964"/>
          </w:tcPr>
          <w:p>
            <w:pPr>
              <w:spacing w:after="40" w:before="40"/>
            </w:pPr>
            <w:r>
              <w:rPr>
                <w:rFonts w:ascii="Calibri" w:hAnsi="Calibri"/>
                <w:sz w:val="17"/>
              </w:rPr>
              <w:t>0.1</w:t>
            </w:r>
          </w:p>
        </w:tc>
        <w:tc>
          <w:tcPr>
            <w:tcW w:type="dxa" w:w="1304"/>
          </w:tcPr>
          <w:p>
            <w:pPr>
              <w:spacing w:after="40" w:before="40"/>
            </w:pPr>
            <w:r>
              <w:rPr>
                <w:rFonts w:ascii="Calibri" w:hAnsi="Calibri"/>
                <w:sz w:val="17"/>
              </w:rPr>
              <w:t>July 2026</w:t>
            </w:r>
          </w:p>
        </w:tc>
        <w:tc>
          <w:tcPr>
            <w:tcW w:type="dxa" w:w="2041"/>
          </w:tcPr>
          <w:p>
            <w:pPr>
              <w:spacing w:after="40" w:before="40"/>
            </w:pPr>
            <w:r>
              <w:rPr>
                <w:rFonts w:ascii="Calibri" w:hAnsi="Calibri"/>
                <w:sz w:val="17"/>
              </w:rPr>
              <w:t>Equator ADR Institute</w:t>
            </w:r>
          </w:p>
        </w:tc>
        <w:tc>
          <w:tcPr>
            <w:tcW w:type="dxa" w:w="3742"/>
          </w:tcPr>
          <w:p>
            <w:pPr>
              <w:spacing w:after="40" w:before="40"/>
            </w:pPr>
            <w:r>
              <w:rPr>
                <w:rFonts w:ascii="Calibri" w:hAnsi="Calibri"/>
                <w:sz w:val="17"/>
              </w:rPr>
              <w:t>Initial drafting</w:t>
            </w:r>
          </w:p>
        </w:tc>
        <w:tc>
          <w:tcPr>
            <w:tcW w:type="dxa" w:w="1417"/>
          </w:tcPr>
          <w:p>
            <w:pPr>
              <w:spacing w:after="40" w:before="40"/>
            </w:pPr>
            <w:r>
              <w:rPr>
                <w:rFonts w:ascii="Calibri" w:hAnsi="Calibri"/>
                <w:sz w:val="17"/>
              </w:rPr>
              <w:t>Superseded</w:t>
            </w:r>
          </w:p>
        </w:tc>
      </w:tr>
      <w:tr>
        <w:tc>
          <w:tcPr>
            <w:tcW w:type="dxa" w:w="964"/>
            <w:shd w:val="clear" w:color="auto" w:fill="EAF1F4"/>
          </w:tcPr>
          <w:p>
            <w:pPr>
              <w:spacing w:after="40" w:before="40"/>
            </w:pPr>
            <w:r>
              <w:rPr>
                <w:rFonts w:ascii="Calibri" w:hAnsi="Calibri"/>
                <w:sz w:val="17"/>
              </w:rPr>
              <w:t>1.0</w:t>
            </w:r>
          </w:p>
        </w:tc>
        <w:tc>
          <w:tcPr>
            <w:tcW w:type="dxa" w:w="1304"/>
            <w:shd w:val="clear" w:color="auto" w:fill="EAF1F4"/>
          </w:tcPr>
          <w:p>
            <w:pPr>
              <w:spacing w:after="40" w:before="40"/>
            </w:pPr>
            <w:r>
              <w:rPr>
                <w:rFonts w:ascii="Calibri" w:hAnsi="Calibri"/>
                <w:sz w:val="17"/>
              </w:rPr>
              <w:t>July 2026</w:t>
            </w:r>
          </w:p>
        </w:tc>
        <w:tc>
          <w:tcPr>
            <w:tcW w:type="dxa" w:w="2041"/>
            <w:shd w:val="clear" w:color="auto" w:fill="EAF1F4"/>
          </w:tcPr>
          <w:p>
            <w:pPr>
              <w:spacing w:after="40" w:before="40"/>
            </w:pPr>
            <w:r>
              <w:rPr>
                <w:rFonts w:ascii="Calibri" w:hAnsi="Calibri"/>
                <w:sz w:val="17"/>
              </w:rPr>
              <w:t>Equator ADR Institute</w:t>
            </w:r>
          </w:p>
        </w:tc>
        <w:tc>
          <w:tcPr>
            <w:tcW w:type="dxa" w:w="3742"/>
            <w:shd w:val="clear" w:color="auto" w:fill="EAF1F4"/>
          </w:tcPr>
          <w:p>
            <w:pPr>
              <w:spacing w:after="40" w:before="40"/>
            </w:pPr>
            <w:r>
              <w:rPr>
                <w:rFonts w:ascii="Calibri" w:hAnsi="Calibri"/>
                <w:sz w:val="17"/>
              </w:rPr>
              <w:t>First complete issue for legal review</w:t>
            </w:r>
          </w:p>
        </w:tc>
        <w:tc>
          <w:tcPr>
            <w:tcW w:type="dxa" w:w="1417"/>
            <w:shd w:val="clear" w:color="auto" w:fill="EAF1F4"/>
          </w:tcPr>
          <w:p>
            <w:pPr>
              <w:spacing w:after="40" w:before="40"/>
            </w:pPr>
            <w:r>
              <w:rPr>
                <w:rFonts w:ascii="Calibri" w:hAnsi="Calibri"/>
                <w:sz w:val="17"/>
              </w:rPr>
              <w:t>Draft for legal sign-off</w:t>
            </w:r>
          </w:p>
        </w:tc>
      </w:tr>
      <w:tr>
        <w:tc>
          <w:tcPr>
            <w:tcW w:type="dxa" w:w="964"/>
          </w:tcPr>
          <w:p>
            <w:pPr>
              <w:spacing w:after="40" w:before="40"/>
            </w:pPr>
            <w:r>
              <w:rPr>
                <w:rFonts w:ascii="Calibri" w:hAnsi="Calibri"/>
                <w:sz w:val="17"/>
              </w:rPr>
            </w:r>
          </w:p>
        </w:tc>
        <w:tc>
          <w:tcPr>
            <w:tcW w:type="dxa" w:w="1304"/>
          </w:tcPr>
          <w:p>
            <w:pPr>
              <w:spacing w:after="40" w:before="40"/>
            </w:pPr>
            <w:r>
              <w:rPr>
                <w:rFonts w:ascii="Calibri" w:hAnsi="Calibri"/>
                <w:sz w:val="17"/>
              </w:rPr>
            </w:r>
          </w:p>
        </w:tc>
        <w:tc>
          <w:tcPr>
            <w:tcW w:type="dxa" w:w="2041"/>
          </w:tcPr>
          <w:p>
            <w:pPr>
              <w:spacing w:after="40" w:before="40"/>
            </w:pPr>
            <w:r>
              <w:rPr>
                <w:rFonts w:ascii="Calibri" w:hAnsi="Calibri"/>
                <w:sz w:val="17"/>
              </w:rPr>
            </w:r>
          </w:p>
        </w:tc>
        <w:tc>
          <w:tcPr>
            <w:tcW w:type="dxa" w:w="3742"/>
          </w:tcPr>
          <w:p>
            <w:pPr>
              <w:spacing w:after="40" w:before="40"/>
            </w:pPr>
            <w:r>
              <w:rPr>
                <w:rFonts w:ascii="Calibri" w:hAnsi="Calibri"/>
                <w:sz w:val="17"/>
              </w:rPr>
            </w:r>
          </w:p>
        </w:tc>
        <w:tc>
          <w:tcPr>
            <w:tcW w:type="dxa" w:w="1417"/>
          </w:tcPr>
          <w:p>
            <w:pPr>
              <w:spacing w:after="40" w:before="40"/>
            </w:pPr>
            <w:r>
              <w:rPr>
                <w:rFonts w:ascii="Calibri" w:hAnsi="Calibri"/>
                <w:sz w:val="17"/>
              </w:rPr>
            </w:r>
          </w:p>
        </w:tc>
      </w:tr>
      <w:tr>
        <w:tc>
          <w:tcPr>
            <w:tcW w:type="dxa" w:w="964"/>
            <w:shd w:val="clear" w:color="auto" w:fill="EAF1F4"/>
          </w:tcPr>
          <w:p>
            <w:pPr>
              <w:spacing w:after="40" w:before="40"/>
            </w:pPr>
            <w:r>
              <w:rPr>
                <w:rFonts w:ascii="Calibri" w:hAnsi="Calibri"/>
                <w:sz w:val="17"/>
              </w:rPr>
            </w:r>
          </w:p>
        </w:tc>
        <w:tc>
          <w:tcPr>
            <w:tcW w:type="dxa" w:w="1304"/>
            <w:shd w:val="clear" w:color="auto" w:fill="EAF1F4"/>
          </w:tcPr>
          <w:p>
            <w:pPr>
              <w:spacing w:after="40" w:before="40"/>
            </w:pPr>
            <w:r>
              <w:rPr>
                <w:rFonts w:ascii="Calibri" w:hAnsi="Calibri"/>
                <w:sz w:val="17"/>
              </w:rPr>
            </w:r>
          </w:p>
        </w:tc>
        <w:tc>
          <w:tcPr>
            <w:tcW w:type="dxa" w:w="2041"/>
            <w:shd w:val="clear" w:color="auto" w:fill="EAF1F4"/>
          </w:tcPr>
          <w:p>
            <w:pPr>
              <w:spacing w:after="40" w:before="40"/>
            </w:pPr>
            <w:r>
              <w:rPr>
                <w:rFonts w:ascii="Calibri" w:hAnsi="Calibri"/>
                <w:sz w:val="17"/>
              </w:rPr>
            </w:r>
          </w:p>
        </w:tc>
        <w:tc>
          <w:tcPr>
            <w:tcW w:type="dxa" w:w="3742"/>
            <w:shd w:val="clear" w:color="auto" w:fill="EAF1F4"/>
          </w:tcPr>
          <w:p>
            <w:pPr>
              <w:spacing w:after="40" w:before="40"/>
            </w:pPr>
            <w:r>
              <w:rPr>
                <w:rFonts w:ascii="Calibri" w:hAnsi="Calibri"/>
                <w:sz w:val="17"/>
              </w:rPr>
            </w:r>
          </w:p>
        </w:tc>
        <w:tc>
          <w:tcPr>
            <w:tcW w:type="dxa" w:w="1417"/>
            <w:shd w:val="clear" w:color="auto" w:fill="EAF1F4"/>
          </w:tcPr>
          <w:p>
            <w:pPr>
              <w:spacing w:after="40" w:before="40"/>
            </w:pPr>
            <w:r>
              <w:rPr>
                <w:rFonts w:ascii="Calibri" w:hAnsi="Calibri"/>
                <w:sz w:val="17"/>
              </w:rPr>
            </w:r>
          </w:p>
        </w:tc>
      </w:tr>
    </w:tbl>
    <w:p>
      <w:pPr>
        <w:spacing w:before="240" w:after="80"/>
        <w:keepNext w:val="1"/>
      </w:pPr>
      <w:r>
        <w:rPr>
          <w:rFonts w:ascii="Calibri" w:hAnsi="Calibri"/>
          <w:b/>
          <w:color w:val="0E7C7B"/>
          <w:sz w:val="22"/>
        </w:rPr>
        <w:t>Review and approval</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2367"/>
        <w:gridCol w:w="2367"/>
        <w:gridCol w:w="2367"/>
        <w:gridCol w:w="2367"/>
      </w:tblGrid>
      <w:tr>
        <w:trPr>
          <w:tblHeader w:val="true"/>
        </w:trPr>
        <w:tc>
          <w:tcPr>
            <w:tcW w:type="dxa" w:w="2098"/>
            <w:shd w:val="clear" w:color="auto" w:fill="10375C"/>
          </w:tcPr>
          <w:p>
            <w:pPr>
              <w:spacing w:after="40" w:before="40"/>
            </w:pPr>
            <w:r>
              <w:rPr>
                <w:rFonts w:ascii="Calibri" w:hAnsi="Calibri"/>
                <w:b/>
                <w:color w:val="FFFFFF"/>
                <w:sz w:val="17"/>
              </w:rPr>
              <w:t>Role</w:t>
            </w:r>
          </w:p>
        </w:tc>
        <w:tc>
          <w:tcPr>
            <w:tcW w:type="dxa" w:w="1928"/>
            <w:shd w:val="clear" w:color="auto" w:fill="10375C"/>
          </w:tcPr>
          <w:p>
            <w:pPr>
              <w:spacing w:after="40" w:before="40"/>
            </w:pPr>
            <w:r>
              <w:rPr>
                <w:rFonts w:ascii="Calibri" w:hAnsi="Calibri"/>
                <w:b/>
                <w:color w:val="FFFFFF"/>
                <w:sz w:val="17"/>
              </w:rPr>
              <w:t>Name</w:t>
            </w:r>
          </w:p>
        </w:tc>
        <w:tc>
          <w:tcPr>
            <w:tcW w:type="dxa" w:w="3628"/>
            <w:shd w:val="clear" w:color="auto" w:fill="10375C"/>
          </w:tcPr>
          <w:p>
            <w:pPr>
              <w:spacing w:after="40" w:before="40"/>
            </w:pPr>
            <w:r>
              <w:rPr>
                <w:rFonts w:ascii="Calibri" w:hAnsi="Calibri"/>
                <w:b/>
                <w:color w:val="FFFFFF"/>
                <w:sz w:val="17"/>
              </w:rPr>
              <w:t>Responsibility</w:t>
            </w:r>
          </w:p>
        </w:tc>
        <w:tc>
          <w:tcPr>
            <w:tcW w:type="dxa" w:w="1814"/>
            <w:shd w:val="clear" w:color="auto" w:fill="10375C"/>
          </w:tcPr>
          <w:p>
            <w:pPr>
              <w:spacing w:after="40" w:before="40"/>
            </w:pPr>
            <w:r>
              <w:rPr>
                <w:rFonts w:ascii="Calibri" w:hAnsi="Calibri"/>
                <w:b/>
                <w:color w:val="FFFFFF"/>
                <w:sz w:val="17"/>
              </w:rPr>
              <w:t>Signature / date</w:t>
            </w:r>
          </w:p>
        </w:tc>
      </w:tr>
      <w:tr>
        <w:tc>
          <w:tcPr>
            <w:tcW w:type="dxa" w:w="2098"/>
          </w:tcPr>
          <w:p>
            <w:pPr>
              <w:spacing w:after="40" w:before="40"/>
            </w:pPr>
            <w:r>
              <w:rPr>
                <w:rFonts w:ascii="Calibri" w:hAnsi="Calibri"/>
                <w:sz w:val="17"/>
              </w:rPr>
              <w:t>Preparer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Drafting and factual accuracy</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Reviewer — Legal</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Statutory compliance; clause risk</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Reviewer — Finance</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Pricing, tax and revenue treatment</w:t>
            </w:r>
          </w:p>
        </w:tc>
        <w:tc>
          <w:tcPr>
            <w:tcW w:type="dxa" w:w="1814"/>
          </w:tcPr>
          <w:p>
            <w:pPr>
              <w:spacing w:after="40" w:before="40"/>
            </w:pPr>
            <w:r>
              <w:rPr>
                <w:rFonts w:ascii="Calibri" w:hAnsi="Calibri"/>
                <w:sz w:val="17"/>
              </w:rPr>
            </w:r>
          </w:p>
        </w:tc>
      </w:tr>
      <w:tr>
        <w:tc>
          <w:tcPr>
            <w:tcW w:type="dxa" w:w="2098"/>
            <w:shd w:val="clear" w:color="auto" w:fill="EAF1F4"/>
          </w:tcPr>
          <w:p>
            <w:pPr>
              <w:spacing w:after="40" w:before="40"/>
            </w:pPr>
            <w:r>
              <w:rPr>
                <w:rFonts w:ascii="Calibri" w:hAnsi="Calibri"/>
                <w:sz w:val="17"/>
              </w:rPr>
              <w:t>Data Protection Officer</w:t>
            </w:r>
          </w:p>
        </w:tc>
        <w:tc>
          <w:tcPr>
            <w:tcW w:type="dxa" w:w="1928"/>
            <w:shd w:val="clear" w:color="auto" w:fill="EAF1F4"/>
          </w:tcPr>
          <w:p>
            <w:pPr>
              <w:spacing w:after="40" w:before="40"/>
            </w:pPr>
            <w:r>
              <w:rPr>
                <w:rFonts w:ascii="Calibri" w:hAnsi="Calibri"/>
                <w:sz w:val="17"/>
              </w:rPr>
              <w:t>[●]</w:t>
            </w:r>
          </w:p>
        </w:tc>
        <w:tc>
          <w:tcPr>
            <w:tcW w:type="dxa" w:w="3628"/>
            <w:shd w:val="clear" w:color="auto" w:fill="EAF1F4"/>
          </w:tcPr>
          <w:p>
            <w:pPr>
              <w:spacing w:after="40" w:before="40"/>
            </w:pPr>
            <w:r>
              <w:rPr>
                <w:rFonts w:ascii="Calibri" w:hAnsi="Calibri"/>
                <w:sz w:val="17"/>
              </w:rPr>
              <w:t>DPDP Act 2023 and Rules 2025 compliance</w:t>
            </w:r>
          </w:p>
        </w:tc>
        <w:tc>
          <w:tcPr>
            <w:tcW w:type="dxa" w:w="1814"/>
            <w:shd w:val="clear" w:color="auto" w:fill="EAF1F4"/>
          </w:tcPr>
          <w:p>
            <w:pPr>
              <w:spacing w:after="40" w:before="40"/>
            </w:pPr>
            <w:r>
              <w:rPr>
                <w:rFonts w:ascii="Calibri" w:hAnsi="Calibri"/>
                <w:sz w:val="17"/>
              </w:rPr>
            </w:r>
          </w:p>
        </w:tc>
      </w:tr>
      <w:tr>
        <w:tc>
          <w:tcPr>
            <w:tcW w:type="dxa" w:w="2098"/>
          </w:tcPr>
          <w:p>
            <w:pPr>
              <w:spacing w:after="40" w:before="40"/>
            </w:pPr>
            <w:r>
              <w:rPr>
                <w:rFonts w:ascii="Calibri" w:hAnsi="Calibri"/>
                <w:sz w:val="17"/>
              </w:rPr>
              <w:t>Approver</w:t>
            </w:r>
          </w:p>
        </w:tc>
        <w:tc>
          <w:tcPr>
            <w:tcW w:type="dxa" w:w="1928"/>
          </w:tcPr>
          <w:p>
            <w:pPr>
              <w:spacing w:after="40" w:before="40"/>
            </w:pPr>
            <w:r>
              <w:rPr>
                <w:rFonts w:ascii="Calibri" w:hAnsi="Calibri"/>
                <w:sz w:val="17"/>
              </w:rPr>
              <w:t>[●]</w:t>
            </w:r>
          </w:p>
        </w:tc>
        <w:tc>
          <w:tcPr>
            <w:tcW w:type="dxa" w:w="3628"/>
          </w:tcPr>
          <w:p>
            <w:pPr>
              <w:spacing w:after="40" w:before="40"/>
            </w:pPr>
            <w:r>
              <w:rPr>
                <w:rFonts w:ascii="Calibri" w:hAnsi="Calibri"/>
                <w:sz w:val="17"/>
              </w:rPr>
              <w:t>Final approval for issue</w:t>
            </w:r>
          </w:p>
        </w:tc>
        <w:tc>
          <w:tcPr>
            <w:tcW w:type="dxa" w:w="1814"/>
          </w:tcPr>
          <w:p>
            <w:pPr>
              <w:spacing w:after="40" w:before="40"/>
            </w:pPr>
            <w:r>
              <w:rPr>
                <w:rFonts w:ascii="Calibri" w:hAnsi="Calibri"/>
                <w:sz w:val="17"/>
              </w:rPr>
            </w:r>
          </w:p>
        </w:tc>
      </w:tr>
    </w:tbl>
    <w:p>
      <w:pPr>
        <w:spacing w:before="240" w:after="80"/>
        <w:keepNext w:val="1"/>
      </w:pPr>
      <w:r>
        <w:rPr>
          <w:rFonts w:ascii="Calibri" w:hAnsi="Calibri"/>
          <w:b/>
          <w:color w:val="0E7C7B"/>
          <w:sz w:val="22"/>
        </w:rPr>
        <w:t>Distribution and related documents</w:t>
      </w:r>
    </w:p>
    <w:tbl>
      <w:tblPr>
        <w:tblW w:type="auto" w:w="0"/>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2608"/>
            <w:shd w:val="clear" w:color="auto" w:fill="10375C"/>
          </w:tcPr>
          <w:p>
            <w:pPr>
              <w:spacing w:after="40" w:before="40"/>
            </w:pPr>
            <w:r>
              <w:rPr>
                <w:rFonts w:ascii="Calibri" w:hAnsi="Calibri"/>
                <w:b/>
                <w:color w:val="FFFFFF"/>
                <w:sz w:val="17"/>
              </w:rPr>
              <w:t>Item</w:t>
            </w:r>
          </w:p>
        </w:tc>
        <w:tc>
          <w:tcPr>
            <w:tcW w:type="dxa" w:w="6860"/>
            <w:shd w:val="clear" w:color="auto" w:fill="10375C"/>
          </w:tcPr>
          <w:p>
            <w:pPr>
              <w:spacing w:after="40" w:before="40"/>
            </w:pPr>
            <w:r>
              <w:rPr>
                <w:rFonts w:ascii="Calibri" w:hAnsi="Calibri"/>
                <w:b/>
                <w:color w:val="FFFFFF"/>
                <w:sz w:val="17"/>
              </w:rPr>
              <w:t>Detail</w:t>
            </w:r>
          </w:p>
        </w:tc>
      </w:tr>
      <w:tr>
        <w:tc>
          <w:tcPr>
            <w:tcW w:type="dxa" w:w="2608"/>
          </w:tcPr>
          <w:p>
            <w:pPr>
              <w:spacing w:after="40" w:before="40"/>
            </w:pPr>
            <w:r>
              <w:rPr>
                <w:rFonts w:ascii="Calibri" w:hAnsi="Calibri"/>
                <w:sz w:val="17"/>
              </w:rPr>
              <w:t>Primary distribution</w:t>
            </w:r>
          </w:p>
        </w:tc>
        <w:tc>
          <w:tcPr>
            <w:tcW w:type="dxa" w:w="6860"/>
          </w:tcPr>
          <w:p>
            <w:pPr>
              <w:spacing w:after="40" w:before="40"/>
            </w:pPr>
            <w:r>
              <w:rPr>
                <w:rFonts w:ascii="Calibri" w:hAnsi="Calibri"/>
                <w:sz w:val="17"/>
              </w:rPr>
              <w:t>Managing Director; Director — Academic Partnerships; Legal; Finance</w:t>
            </w:r>
          </w:p>
        </w:tc>
      </w:tr>
      <w:tr>
        <w:tc>
          <w:tcPr>
            <w:tcW w:type="dxa" w:w="2608"/>
            <w:shd w:val="clear" w:color="auto" w:fill="EAF1F4"/>
          </w:tcPr>
          <w:p>
            <w:pPr>
              <w:spacing w:after="40" w:before="40"/>
            </w:pPr>
            <w:r>
              <w:rPr>
                <w:rFonts w:ascii="Calibri" w:hAnsi="Calibri"/>
                <w:sz w:val="17"/>
              </w:rPr>
              <w:t>Counterparty distribution</w:t>
            </w:r>
          </w:p>
        </w:tc>
        <w:tc>
          <w:tcPr>
            <w:tcW w:type="dxa" w:w="6860"/>
            <w:shd w:val="clear" w:color="auto" w:fill="EAF1F4"/>
          </w:tcPr>
          <w:p>
            <w:pPr>
              <w:spacing w:after="40" w:before="40"/>
            </w:pPr>
            <w:r>
              <w:rPr>
                <w:rFonts w:ascii="Calibri" w:hAnsi="Calibri"/>
                <w:sz w:val="17"/>
              </w:rPr>
              <w:t>Not for external release without approval</w:t>
            </w:r>
          </w:p>
        </w:tc>
      </w:tr>
      <w:tr>
        <w:tc>
          <w:tcPr>
            <w:tcW w:type="dxa" w:w="2608"/>
          </w:tcPr>
          <w:p>
            <w:pPr>
              <w:spacing w:after="40" w:before="40"/>
            </w:pPr>
            <w:r>
              <w:rPr>
                <w:rFonts w:ascii="Calibri" w:hAnsi="Calibri"/>
                <w:sz w:val="17"/>
              </w:rPr>
              <w:t>Related documents</w:t>
            </w:r>
          </w:p>
        </w:tc>
        <w:tc>
          <w:tcPr>
            <w:tcW w:type="dxa" w:w="6860"/>
          </w:tcPr>
          <w:p>
            <w:pPr>
              <w:spacing w:after="40" w:before="40"/>
            </w:pPr>
            <w:r>
              <w:rPr>
                <w:rFonts w:ascii="Calibri" w:hAnsi="Calibri"/>
                <w:sz w:val="17"/>
              </w:rPr>
              <w:t>See 00 — READ ME, University Partnership Programme</w:t>
            </w:r>
          </w:p>
        </w:tc>
      </w:tr>
      <w:tr>
        <w:tc>
          <w:tcPr>
            <w:tcW w:type="dxa" w:w="2608"/>
            <w:shd w:val="clear" w:color="auto" w:fill="EAF1F4"/>
          </w:tcPr>
          <w:p>
            <w:pPr>
              <w:spacing w:after="40" w:before="40"/>
            </w:pPr>
            <w:r>
              <w:rPr>
                <w:rFonts w:ascii="Calibri" w:hAnsi="Calibri"/>
                <w:sz w:val="17"/>
              </w:rPr>
              <w:t>Retention</w:t>
            </w:r>
          </w:p>
        </w:tc>
        <w:tc>
          <w:tcPr>
            <w:tcW w:type="dxa" w:w="6860"/>
            <w:shd w:val="clear" w:color="auto" w:fill="EAF1F4"/>
          </w:tcPr>
          <w:p>
            <w:pPr>
              <w:spacing w:after="40" w:before="40"/>
            </w:pPr>
            <w:r>
              <w:rPr>
                <w:rFonts w:ascii="Calibri" w:hAnsi="Calibri"/>
                <w:sz w:val="17"/>
              </w:rPr>
              <w:t>7 years from expiry of the related MOU, unless a longer statutory period applies</w:t>
            </w:r>
          </w:p>
        </w:tc>
      </w:tr>
      <w:tr>
        <w:tc>
          <w:tcPr>
            <w:tcW w:type="dxa" w:w="2608"/>
          </w:tcPr>
          <w:p>
            <w:pPr>
              <w:spacing w:after="40" w:before="40"/>
            </w:pPr>
            <w:r>
              <w:rPr>
                <w:rFonts w:ascii="Calibri" w:hAnsi="Calibri"/>
                <w:sz w:val="17"/>
              </w:rPr>
              <w:t>Review cycle</w:t>
            </w:r>
          </w:p>
        </w:tc>
        <w:tc>
          <w:tcPr>
            <w:tcW w:type="dxa" w:w="6860"/>
          </w:tcPr>
          <w:p>
            <w:pPr>
              <w:spacing w:after="40" w:before="40"/>
            </w:pPr>
            <w:r>
              <w:rPr>
                <w:rFonts w:ascii="Calibri" w:hAnsi="Calibri"/>
                <w:sz w:val="17"/>
              </w:rPr>
              <w:t>Annual, or on any change of law affecting the subject matter</w:t>
            </w:r>
          </w:p>
        </w:tc>
      </w:tr>
    </w:tbl>
    <w:p>
      <w:r>
        <w:br w:type="page"/>
      </w:r>
    </w:p>
    <w:p>
      <w:pPr>
        <w:spacing w:after="160"/>
        <w:pBdr>
          <w:bottom w:val="single" w:sz="10" w:space="4" w:color="0E7C7B"/>
        </w:pBdr>
      </w:pPr>
      <w:r>
        <w:rPr>
          <w:rFonts w:ascii="Calibri" w:hAnsi="Calibri"/>
          <w:b/>
          <w:color w:val="10375C"/>
          <w:sz w:val="31"/>
        </w:rPr>
        <w:t>Contents</w:t>
      </w:r>
    </w:p>
    <w:p>
      <w:r>
        <w:rPr>
          <w:i/>
          <w:color w:val="595959"/>
          <w:sz w:val="16"/>
        </w:rPr>
        <w:t>This table of contents is a live field. Open in Word, select all (Ctrl+A) and press F9 to populate or refresh it.</w:t>
      </w:r>
    </w:p>
    <w:p>
      <w:r>
        <w:fldChar w:fldCharType="begin"/>
      </w:r>
      <w:r>
        <w:instrText xml:space="preserve"> TOC \o "1-3" \h \z \u </w:instrText>
      </w:r>
      <w:r>
        <w:fldChar w:fldCharType="separate"/>
      </w:r>
      <w:r>
        <w:t>…</w:t>
      </w:r>
      <w:r>
        <w:fldChar w:fldCharType="end"/>
      </w:r>
    </w:p>
    <w:p>
      <w:r>
        <w:br w:type="page"/>
      </w:r>
    </w:p>
    <w:p>
      <w:pPr>
        <w:pStyle w:val="Heading1"/>
        <w:pBdr>
          <w:bottom w:val="single" w:sz="8" w:space="4" w:color="C9D6DE"/>
        </w:pBdr>
      </w:pPr>
      <w:r>
        <w:t>1. What makes this a faculty programme</w:t>
      </w:r>
    </w:p>
    <w:p>
      <w:r>
        <w:t xml:space="preserve">Most so-called faculty development programmes are ordinary training courses with faculty sitting in the room. This one is not. </w:t>
      </w:r>
      <w:r>
        <w:rPr>
          <w:b/>
        </w:rPr>
        <w:t>Half of the contact time is about pedagogy</w:t>
      </w:r>
      <w:r>
        <w:t xml:space="preserve"> — how to design a simulation, how to run a debrief, how to assess a skill rather than a body of knowledge, and how to build a clinic that survives the departure of the person who founded it.</w:t>
      </w:r>
    </w:p>
    <w:p>
      <w:r>
        <w:t>That is what a Dean is actually buying. It is also what makes the programme defensible at ₹3.5 lakh when a student course costs a fraction of that.</w:t>
      </w:r>
    </w:p>
    <w:p>
      <w:pPr>
        <w:pStyle w:val="Heading2"/>
      </w:pPr>
      <w:r>
        <w:t>1.1 Objectives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861"/>
            <w:shd w:val="clear" w:color="auto" w:fill="10375C"/>
          </w:tcPr>
          <w:p>
            <w:pPr>
              <w:spacing w:after="50" w:before="50"/>
            </w:pPr>
            <w:r>
              <w:rPr>
                <w:b/>
                <w:color w:val="FFFFFF"/>
                <w:sz w:val="17"/>
              </w:rPr>
              <w:t>#</w:t>
            </w:r>
          </w:p>
        </w:tc>
        <w:tc>
          <w:tcPr>
            <w:tcW w:type="dxa" w:w="8607"/>
            <w:shd w:val="clear" w:color="auto" w:fill="10375C"/>
          </w:tcPr>
          <w:p>
            <w:pPr>
              <w:spacing w:after="50" w:before="50"/>
            </w:pPr>
            <w:r>
              <w:rPr>
                <w:b/>
                <w:color w:val="FFFFFF"/>
                <w:sz w:val="17"/>
              </w:rPr>
              <w:t>Objective</w:t>
            </w:r>
          </w:p>
        </w:tc>
      </w:tr>
      <w:tr>
        <w:tc>
          <w:tcPr>
            <w:tcW w:type="dxa" w:w="861"/>
          </w:tcPr>
          <w:p>
            <w:pPr>
              <w:spacing w:after="50" w:before="50" w:line="252" w:lineRule="auto"/>
            </w:pPr>
            <w:r>
              <w:rPr>
                <w:sz w:val="17"/>
              </w:rPr>
              <w:t>1</w:t>
            </w:r>
          </w:p>
        </w:tc>
        <w:tc>
          <w:tcPr>
            <w:tcW w:type="dxa" w:w="8607"/>
          </w:tcPr>
          <w:p>
            <w:pPr>
              <w:spacing w:after="50" w:before="50" w:line="252" w:lineRule="auto"/>
            </w:pPr>
            <w:r>
              <w:rPr>
                <w:sz w:val="17"/>
              </w:rPr>
              <w:t>Equip faculty with substantive command of the Indian ADR framework as it now stands</w:t>
            </w:r>
          </w:p>
        </w:tc>
      </w:tr>
      <w:tr>
        <w:tc>
          <w:tcPr>
            <w:tcW w:type="dxa" w:w="861"/>
            <w:shd w:val="clear" w:color="auto" w:fill="EAF1F4"/>
          </w:tcPr>
          <w:p>
            <w:pPr>
              <w:spacing w:after="50" w:before="50" w:line="252" w:lineRule="auto"/>
            </w:pPr>
            <w:r>
              <w:rPr>
                <w:sz w:val="17"/>
              </w:rPr>
              <w:t>2</w:t>
            </w:r>
          </w:p>
        </w:tc>
        <w:tc>
          <w:tcPr>
            <w:tcW w:type="dxa" w:w="8607"/>
            <w:shd w:val="clear" w:color="auto" w:fill="EAF1F4"/>
          </w:tcPr>
          <w:p>
            <w:pPr>
              <w:spacing w:after="50" w:before="50" w:line="252" w:lineRule="auto"/>
            </w:pPr>
            <w:r>
              <w:rPr>
                <w:sz w:val="17"/>
              </w:rPr>
              <w:t>Develop personal mediation skill to a working standard</w:t>
            </w:r>
          </w:p>
        </w:tc>
      </w:tr>
      <w:tr>
        <w:tc>
          <w:tcPr>
            <w:tcW w:type="dxa" w:w="861"/>
          </w:tcPr>
          <w:p>
            <w:pPr>
              <w:spacing w:after="50" w:before="50" w:line="252" w:lineRule="auto"/>
            </w:pPr>
            <w:r>
              <w:rPr>
                <w:sz w:val="17"/>
              </w:rPr>
              <w:t>3</w:t>
            </w:r>
          </w:p>
        </w:tc>
        <w:tc>
          <w:tcPr>
            <w:tcW w:type="dxa" w:w="8607"/>
          </w:tcPr>
          <w:p>
            <w:pPr>
              <w:spacing w:after="50" w:before="50" w:line="252" w:lineRule="auto"/>
            </w:pPr>
            <w:r>
              <w:rPr>
                <w:b/>
                <w:sz w:val="17"/>
              </w:rPr>
              <w:t>Develop the capability to teach mediation experientially</w:t>
            </w:r>
          </w:p>
        </w:tc>
      </w:tr>
      <w:tr>
        <w:tc>
          <w:tcPr>
            <w:tcW w:type="dxa" w:w="861"/>
            <w:shd w:val="clear" w:color="auto" w:fill="EAF1F4"/>
          </w:tcPr>
          <w:p>
            <w:pPr>
              <w:spacing w:after="50" w:before="50" w:line="252" w:lineRule="auto"/>
            </w:pPr>
            <w:r>
              <w:rPr>
                <w:sz w:val="17"/>
              </w:rPr>
              <w:t>4</w:t>
            </w:r>
          </w:p>
        </w:tc>
        <w:tc>
          <w:tcPr>
            <w:tcW w:type="dxa" w:w="8607"/>
            <w:shd w:val="clear" w:color="auto" w:fill="EAF1F4"/>
          </w:tcPr>
          <w:p>
            <w:pPr>
              <w:spacing w:after="50" w:before="50" w:line="252" w:lineRule="auto"/>
            </w:pPr>
            <w:r>
              <w:rPr>
                <w:sz w:val="17"/>
              </w:rPr>
              <w:t>Enable each participant to design and run a simulation and a debrief</w:t>
            </w:r>
          </w:p>
        </w:tc>
      </w:tr>
      <w:tr>
        <w:tc>
          <w:tcPr>
            <w:tcW w:type="dxa" w:w="861"/>
          </w:tcPr>
          <w:p>
            <w:pPr>
              <w:spacing w:after="50" w:before="50" w:line="252" w:lineRule="auto"/>
            </w:pPr>
            <w:r>
              <w:rPr>
                <w:sz w:val="17"/>
              </w:rPr>
              <w:t>5</w:t>
            </w:r>
          </w:p>
        </w:tc>
        <w:tc>
          <w:tcPr>
            <w:tcW w:type="dxa" w:w="8607"/>
          </w:tcPr>
          <w:p>
            <w:pPr>
              <w:spacing w:after="50" w:before="50" w:line="252" w:lineRule="auto"/>
            </w:pPr>
            <w:r>
              <w:rPr>
                <w:sz w:val="17"/>
              </w:rPr>
              <w:t>Enable assessment of skill, not merely of knowledge</w:t>
            </w:r>
          </w:p>
        </w:tc>
      </w:tr>
      <w:tr>
        <w:tc>
          <w:tcPr>
            <w:tcW w:type="dxa" w:w="861"/>
            <w:shd w:val="clear" w:color="auto" w:fill="EAF1F4"/>
          </w:tcPr>
          <w:p>
            <w:pPr>
              <w:spacing w:after="50" w:before="50" w:line="252" w:lineRule="auto"/>
            </w:pPr>
            <w:r>
              <w:rPr>
                <w:sz w:val="17"/>
              </w:rPr>
              <w:t>6</w:t>
            </w:r>
          </w:p>
        </w:tc>
        <w:tc>
          <w:tcPr>
            <w:tcW w:type="dxa" w:w="8607"/>
            <w:shd w:val="clear" w:color="auto" w:fill="EAF1F4"/>
          </w:tcPr>
          <w:p>
            <w:pPr>
              <w:spacing w:after="50" w:before="50" w:line="252" w:lineRule="auto"/>
            </w:pPr>
            <w:r>
              <w:rPr>
                <w:sz w:val="17"/>
              </w:rPr>
              <w:t>Support the design of a functioning ADR clinic or mediation cell</w:t>
            </w:r>
          </w:p>
        </w:tc>
      </w:tr>
      <w:tr>
        <w:tc>
          <w:tcPr>
            <w:tcW w:type="dxa" w:w="861"/>
          </w:tcPr>
          <w:p>
            <w:pPr>
              <w:spacing w:after="50" w:before="50" w:line="252" w:lineRule="auto"/>
            </w:pPr>
            <w:r>
              <w:rPr>
                <w:sz w:val="17"/>
              </w:rPr>
              <w:t>7</w:t>
            </w:r>
          </w:p>
        </w:tc>
        <w:tc>
          <w:tcPr>
            <w:tcW w:type="dxa" w:w="8607"/>
          </w:tcPr>
          <w:p>
            <w:pPr>
              <w:spacing w:after="50" w:before="50" w:line="252" w:lineRule="auto"/>
            </w:pPr>
            <w:r>
              <w:rPr>
                <w:sz w:val="17"/>
              </w:rPr>
              <w:t>Introduce empirical research methods in dispute resolution</w:t>
            </w:r>
          </w:p>
        </w:tc>
      </w:tr>
      <w:tr>
        <w:tc>
          <w:tcPr>
            <w:tcW w:type="dxa" w:w="861"/>
            <w:shd w:val="clear" w:color="auto" w:fill="EAF1F4"/>
          </w:tcPr>
          <w:p>
            <w:pPr>
              <w:spacing w:after="50" w:before="50" w:line="252" w:lineRule="auto"/>
            </w:pPr>
            <w:r>
              <w:rPr>
                <w:sz w:val="17"/>
              </w:rPr>
              <w:t>8</w:t>
            </w:r>
          </w:p>
        </w:tc>
        <w:tc>
          <w:tcPr>
            <w:tcW w:type="dxa" w:w="8607"/>
            <w:shd w:val="clear" w:color="auto" w:fill="EAF1F4"/>
          </w:tcPr>
          <w:p>
            <w:pPr>
              <w:spacing w:after="50" w:before="50" w:line="252" w:lineRule="auto"/>
            </w:pPr>
            <w:r>
              <w:rPr>
                <w:sz w:val="17"/>
              </w:rPr>
              <w:t>Create a route into professional association — empanelment, co-authorship, assessing</w:t>
            </w:r>
          </w:p>
        </w:tc>
      </w:tr>
    </w:tbl>
    <w:p>
      <w:pPr>
        <w:spacing w:after="80" w:before="0"/>
      </w:pPr>
    </w:p>
    <w:p>
      <w:pPr>
        <w:pStyle w:val="Heading2"/>
      </w:pPr>
      <w:r>
        <w:t>1.2 Outputs each participant leaves with</w:t>
      </w:r>
    </w:p>
    <w:p>
      <w:pPr>
        <w:pStyle w:val="ListNumber"/>
      </w:pPr>
      <w:r>
        <w:rPr>
          <w:sz w:val="21"/>
        </w:rPr>
        <w:t>One simulation of their own design, peer-reviewed, ready to run.</w:t>
      </w:r>
    </w:p>
    <w:p>
      <w:pPr>
        <w:pStyle w:val="ListNumber"/>
      </w:pPr>
      <w:r>
        <w:rPr>
          <w:sz w:val="21"/>
        </w:rPr>
        <w:t>A session plan for a three-hour experiential class.</w:t>
      </w:r>
    </w:p>
    <w:p>
      <w:pPr>
        <w:pStyle w:val="ListNumber"/>
      </w:pPr>
      <w:r>
        <w:rPr>
          <w:sz w:val="21"/>
        </w:rPr>
        <w:t>An assessment rubric for a mediation skills component.</w:t>
      </w:r>
    </w:p>
    <w:p>
      <w:pPr>
        <w:pStyle w:val="ListNumber"/>
      </w:pPr>
      <w:r>
        <w:rPr>
          <w:sz w:val="21"/>
        </w:rPr>
        <w:t>An outline design for a clinic or mediation cell suited to their institution.</w:t>
      </w:r>
    </w:p>
    <w:p>
      <w:pPr>
        <w:pStyle w:val="ListNumber"/>
      </w:pPr>
      <w:r>
        <w:rPr>
          <w:sz w:val="21"/>
        </w:rPr>
        <w:t>A research question and a method note.</w:t>
      </w:r>
    </w:p>
    <w:p>
      <w:pPr>
        <w:spacing w:before="80" w:after="160"/>
        <w:pBdr>
          <w:bottom w:val="single" w:sz="6" w:space="1" w:color="C9D6DE"/>
        </w:pBdr>
      </w:pPr>
    </w:p>
    <w:p>
      <w:pPr>
        <w:pStyle w:val="Heading1"/>
        <w:pBdr>
          <w:bottom w:val="single" w:sz="8" w:space="4" w:color="C9D6DE"/>
        </w:pBdr>
      </w:pPr>
      <w:r>
        <w:t>2. Session plan</w:t>
      </w:r>
    </w:p>
    <w:p>
      <w:pPr>
        <w:pStyle w:val="Heading2"/>
      </w:pPr>
      <w:r>
        <w:t>Day 1 · The framework, and what has changed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76"/>
            <w:shd w:val="clear" w:color="auto" w:fill="10375C"/>
          </w:tcPr>
          <w:p>
            <w:pPr>
              <w:spacing w:after="50" w:before="50"/>
            </w:pPr>
            <w:r>
              <w:rPr>
                <w:b/>
                <w:color w:val="FFFFFF"/>
                <w:sz w:val="17"/>
              </w:rPr>
              <w:t>Time</w:t>
            </w:r>
          </w:p>
        </w:tc>
        <w:tc>
          <w:tcPr>
            <w:tcW w:type="dxa" w:w="7692"/>
            <w:shd w:val="clear" w:color="auto" w:fill="10375C"/>
          </w:tcPr>
          <w:p>
            <w:pPr>
              <w:spacing w:after="50" w:before="50"/>
            </w:pPr>
            <w:r>
              <w:rPr>
                <w:b/>
                <w:color w:val="FFFFFF"/>
                <w:sz w:val="17"/>
              </w:rPr>
              <w:t>Session</w:t>
            </w:r>
          </w:p>
        </w:tc>
      </w:tr>
      <w:tr>
        <w:tc>
          <w:tcPr>
            <w:tcW w:type="dxa" w:w="1776"/>
          </w:tcPr>
          <w:p>
            <w:pPr>
              <w:spacing w:after="50" w:before="50" w:line="252" w:lineRule="auto"/>
            </w:pPr>
            <w:r>
              <w:rPr>
                <w:sz w:val="17"/>
              </w:rPr>
              <w:t>09:00–09:45</w:t>
            </w:r>
          </w:p>
        </w:tc>
        <w:tc>
          <w:tcPr>
            <w:tcW w:type="dxa" w:w="7692"/>
          </w:tcPr>
          <w:p>
            <w:pPr>
              <w:spacing w:after="50" w:before="50" w:line="252" w:lineRule="auto"/>
            </w:pPr>
            <w:r>
              <w:rPr>
                <w:sz w:val="17"/>
              </w:rPr>
              <w:t>Opening; participant objectives; what this programme is and is not</w:t>
            </w:r>
          </w:p>
        </w:tc>
      </w:tr>
      <w:tr>
        <w:tc>
          <w:tcPr>
            <w:tcW w:type="dxa" w:w="1776"/>
            <w:shd w:val="clear" w:color="auto" w:fill="EAF1F4"/>
          </w:tcPr>
          <w:p>
            <w:pPr>
              <w:spacing w:after="50" w:before="50" w:line="252" w:lineRule="auto"/>
            </w:pPr>
            <w:r>
              <w:rPr>
                <w:sz w:val="17"/>
              </w:rPr>
              <w:t>09:45–11:15</w:t>
            </w:r>
          </w:p>
        </w:tc>
        <w:tc>
          <w:tcPr>
            <w:tcW w:type="dxa" w:w="7692"/>
            <w:shd w:val="clear" w:color="auto" w:fill="EAF1F4"/>
          </w:tcPr>
          <w:p>
            <w:pPr>
              <w:spacing w:after="50" w:before="50" w:line="252" w:lineRule="auto"/>
            </w:pPr>
            <w:r>
              <w:rPr>
                <w:b/>
                <w:sz w:val="17"/>
              </w:rPr>
              <w:t>The Mediation Act, 2023 in operation.</w:t>
            </w:r>
            <w:r>
              <w:rPr>
                <w:sz w:val="17"/>
              </w:rPr>
              <w:t xml:space="preserve"> Pre-litigation mediation; confidentiality under section 22 and its consequences for teaching; the 120-day clock; enforcement of mediated settlement agreements; the contemplated Mediation Council and the current accreditation position</w:t>
            </w:r>
          </w:p>
        </w:tc>
      </w:tr>
      <w:tr>
        <w:tc>
          <w:tcPr>
            <w:tcW w:type="dxa" w:w="1776"/>
          </w:tcPr>
          <w:p>
            <w:pPr>
              <w:spacing w:after="50" w:before="50" w:line="252" w:lineRule="auto"/>
            </w:pPr>
            <w:r>
              <w:rPr>
                <w:sz w:val="17"/>
              </w:rPr>
              <w:t>11:30–13:00</w:t>
            </w:r>
          </w:p>
        </w:tc>
        <w:tc>
          <w:tcPr>
            <w:tcW w:type="dxa" w:w="7692"/>
          </w:tcPr>
          <w:p>
            <w:pPr>
              <w:spacing w:after="50" w:before="50" w:line="252" w:lineRule="auto"/>
            </w:pPr>
            <w:r>
              <w:rPr>
                <w:b/>
                <w:sz w:val="17"/>
              </w:rPr>
              <w:t>Section 12A of the Commercial Courts Act, 2015.</w:t>
            </w:r>
            <w:r>
              <w:rPr>
                <w:sz w:val="17"/>
              </w:rPr>
              <w:t xml:space="preserve"> The mandatory character of pre-institution mediation, </w:t>
            </w:r>
            <w:r>
              <w:rPr>
                <w:i/>
                <w:sz w:val="17"/>
              </w:rPr>
              <w:t>Patil Automation</w:t>
            </w:r>
            <w:r>
              <w:rPr>
                <w:sz w:val="17"/>
              </w:rPr>
              <w:t>, the urgent-relief exception, and why this changes what a commercial litigator must now know</w:t>
            </w:r>
          </w:p>
        </w:tc>
      </w:tr>
      <w:tr>
        <w:tc>
          <w:tcPr>
            <w:tcW w:type="dxa" w:w="1776"/>
            <w:shd w:val="clear" w:color="auto" w:fill="EAF1F4"/>
          </w:tcPr>
          <w:p>
            <w:pPr>
              <w:spacing w:after="50" w:before="50" w:line="252" w:lineRule="auto"/>
            </w:pPr>
            <w:r>
              <w:rPr>
                <w:sz w:val="17"/>
              </w:rPr>
              <w:t>14:00–15:30</w:t>
            </w:r>
          </w:p>
        </w:tc>
        <w:tc>
          <w:tcPr>
            <w:tcW w:type="dxa" w:w="7692"/>
            <w:shd w:val="clear" w:color="auto" w:fill="EAF1F4"/>
          </w:tcPr>
          <w:p>
            <w:pPr>
              <w:spacing w:after="50" w:before="50" w:line="252" w:lineRule="auto"/>
            </w:pPr>
            <w:r>
              <w:rPr>
                <w:b/>
                <w:sz w:val="17"/>
              </w:rPr>
              <w:t>The institutional landscape.</w:t>
            </w:r>
            <w:r>
              <w:rPr>
                <w:sz w:val="17"/>
              </w:rPr>
              <w:t xml:space="preserve"> Court-annexed centres, legal services authorities, private providers, online dispute resolution; where graduates actually work</w:t>
            </w:r>
          </w:p>
        </w:tc>
      </w:tr>
      <w:tr>
        <w:tc>
          <w:tcPr>
            <w:tcW w:type="dxa" w:w="1776"/>
          </w:tcPr>
          <w:p>
            <w:pPr>
              <w:spacing w:after="50" w:before="50" w:line="252" w:lineRule="auto"/>
            </w:pPr>
            <w:r>
              <w:rPr>
                <w:sz w:val="17"/>
              </w:rPr>
              <w:t>15:45–17:00</w:t>
            </w:r>
          </w:p>
        </w:tc>
        <w:tc>
          <w:tcPr>
            <w:tcW w:type="dxa" w:w="7692"/>
          </w:tcPr>
          <w:p>
            <w:pPr>
              <w:spacing w:after="50" w:before="50" w:line="252" w:lineRule="auto"/>
            </w:pPr>
            <w:r>
              <w:rPr>
                <w:b/>
                <w:sz w:val="17"/>
              </w:rPr>
              <w:t>Demonstration mediation</w:t>
            </w:r>
            <w:r>
              <w:rPr>
                <w:sz w:val="17"/>
              </w:rPr>
              <w:t xml:space="preserve"> by faculty, with running commentary</w:t>
            </w:r>
          </w:p>
        </w:tc>
      </w:tr>
      <w:tr>
        <w:tc>
          <w:tcPr>
            <w:tcW w:type="dxa" w:w="1776"/>
            <w:shd w:val="clear" w:color="auto" w:fill="EAF1F4"/>
          </w:tcPr>
          <w:p>
            <w:pPr>
              <w:spacing w:after="50" w:before="50" w:line="252" w:lineRule="auto"/>
            </w:pPr>
            <w:r>
              <w:rPr>
                <w:sz w:val="17"/>
              </w:rPr>
              <w:t>17:00–18:00</w:t>
            </w:r>
          </w:p>
        </w:tc>
        <w:tc>
          <w:tcPr>
            <w:tcW w:type="dxa" w:w="7692"/>
            <w:shd w:val="clear" w:color="auto" w:fill="EAF1F4"/>
          </w:tcPr>
          <w:p>
            <w:pPr>
              <w:spacing w:after="50" w:before="50" w:line="252" w:lineRule="auto"/>
            </w:pPr>
            <w:r>
              <w:rPr>
                <w:b/>
                <w:sz w:val="17"/>
              </w:rPr>
              <w:t>Teaching discussion:</w:t>
            </w:r>
            <w:r>
              <w:rPr>
                <w:sz w:val="17"/>
              </w:rPr>
              <w:t xml:space="preserve"> what did you notice that a student would not?</w:t>
            </w:r>
          </w:p>
        </w:tc>
      </w:tr>
    </w:tbl>
    <w:p>
      <w:pPr>
        <w:spacing w:after="80" w:before="0"/>
      </w:pPr>
    </w:p>
    <w:p>
      <w:pPr>
        <w:pStyle w:val="Heading2"/>
      </w:pPr>
      <w:r>
        <w:t>Day 2 · Mediation skills, compressed</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76"/>
            <w:shd w:val="clear" w:color="auto" w:fill="10375C"/>
          </w:tcPr>
          <w:p>
            <w:pPr>
              <w:spacing w:after="50" w:before="50"/>
            </w:pPr>
            <w:r>
              <w:rPr>
                <w:b/>
                <w:color w:val="FFFFFF"/>
                <w:sz w:val="17"/>
              </w:rPr>
              <w:t>Time</w:t>
            </w:r>
          </w:p>
        </w:tc>
        <w:tc>
          <w:tcPr>
            <w:tcW w:type="dxa" w:w="7692"/>
            <w:shd w:val="clear" w:color="auto" w:fill="10375C"/>
          </w:tcPr>
          <w:p>
            <w:pPr>
              <w:spacing w:after="50" w:before="50"/>
            </w:pPr>
            <w:r>
              <w:rPr>
                <w:b/>
                <w:color w:val="FFFFFF"/>
                <w:sz w:val="17"/>
              </w:rPr>
              <w:t>Session</w:t>
            </w:r>
          </w:p>
        </w:tc>
      </w:tr>
      <w:tr>
        <w:tc>
          <w:tcPr>
            <w:tcW w:type="dxa" w:w="1776"/>
          </w:tcPr>
          <w:p>
            <w:pPr>
              <w:spacing w:after="50" w:before="50" w:line="252" w:lineRule="auto"/>
            </w:pPr>
            <w:r>
              <w:rPr>
                <w:sz w:val="17"/>
              </w:rPr>
              <w:t>09:00–10:30</w:t>
            </w:r>
          </w:p>
        </w:tc>
        <w:tc>
          <w:tcPr>
            <w:tcW w:type="dxa" w:w="7692"/>
          </w:tcPr>
          <w:p>
            <w:pPr>
              <w:spacing w:after="50" w:before="50" w:line="252" w:lineRule="auto"/>
            </w:pPr>
            <w:r>
              <w:rPr>
                <w:sz w:val="17"/>
              </w:rPr>
              <w:t>The stages of mediation; the opening; establishing process and authority</w:t>
            </w:r>
          </w:p>
        </w:tc>
      </w:tr>
      <w:tr>
        <w:tc>
          <w:tcPr>
            <w:tcW w:type="dxa" w:w="1776"/>
            <w:shd w:val="clear" w:color="auto" w:fill="EAF1F4"/>
          </w:tcPr>
          <w:p>
            <w:pPr>
              <w:spacing w:after="50" w:before="50" w:line="252" w:lineRule="auto"/>
            </w:pPr>
            <w:r>
              <w:rPr>
                <w:sz w:val="17"/>
              </w:rPr>
              <w:t>10:45–12:15</w:t>
            </w:r>
          </w:p>
        </w:tc>
        <w:tc>
          <w:tcPr>
            <w:tcW w:type="dxa" w:w="7692"/>
            <w:shd w:val="clear" w:color="auto" w:fill="EAF1F4"/>
          </w:tcPr>
          <w:p>
            <w:pPr>
              <w:spacing w:after="50" w:before="50" w:line="252" w:lineRule="auto"/>
            </w:pPr>
            <w:r>
              <w:rPr>
                <w:sz w:val="17"/>
              </w:rPr>
              <w:t>Active listening, questioning, reframing — drills</w:t>
            </w:r>
          </w:p>
        </w:tc>
      </w:tr>
      <w:tr>
        <w:tc>
          <w:tcPr>
            <w:tcW w:type="dxa" w:w="1776"/>
          </w:tcPr>
          <w:p>
            <w:pPr>
              <w:spacing w:after="50" w:before="50" w:line="252" w:lineRule="auto"/>
            </w:pPr>
            <w:r>
              <w:rPr>
                <w:sz w:val="17"/>
              </w:rPr>
              <w:t>12:15–13:15</w:t>
            </w:r>
          </w:p>
        </w:tc>
        <w:tc>
          <w:tcPr>
            <w:tcW w:type="dxa" w:w="7692"/>
          </w:tcPr>
          <w:p>
            <w:pPr>
              <w:spacing w:after="50" w:before="50" w:line="252" w:lineRule="auto"/>
            </w:pPr>
            <w:r>
              <w:rPr>
                <w:sz w:val="17"/>
              </w:rPr>
              <w:t>Interests and positions; the interests grid</w:t>
            </w:r>
          </w:p>
        </w:tc>
      </w:tr>
      <w:tr>
        <w:tc>
          <w:tcPr>
            <w:tcW w:type="dxa" w:w="1776"/>
            <w:shd w:val="clear" w:color="auto" w:fill="EAF1F4"/>
          </w:tcPr>
          <w:p>
            <w:pPr>
              <w:spacing w:after="50" w:before="50" w:line="252" w:lineRule="auto"/>
            </w:pPr>
            <w:r>
              <w:rPr>
                <w:sz w:val="17"/>
              </w:rPr>
              <w:t>14:00–16:00</w:t>
            </w:r>
          </w:p>
        </w:tc>
        <w:tc>
          <w:tcPr>
            <w:tcW w:type="dxa" w:w="7692"/>
            <w:shd w:val="clear" w:color="auto" w:fill="EAF1F4"/>
          </w:tcPr>
          <w:p>
            <w:pPr>
              <w:spacing w:after="50" w:before="50" w:line="252" w:lineRule="auto"/>
            </w:pPr>
            <w:r>
              <w:rPr>
                <w:b/>
                <w:sz w:val="17"/>
              </w:rPr>
              <w:t>Simulation 1</w:t>
            </w:r>
            <w:r>
              <w:rPr>
                <w:sz w:val="17"/>
              </w:rPr>
              <w:t>, participants as mediators, with observation</w:t>
            </w:r>
          </w:p>
        </w:tc>
      </w:tr>
      <w:tr>
        <w:tc>
          <w:tcPr>
            <w:tcW w:type="dxa" w:w="1776"/>
          </w:tcPr>
          <w:p>
            <w:pPr>
              <w:spacing w:after="50" w:before="50" w:line="252" w:lineRule="auto"/>
            </w:pPr>
            <w:r>
              <w:rPr>
                <w:sz w:val="17"/>
              </w:rPr>
              <w:t>16:15–17:15</w:t>
            </w:r>
          </w:p>
        </w:tc>
        <w:tc>
          <w:tcPr>
            <w:tcW w:type="dxa" w:w="7692"/>
          </w:tcPr>
          <w:p>
            <w:pPr>
              <w:spacing w:after="50" w:before="50" w:line="252" w:lineRule="auto"/>
            </w:pPr>
            <w:r>
              <w:rPr>
                <w:sz w:val="17"/>
              </w:rPr>
              <w:t>Structured debrief — and a meta-debrief on how the debrief was run</w:t>
            </w:r>
          </w:p>
        </w:tc>
      </w:tr>
      <w:tr>
        <w:tc>
          <w:tcPr>
            <w:tcW w:type="dxa" w:w="1776"/>
            <w:shd w:val="clear" w:color="auto" w:fill="EAF1F4"/>
          </w:tcPr>
          <w:p>
            <w:pPr>
              <w:spacing w:after="50" w:before="50" w:line="252" w:lineRule="auto"/>
            </w:pPr>
            <w:r>
              <w:rPr>
                <w:sz w:val="17"/>
              </w:rPr>
              <w:t>17:15–18:00</w:t>
            </w:r>
          </w:p>
        </w:tc>
        <w:tc>
          <w:tcPr>
            <w:tcW w:type="dxa" w:w="7692"/>
            <w:shd w:val="clear" w:color="auto" w:fill="EAF1F4"/>
          </w:tcPr>
          <w:p>
            <w:pPr>
              <w:spacing w:after="50" w:before="50" w:line="252" w:lineRule="auto"/>
            </w:pPr>
            <w:r>
              <w:rPr>
                <w:sz w:val="17"/>
              </w:rPr>
              <w:t>Caucus discipline</w:t>
            </w:r>
          </w:p>
        </w:tc>
      </w:tr>
    </w:tbl>
    <w:p>
      <w:pPr>
        <w:spacing w:after="80" w:before="0"/>
      </w:pPr>
    </w:p>
    <w:p>
      <w:pPr>
        <w:pStyle w:val="Heading2"/>
      </w:pPr>
      <w:r>
        <w:t>Day 3 · Skills continued, and the turn to pedagogy</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58"/>
            <w:shd w:val="clear" w:color="auto" w:fill="10375C"/>
          </w:tcPr>
          <w:p>
            <w:pPr>
              <w:spacing w:after="50" w:before="50"/>
            </w:pPr>
            <w:r>
              <w:rPr>
                <w:b/>
                <w:color w:val="FFFFFF"/>
                <w:sz w:val="17"/>
              </w:rPr>
              <w:t>Time</w:t>
            </w:r>
          </w:p>
        </w:tc>
        <w:tc>
          <w:tcPr>
            <w:tcW w:type="dxa" w:w="7710"/>
            <w:shd w:val="clear" w:color="auto" w:fill="10375C"/>
          </w:tcPr>
          <w:p>
            <w:pPr>
              <w:spacing w:after="50" w:before="50"/>
            </w:pPr>
            <w:r>
              <w:rPr>
                <w:b/>
                <w:color w:val="FFFFFF"/>
                <w:sz w:val="17"/>
              </w:rPr>
              <w:t>Session</w:t>
            </w:r>
          </w:p>
        </w:tc>
      </w:tr>
      <w:tr>
        <w:tc>
          <w:tcPr>
            <w:tcW w:type="dxa" w:w="1758"/>
          </w:tcPr>
          <w:p>
            <w:pPr>
              <w:spacing w:after="50" w:before="50" w:line="252" w:lineRule="auto"/>
            </w:pPr>
            <w:r>
              <w:rPr>
                <w:sz w:val="17"/>
              </w:rPr>
              <w:t>09:00–10:30</w:t>
            </w:r>
          </w:p>
        </w:tc>
        <w:tc>
          <w:tcPr>
            <w:tcW w:type="dxa" w:w="7710"/>
          </w:tcPr>
          <w:p>
            <w:pPr>
              <w:spacing w:after="50" w:before="50" w:line="252" w:lineRule="auto"/>
            </w:pPr>
            <w:r>
              <w:rPr>
                <w:sz w:val="17"/>
              </w:rPr>
              <w:t>Negotiation theory; BATNA, WATNA, ZOPA; option generation; reality testing</w:t>
            </w:r>
          </w:p>
        </w:tc>
      </w:tr>
      <w:tr>
        <w:tc>
          <w:tcPr>
            <w:tcW w:type="dxa" w:w="1758"/>
            <w:shd w:val="clear" w:color="auto" w:fill="EAF1F4"/>
          </w:tcPr>
          <w:p>
            <w:pPr>
              <w:spacing w:after="50" w:before="50" w:line="252" w:lineRule="auto"/>
            </w:pPr>
            <w:r>
              <w:rPr>
                <w:sz w:val="17"/>
              </w:rPr>
              <w:t>10:45–12:45</w:t>
            </w:r>
          </w:p>
        </w:tc>
        <w:tc>
          <w:tcPr>
            <w:tcW w:type="dxa" w:w="7710"/>
            <w:shd w:val="clear" w:color="auto" w:fill="EAF1F4"/>
          </w:tcPr>
          <w:p>
            <w:pPr>
              <w:spacing w:after="50" w:before="50" w:line="252" w:lineRule="auto"/>
            </w:pPr>
            <w:r>
              <w:rPr>
                <w:b/>
                <w:sz w:val="17"/>
              </w:rPr>
              <w:t>Simulation 2</w:t>
            </w:r>
            <w:r>
              <w:rPr>
                <w:sz w:val="17"/>
              </w:rPr>
              <w:t>, full cycle including caucus</w:t>
            </w:r>
          </w:p>
        </w:tc>
      </w:tr>
      <w:tr>
        <w:tc>
          <w:tcPr>
            <w:tcW w:type="dxa" w:w="1758"/>
          </w:tcPr>
          <w:p>
            <w:pPr>
              <w:spacing w:after="50" w:before="50" w:line="252" w:lineRule="auto"/>
            </w:pPr>
            <w:r>
              <w:rPr>
                <w:sz w:val="17"/>
              </w:rPr>
              <w:t>12:45–13:30</w:t>
            </w:r>
          </w:p>
        </w:tc>
        <w:tc>
          <w:tcPr>
            <w:tcW w:type="dxa" w:w="7710"/>
          </w:tcPr>
          <w:p>
            <w:pPr>
              <w:spacing w:after="50" w:before="50" w:line="252" w:lineRule="auto"/>
            </w:pPr>
            <w:r>
              <w:rPr>
                <w:sz w:val="17"/>
              </w:rPr>
              <w:t>Debrief</w:t>
            </w:r>
          </w:p>
        </w:tc>
      </w:tr>
      <w:tr>
        <w:tc>
          <w:tcPr>
            <w:tcW w:type="dxa" w:w="1758"/>
            <w:shd w:val="clear" w:color="auto" w:fill="EAF1F4"/>
          </w:tcPr>
          <w:p>
            <w:pPr>
              <w:spacing w:after="50" w:before="50" w:line="252" w:lineRule="auto"/>
            </w:pPr>
            <w:r>
              <w:rPr>
                <w:sz w:val="17"/>
              </w:rPr>
              <w:t>14:15–15:45</w:t>
            </w:r>
          </w:p>
        </w:tc>
        <w:tc>
          <w:tcPr>
            <w:tcW w:type="dxa" w:w="7710"/>
            <w:shd w:val="clear" w:color="auto" w:fill="EAF1F4"/>
          </w:tcPr>
          <w:p>
            <w:pPr>
              <w:spacing w:after="50" w:before="50" w:line="252" w:lineRule="auto"/>
            </w:pPr>
            <w:r>
              <w:rPr>
                <w:b/>
                <w:sz w:val="17"/>
              </w:rPr>
              <w:t>Designing a simulation.</w:t>
            </w:r>
            <w:r>
              <w:rPr>
                <w:sz w:val="17"/>
              </w:rPr>
              <w:t xml:space="preserve"> Anatomy of a good fact pattern; the hidden interest; the information asymmetry; the trap; writing confidential instructions; common design errors</w:t>
            </w:r>
          </w:p>
        </w:tc>
      </w:tr>
      <w:tr>
        <w:tc>
          <w:tcPr>
            <w:tcW w:type="dxa" w:w="1758"/>
          </w:tcPr>
          <w:p>
            <w:pPr>
              <w:spacing w:after="50" w:before="50" w:line="252" w:lineRule="auto"/>
            </w:pPr>
            <w:r>
              <w:rPr>
                <w:sz w:val="17"/>
              </w:rPr>
              <w:t>16:00–18:00</w:t>
            </w:r>
          </w:p>
        </w:tc>
        <w:tc>
          <w:tcPr>
            <w:tcW w:type="dxa" w:w="7710"/>
          </w:tcPr>
          <w:p>
            <w:pPr>
              <w:spacing w:after="50" w:before="50" w:line="252" w:lineRule="auto"/>
            </w:pPr>
            <w:r>
              <w:rPr>
                <w:b/>
                <w:sz w:val="17"/>
              </w:rPr>
              <w:t>Workshop: participants begin designing their own simulation</w:t>
            </w:r>
          </w:p>
        </w:tc>
      </w:tr>
    </w:tbl>
    <w:p>
      <w:pPr>
        <w:spacing w:after="80" w:before="0"/>
      </w:pPr>
    </w:p>
    <w:p>
      <w:pPr>
        <w:pStyle w:val="Heading2"/>
      </w:pPr>
      <w:r>
        <w:t>Day 4 · Teaching, debriefing and assessing</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76"/>
            <w:shd w:val="clear" w:color="auto" w:fill="10375C"/>
          </w:tcPr>
          <w:p>
            <w:pPr>
              <w:spacing w:after="50" w:before="50"/>
            </w:pPr>
            <w:r>
              <w:rPr>
                <w:b/>
                <w:color w:val="FFFFFF"/>
                <w:sz w:val="17"/>
              </w:rPr>
              <w:t>Time</w:t>
            </w:r>
          </w:p>
        </w:tc>
        <w:tc>
          <w:tcPr>
            <w:tcW w:type="dxa" w:w="7692"/>
            <w:shd w:val="clear" w:color="auto" w:fill="10375C"/>
          </w:tcPr>
          <w:p>
            <w:pPr>
              <w:spacing w:after="50" w:before="50"/>
            </w:pPr>
            <w:r>
              <w:rPr>
                <w:b/>
                <w:color w:val="FFFFFF"/>
                <w:sz w:val="17"/>
              </w:rPr>
              <w:t>Session</w:t>
            </w:r>
          </w:p>
        </w:tc>
      </w:tr>
      <w:tr>
        <w:tc>
          <w:tcPr>
            <w:tcW w:type="dxa" w:w="1776"/>
          </w:tcPr>
          <w:p>
            <w:pPr>
              <w:spacing w:after="50" w:before="50" w:line="252" w:lineRule="auto"/>
            </w:pPr>
            <w:r>
              <w:rPr>
                <w:sz w:val="17"/>
              </w:rPr>
              <w:t>09:00–10:30</w:t>
            </w:r>
          </w:p>
        </w:tc>
        <w:tc>
          <w:tcPr>
            <w:tcW w:type="dxa" w:w="7692"/>
          </w:tcPr>
          <w:p>
            <w:pPr>
              <w:spacing w:after="50" w:before="50" w:line="252" w:lineRule="auto"/>
            </w:pPr>
            <w:r>
              <w:rPr>
                <w:b/>
                <w:sz w:val="17"/>
              </w:rPr>
              <w:t>Running a debrief.</w:t>
            </w:r>
            <w:r>
              <w:rPr>
                <w:sz w:val="17"/>
              </w:rPr>
              <w:t xml:space="preserve"> The sequence — self, party, observer, faculty; asking rather than telling; handling the participant who performed badly; handling the participant who thinks they performed well; time discipline</w:t>
            </w:r>
          </w:p>
        </w:tc>
      </w:tr>
      <w:tr>
        <w:tc>
          <w:tcPr>
            <w:tcW w:type="dxa" w:w="1776"/>
            <w:shd w:val="clear" w:color="auto" w:fill="EAF1F4"/>
          </w:tcPr>
          <w:p>
            <w:pPr>
              <w:spacing w:after="50" w:before="50" w:line="252" w:lineRule="auto"/>
            </w:pPr>
            <w:r>
              <w:rPr>
                <w:sz w:val="17"/>
              </w:rPr>
              <w:t>10:45–12:15</w:t>
            </w:r>
          </w:p>
        </w:tc>
        <w:tc>
          <w:tcPr>
            <w:tcW w:type="dxa" w:w="7692"/>
            <w:shd w:val="clear" w:color="auto" w:fill="EAF1F4"/>
          </w:tcPr>
          <w:p>
            <w:pPr>
              <w:spacing w:after="50" w:before="50" w:line="252" w:lineRule="auto"/>
            </w:pPr>
            <w:r>
              <w:rPr>
                <w:b/>
                <w:sz w:val="17"/>
              </w:rPr>
              <w:t>Practice: participants run a debrief</w:t>
            </w:r>
            <w:r>
              <w:rPr>
                <w:sz w:val="17"/>
              </w:rPr>
              <w:t xml:space="preserve"> on a recorded or live simulation, observed and critiqued</w:t>
            </w:r>
          </w:p>
        </w:tc>
      </w:tr>
      <w:tr>
        <w:tc>
          <w:tcPr>
            <w:tcW w:type="dxa" w:w="1776"/>
          </w:tcPr>
          <w:p>
            <w:pPr>
              <w:spacing w:after="50" w:before="50" w:line="252" w:lineRule="auto"/>
            </w:pPr>
            <w:r>
              <w:rPr>
                <w:sz w:val="17"/>
              </w:rPr>
              <w:t>12:15–13:15</w:t>
            </w:r>
          </w:p>
        </w:tc>
        <w:tc>
          <w:tcPr>
            <w:tcW w:type="dxa" w:w="7692"/>
          </w:tcPr>
          <w:p>
            <w:pPr>
              <w:spacing w:after="50" w:before="50" w:line="252" w:lineRule="auto"/>
            </w:pPr>
            <w:r>
              <w:rPr>
                <w:b/>
                <w:sz w:val="17"/>
              </w:rPr>
              <w:t>Assessing skill.</w:t>
            </w:r>
            <w:r>
              <w:rPr>
                <w:sz w:val="17"/>
              </w:rPr>
              <w:t xml:space="preserve"> Why written examinations do not measure mediation competence; rubric design; behavioural anchors; inter-assessor reliability; calibration; the ethics of assessing people you teach</w:t>
            </w:r>
          </w:p>
        </w:tc>
      </w:tr>
      <w:tr>
        <w:tc>
          <w:tcPr>
            <w:tcW w:type="dxa" w:w="1776"/>
            <w:shd w:val="clear" w:color="auto" w:fill="EAF1F4"/>
          </w:tcPr>
          <w:p>
            <w:pPr>
              <w:spacing w:after="50" w:before="50" w:line="252" w:lineRule="auto"/>
            </w:pPr>
            <w:r>
              <w:rPr>
                <w:sz w:val="17"/>
              </w:rPr>
              <w:t>14:00–15:30</w:t>
            </w:r>
          </w:p>
        </w:tc>
        <w:tc>
          <w:tcPr>
            <w:tcW w:type="dxa" w:w="7692"/>
            <w:shd w:val="clear" w:color="auto" w:fill="EAF1F4"/>
          </w:tcPr>
          <w:p>
            <w:pPr>
              <w:spacing w:after="50" w:before="50" w:line="252" w:lineRule="auto"/>
            </w:pPr>
            <w:r>
              <w:rPr>
                <w:b/>
                <w:sz w:val="17"/>
              </w:rPr>
              <w:t>Workshop: participants build an assessment rubric</w:t>
            </w:r>
          </w:p>
        </w:tc>
      </w:tr>
      <w:tr>
        <w:tc>
          <w:tcPr>
            <w:tcW w:type="dxa" w:w="1776"/>
          </w:tcPr>
          <w:p>
            <w:pPr>
              <w:spacing w:after="50" w:before="50" w:line="252" w:lineRule="auto"/>
            </w:pPr>
            <w:r>
              <w:rPr>
                <w:sz w:val="17"/>
              </w:rPr>
              <w:t>15:45–17:00</w:t>
            </w:r>
          </w:p>
        </w:tc>
        <w:tc>
          <w:tcPr>
            <w:tcW w:type="dxa" w:w="7692"/>
          </w:tcPr>
          <w:p>
            <w:pPr>
              <w:spacing w:after="50" w:before="50" w:line="252" w:lineRule="auto"/>
            </w:pPr>
            <w:r>
              <w:rPr>
                <w:b/>
                <w:sz w:val="17"/>
              </w:rPr>
              <w:t>Designing a clinic or mediation cell.</w:t>
            </w:r>
            <w:r>
              <w:rPr>
                <w:sz w:val="17"/>
              </w:rPr>
              <w:t xml:space="preserve"> Structure, selection, supervision, case boundaries, escalation, safeguarding, records, sustainability beyond the founder</w:t>
            </w:r>
          </w:p>
        </w:tc>
      </w:tr>
      <w:tr>
        <w:tc>
          <w:tcPr>
            <w:tcW w:type="dxa" w:w="1776"/>
            <w:shd w:val="clear" w:color="auto" w:fill="EAF1F4"/>
          </w:tcPr>
          <w:p>
            <w:pPr>
              <w:spacing w:after="50" w:before="50" w:line="252" w:lineRule="auto"/>
            </w:pPr>
            <w:r>
              <w:rPr>
                <w:sz w:val="17"/>
              </w:rPr>
              <w:t>17:00–18:00</w:t>
            </w:r>
          </w:p>
        </w:tc>
        <w:tc>
          <w:tcPr>
            <w:tcW w:type="dxa" w:w="7692"/>
            <w:shd w:val="clear" w:color="auto" w:fill="EAF1F4"/>
          </w:tcPr>
          <w:p>
            <w:pPr>
              <w:spacing w:after="50" w:before="50" w:line="252" w:lineRule="auto"/>
            </w:pPr>
            <w:r>
              <w:rPr>
                <w:b/>
                <w:sz w:val="17"/>
              </w:rPr>
              <w:t>Curriculum integration.</w:t>
            </w:r>
            <w:r>
              <w:rPr>
                <w:sz w:val="17"/>
              </w:rPr>
              <w:t xml:space="preserve"> Making the BCI ADR paper clinical; credit mapping; sequencing across years; assessment load</w:t>
            </w:r>
          </w:p>
        </w:tc>
      </w:tr>
    </w:tbl>
    <w:p>
      <w:pPr>
        <w:spacing w:after="80" w:before="0"/>
      </w:pPr>
    </w:p>
    <w:p>
      <w:pPr>
        <w:pStyle w:val="Heading2"/>
      </w:pPr>
      <w:r>
        <w:t>Day 5 · Research, presentation and association</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789"/>
            <w:shd w:val="clear" w:color="auto" w:fill="10375C"/>
          </w:tcPr>
          <w:p>
            <w:pPr>
              <w:spacing w:after="50" w:before="50"/>
            </w:pPr>
            <w:r>
              <w:rPr>
                <w:b/>
                <w:color w:val="FFFFFF"/>
                <w:sz w:val="17"/>
              </w:rPr>
              <w:t>Time</w:t>
            </w:r>
          </w:p>
        </w:tc>
        <w:tc>
          <w:tcPr>
            <w:tcW w:type="dxa" w:w="7679"/>
            <w:shd w:val="clear" w:color="auto" w:fill="10375C"/>
          </w:tcPr>
          <w:p>
            <w:pPr>
              <w:spacing w:after="50" w:before="50"/>
            </w:pPr>
            <w:r>
              <w:rPr>
                <w:b/>
                <w:color w:val="FFFFFF"/>
                <w:sz w:val="17"/>
              </w:rPr>
              <w:t>Session</w:t>
            </w:r>
          </w:p>
        </w:tc>
      </w:tr>
      <w:tr>
        <w:tc>
          <w:tcPr>
            <w:tcW w:type="dxa" w:w="1789"/>
          </w:tcPr>
          <w:p>
            <w:pPr>
              <w:spacing w:after="50" w:before="50" w:line="252" w:lineRule="auto"/>
            </w:pPr>
            <w:r>
              <w:rPr>
                <w:sz w:val="17"/>
              </w:rPr>
              <w:t>09:00–10:30</w:t>
            </w:r>
          </w:p>
        </w:tc>
        <w:tc>
          <w:tcPr>
            <w:tcW w:type="dxa" w:w="7679"/>
          </w:tcPr>
          <w:p>
            <w:pPr>
              <w:spacing w:after="50" w:before="50" w:line="252" w:lineRule="auto"/>
            </w:pPr>
            <w:r>
              <w:rPr>
                <w:b/>
                <w:sz w:val="17"/>
              </w:rPr>
              <w:t>Empirical research in dispute resolution.</w:t>
            </w:r>
            <w:r>
              <w:rPr>
                <w:sz w:val="17"/>
              </w:rPr>
              <w:t xml:space="preserve"> What questions are answerable; data sources and their limits; ethics and consent; anonymisation and the confidentiality constraint; the Indian evidence gap</w:t>
            </w:r>
          </w:p>
        </w:tc>
      </w:tr>
      <w:tr>
        <w:tc>
          <w:tcPr>
            <w:tcW w:type="dxa" w:w="1789"/>
            <w:shd w:val="clear" w:color="auto" w:fill="EAF1F4"/>
          </w:tcPr>
          <w:p>
            <w:pPr>
              <w:spacing w:after="50" w:before="50" w:line="252" w:lineRule="auto"/>
            </w:pPr>
            <w:r>
              <w:rPr>
                <w:sz w:val="17"/>
              </w:rPr>
              <w:t>10:45–12:00</w:t>
            </w:r>
          </w:p>
        </w:tc>
        <w:tc>
          <w:tcPr>
            <w:tcW w:type="dxa" w:w="7679"/>
            <w:shd w:val="clear" w:color="auto" w:fill="EAF1F4"/>
          </w:tcPr>
          <w:p>
            <w:pPr>
              <w:spacing w:after="50" w:before="50" w:line="252" w:lineRule="auto"/>
            </w:pPr>
            <w:r>
              <w:rPr>
                <w:b/>
                <w:sz w:val="17"/>
              </w:rPr>
              <w:t>Workshop: framing a research question and a method note</w:t>
            </w:r>
          </w:p>
        </w:tc>
      </w:tr>
      <w:tr>
        <w:tc>
          <w:tcPr>
            <w:tcW w:type="dxa" w:w="1789"/>
          </w:tcPr>
          <w:p>
            <w:pPr>
              <w:spacing w:after="50" w:before="50" w:line="252" w:lineRule="auto"/>
            </w:pPr>
            <w:r>
              <w:rPr>
                <w:sz w:val="17"/>
              </w:rPr>
              <w:t>12:00–13:15</w:t>
            </w:r>
          </w:p>
        </w:tc>
        <w:tc>
          <w:tcPr>
            <w:tcW w:type="dxa" w:w="7679"/>
          </w:tcPr>
          <w:p>
            <w:pPr>
              <w:spacing w:after="50" w:before="50" w:line="252" w:lineRule="auto"/>
            </w:pPr>
            <w:r>
              <w:rPr>
                <w:b/>
                <w:sz w:val="17"/>
              </w:rPr>
              <w:t>Participant presentations, part 1</w:t>
            </w:r>
            <w:r>
              <w:rPr>
                <w:sz w:val="17"/>
              </w:rPr>
              <w:t xml:space="preserve"> — simulation designs, peer-reviewed</w:t>
            </w:r>
          </w:p>
        </w:tc>
      </w:tr>
      <w:tr>
        <w:tc>
          <w:tcPr>
            <w:tcW w:type="dxa" w:w="1789"/>
            <w:shd w:val="clear" w:color="auto" w:fill="EAF1F4"/>
          </w:tcPr>
          <w:p>
            <w:pPr>
              <w:spacing w:after="50" w:before="50" w:line="252" w:lineRule="auto"/>
            </w:pPr>
            <w:r>
              <w:rPr>
                <w:sz w:val="17"/>
              </w:rPr>
              <w:t>14:00–15:30</w:t>
            </w:r>
          </w:p>
        </w:tc>
        <w:tc>
          <w:tcPr>
            <w:tcW w:type="dxa" w:w="7679"/>
            <w:shd w:val="clear" w:color="auto" w:fill="EAF1F4"/>
          </w:tcPr>
          <w:p>
            <w:pPr>
              <w:spacing w:after="50" w:before="50" w:line="252" w:lineRule="auto"/>
            </w:pPr>
            <w:r>
              <w:rPr>
                <w:b/>
                <w:sz w:val="17"/>
              </w:rPr>
              <w:t>Participant presentations, part 2</w:t>
            </w:r>
            <w:r>
              <w:rPr>
                <w:sz w:val="17"/>
              </w:rPr>
              <w:t xml:space="preserve"> — rubrics and clinic designs</w:t>
            </w:r>
          </w:p>
        </w:tc>
      </w:tr>
      <w:tr>
        <w:tc>
          <w:tcPr>
            <w:tcW w:type="dxa" w:w="1789"/>
          </w:tcPr>
          <w:p>
            <w:pPr>
              <w:spacing w:after="50" w:before="50" w:line="252" w:lineRule="auto"/>
            </w:pPr>
            <w:r>
              <w:rPr>
                <w:sz w:val="17"/>
              </w:rPr>
              <w:t>15:45–16:45</w:t>
            </w:r>
          </w:p>
        </w:tc>
        <w:tc>
          <w:tcPr>
            <w:tcW w:type="dxa" w:w="7679"/>
          </w:tcPr>
          <w:p>
            <w:pPr>
              <w:spacing w:after="50" w:before="50" w:line="252" w:lineRule="auto"/>
            </w:pPr>
            <w:r>
              <w:rPr>
                <w:b/>
                <w:sz w:val="17"/>
              </w:rPr>
              <w:t>Association.</w:t>
            </w:r>
            <w:r>
              <w:rPr>
                <w:sz w:val="17"/>
              </w:rPr>
              <w:t xml:space="preserve"> Empanelment as a neutral; assessor certification; co-authorship; the competition circuit and coaching; adjunct arrangements</w:t>
            </w:r>
          </w:p>
        </w:tc>
      </w:tr>
      <w:tr>
        <w:tc>
          <w:tcPr>
            <w:tcW w:type="dxa" w:w="1789"/>
            <w:shd w:val="clear" w:color="auto" w:fill="EAF1F4"/>
          </w:tcPr>
          <w:p>
            <w:pPr>
              <w:spacing w:after="50" w:before="50" w:line="252" w:lineRule="auto"/>
            </w:pPr>
            <w:r>
              <w:rPr>
                <w:sz w:val="17"/>
              </w:rPr>
              <w:t>16:45–17:30</w:t>
            </w:r>
          </w:p>
        </w:tc>
        <w:tc>
          <w:tcPr>
            <w:tcW w:type="dxa" w:w="7679"/>
            <w:shd w:val="clear" w:color="auto" w:fill="EAF1F4"/>
          </w:tcPr>
          <w:p>
            <w:pPr>
              <w:spacing w:after="50" w:before="50" w:line="252" w:lineRule="auto"/>
            </w:pPr>
            <w:r>
              <w:rPr>
                <w:sz w:val="17"/>
              </w:rPr>
              <w:t>Individual feedback and development planning</w:t>
            </w:r>
          </w:p>
        </w:tc>
      </w:tr>
      <w:tr>
        <w:tc>
          <w:tcPr>
            <w:tcW w:type="dxa" w:w="1789"/>
          </w:tcPr>
          <w:p>
            <w:pPr>
              <w:spacing w:after="50" w:before="50" w:line="252" w:lineRule="auto"/>
            </w:pPr>
            <w:r>
              <w:rPr>
                <w:sz w:val="17"/>
              </w:rPr>
              <w:t>17:30–18:00</w:t>
            </w:r>
          </w:p>
        </w:tc>
        <w:tc>
          <w:tcPr>
            <w:tcW w:type="dxa" w:w="7679"/>
          </w:tcPr>
          <w:p>
            <w:pPr>
              <w:spacing w:after="50" w:before="50" w:line="252" w:lineRule="auto"/>
            </w:pPr>
            <w:r>
              <w:rPr>
                <w:sz w:val="17"/>
              </w:rPr>
              <w:t>Certificates and close</w:t>
            </w:r>
          </w:p>
        </w:tc>
      </w:tr>
    </w:tbl>
    <w:p>
      <w:pPr>
        <w:spacing w:after="80" w:before="0"/>
      </w:pPr>
    </w:p>
    <w:p>
      <w:pPr>
        <w:spacing w:before="80" w:after="160"/>
        <w:pBdr>
          <w:bottom w:val="single" w:sz="6" w:space="1" w:color="C9D6DE"/>
        </w:pBdr>
      </w:pPr>
    </w:p>
    <w:p>
      <w:pPr>
        <w:pStyle w:val="Heading1"/>
        <w:pBdr>
          <w:bottom w:val="single" w:sz="8" w:space="4" w:color="C9D6DE"/>
        </w:pBdr>
      </w:pPr>
      <w:r>
        <w:t>3. Assessment and certification</w:t>
      </w:r>
    </w:p>
    <w:p>
      <w:r>
        <w:t>Faculty programmes are not examined in the manner of student programmes. Certification is on the basis of:</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6300"/>
            <w:shd w:val="clear" w:color="auto" w:fill="10375C"/>
          </w:tcPr>
          <w:p>
            <w:pPr>
              <w:spacing w:after="50" w:before="50"/>
            </w:pPr>
            <w:r>
              <w:rPr>
                <w:b/>
                <w:color w:val="FFFFFF"/>
                <w:sz w:val="17"/>
              </w:rPr>
              <w:t>Requirement</w:t>
            </w:r>
          </w:p>
        </w:tc>
        <w:tc>
          <w:tcPr>
            <w:tcW w:type="dxa" w:w="3168"/>
            <w:shd w:val="clear" w:color="auto" w:fill="10375C"/>
          </w:tcPr>
          <w:p>
            <w:pPr>
              <w:spacing w:after="50" w:before="50"/>
            </w:pPr>
            <w:r>
              <w:rPr>
                <w:b/>
                <w:color w:val="FFFFFF"/>
                <w:sz w:val="17"/>
              </w:rPr>
              <w:t>Standard</w:t>
            </w:r>
          </w:p>
        </w:tc>
      </w:tr>
      <w:tr>
        <w:tc>
          <w:tcPr>
            <w:tcW w:type="dxa" w:w="6300"/>
          </w:tcPr>
          <w:p>
            <w:pPr>
              <w:spacing w:after="50" w:before="50" w:line="252" w:lineRule="auto"/>
            </w:pPr>
            <w:r>
              <w:rPr>
                <w:sz w:val="17"/>
              </w:rPr>
              <w:t>Attendance</w:t>
            </w:r>
          </w:p>
        </w:tc>
        <w:tc>
          <w:tcPr>
            <w:tcW w:type="dxa" w:w="3168"/>
          </w:tcPr>
          <w:p>
            <w:pPr>
              <w:spacing w:after="50" w:before="50" w:line="252" w:lineRule="auto"/>
            </w:pPr>
            <w:r>
              <w:rPr>
                <w:sz w:val="17"/>
              </w:rPr>
              <w:t>Not less than 90%</w:t>
            </w:r>
          </w:p>
        </w:tc>
      </w:tr>
      <w:tr>
        <w:tc>
          <w:tcPr>
            <w:tcW w:type="dxa" w:w="6300"/>
            <w:shd w:val="clear" w:color="auto" w:fill="EAF1F4"/>
          </w:tcPr>
          <w:p>
            <w:pPr>
              <w:spacing w:after="50" w:before="50" w:line="252" w:lineRule="auto"/>
            </w:pPr>
            <w:r>
              <w:rPr>
                <w:sz w:val="17"/>
              </w:rPr>
              <w:t>Participation in simulations, as mediator and as party</w:t>
            </w:r>
          </w:p>
        </w:tc>
        <w:tc>
          <w:tcPr>
            <w:tcW w:type="dxa" w:w="3168"/>
            <w:shd w:val="clear" w:color="auto" w:fill="EAF1F4"/>
          </w:tcPr>
          <w:p>
            <w:pPr>
              <w:spacing w:after="50" w:before="50" w:line="252" w:lineRule="auto"/>
            </w:pPr>
            <w:r>
              <w:rPr>
                <w:sz w:val="17"/>
              </w:rPr>
              <w:t>Complete</w:t>
            </w:r>
          </w:p>
        </w:tc>
      </w:tr>
      <w:tr>
        <w:tc>
          <w:tcPr>
            <w:tcW w:type="dxa" w:w="6300"/>
          </w:tcPr>
          <w:p>
            <w:pPr>
              <w:spacing w:after="50" w:before="50" w:line="252" w:lineRule="auto"/>
            </w:pPr>
            <w:r>
              <w:rPr>
                <w:sz w:val="17"/>
              </w:rPr>
              <w:t>Simulation design submitted and peer-reviewed</w:t>
            </w:r>
          </w:p>
        </w:tc>
        <w:tc>
          <w:tcPr>
            <w:tcW w:type="dxa" w:w="3168"/>
          </w:tcPr>
          <w:p>
            <w:pPr>
              <w:spacing w:after="50" w:before="50" w:line="252" w:lineRule="auto"/>
            </w:pPr>
            <w:r>
              <w:rPr>
                <w:sz w:val="17"/>
              </w:rPr>
              <w:t>Complete and of usable quality</w:t>
            </w:r>
          </w:p>
        </w:tc>
      </w:tr>
      <w:tr>
        <w:tc>
          <w:tcPr>
            <w:tcW w:type="dxa" w:w="6300"/>
            <w:shd w:val="clear" w:color="auto" w:fill="EAF1F4"/>
          </w:tcPr>
          <w:p>
            <w:pPr>
              <w:spacing w:after="50" w:before="50" w:line="252" w:lineRule="auto"/>
            </w:pPr>
            <w:r>
              <w:rPr>
                <w:sz w:val="17"/>
              </w:rPr>
              <w:t>Assessment rubric submitted</w:t>
            </w:r>
          </w:p>
        </w:tc>
        <w:tc>
          <w:tcPr>
            <w:tcW w:type="dxa" w:w="3168"/>
            <w:shd w:val="clear" w:color="auto" w:fill="EAF1F4"/>
          </w:tcPr>
          <w:p>
            <w:pPr>
              <w:spacing w:after="50" w:before="50" w:line="252" w:lineRule="auto"/>
            </w:pPr>
            <w:r>
              <w:rPr>
                <w:sz w:val="17"/>
              </w:rPr>
              <w:t>Complete</w:t>
            </w:r>
          </w:p>
        </w:tc>
      </w:tr>
      <w:tr>
        <w:tc>
          <w:tcPr>
            <w:tcW w:type="dxa" w:w="6300"/>
          </w:tcPr>
          <w:p>
            <w:pPr>
              <w:spacing w:after="50" w:before="50" w:line="252" w:lineRule="auto"/>
            </w:pPr>
            <w:r>
              <w:rPr>
                <w:sz w:val="17"/>
              </w:rPr>
              <w:t>Presentation delivered</w:t>
            </w:r>
          </w:p>
        </w:tc>
        <w:tc>
          <w:tcPr>
            <w:tcW w:type="dxa" w:w="3168"/>
          </w:tcPr>
          <w:p>
            <w:pPr>
              <w:spacing w:after="50" w:before="50" w:line="252" w:lineRule="auto"/>
            </w:pPr>
            <w:r>
              <w:rPr>
                <w:sz w:val="17"/>
              </w:rPr>
              <w:t>Complete</w:t>
            </w:r>
          </w:p>
        </w:tc>
      </w:tr>
    </w:tbl>
    <w:p>
      <w:pPr>
        <w:spacing w:after="80" w:before="0"/>
      </w:pPr>
    </w:p>
    <w:p>
      <w:r>
        <w:t xml:space="preserve">Certificate: </w:t>
      </w:r>
      <w:r>
        <w:rPr>
          <w:b/>
        </w:rPr>
        <w:t>Certificate of Faculty Development in Alternative Dispute Resolution (5 days)</w:t>
      </w:r>
      <w:r>
        <w:t>.</w:t>
      </w:r>
    </w:p>
    <w:p>
      <w:r>
        <w:t xml:space="preserve">Participants who additionally wish to be certified to deliver Equator programmes must complete </w:t>
      </w:r>
      <w:r>
        <w:rPr>
          <w:b/>
        </w:rPr>
        <w:t>T-TTT Train the Trainer</w:t>
      </w:r>
      <w:r>
        <w:t xml:space="preserve"> and be observed; the FDP alone does not confer trainer status.</w:t>
      </w:r>
    </w:p>
    <w:p>
      <w:pPr>
        <w:spacing w:before="80" w:after="160"/>
        <w:pBdr>
          <w:bottom w:val="single" w:sz="6" w:space="1" w:color="C9D6DE"/>
        </w:pBdr>
      </w:pPr>
    </w:p>
    <w:p>
      <w:pPr>
        <w:pStyle w:val="Heading1"/>
        <w:pBdr>
          <w:bottom w:val="single" w:sz="8" w:space="4" w:color="C9D6DE"/>
        </w:pBdr>
      </w:pPr>
      <w:r>
        <w:t>4. Delivery requirements</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1839"/>
            <w:shd w:val="clear" w:color="auto" w:fill="10375C"/>
          </w:tcPr>
          <w:p>
            <w:pPr>
              <w:spacing w:after="50" w:before="50"/>
            </w:pPr>
            <w:r>
              <w:rPr>
                <w:b/>
                <w:color w:val="FFFFFF"/>
                <w:sz w:val="17"/>
              </w:rPr>
              <w:t>Item</w:t>
            </w:r>
          </w:p>
        </w:tc>
        <w:tc>
          <w:tcPr>
            <w:tcW w:type="dxa" w:w="7628"/>
            <w:shd w:val="clear" w:color="auto" w:fill="10375C"/>
          </w:tcPr>
          <w:p>
            <w:pPr>
              <w:spacing w:after="50" w:before="50"/>
            </w:pPr>
            <w:r>
              <w:rPr>
                <w:b/>
                <w:color w:val="FFFFFF"/>
                <w:sz w:val="17"/>
              </w:rPr>
              <w:t>Requirement</w:t>
            </w:r>
          </w:p>
        </w:tc>
      </w:tr>
      <w:tr>
        <w:tc>
          <w:tcPr>
            <w:tcW w:type="dxa" w:w="1839"/>
          </w:tcPr>
          <w:p>
            <w:pPr>
              <w:spacing w:after="50" w:before="50" w:line="252" w:lineRule="auto"/>
            </w:pPr>
            <w:r>
              <w:rPr>
                <w:sz w:val="17"/>
              </w:rPr>
              <w:t>Cohort</w:t>
            </w:r>
          </w:p>
        </w:tc>
        <w:tc>
          <w:tcPr>
            <w:tcW w:type="dxa" w:w="7628"/>
          </w:tcPr>
          <w:p>
            <w:pPr>
              <w:spacing w:after="50" w:before="50" w:line="252" w:lineRule="auto"/>
            </w:pPr>
            <w:r>
              <w:rPr>
                <w:sz w:val="17"/>
              </w:rPr>
              <w:t>Maximum 30</w:t>
            </w:r>
          </w:p>
        </w:tc>
      </w:tr>
      <w:tr>
        <w:tc>
          <w:tcPr>
            <w:tcW w:type="dxa" w:w="1839"/>
            <w:shd w:val="clear" w:color="auto" w:fill="EAF1F4"/>
          </w:tcPr>
          <w:p>
            <w:pPr>
              <w:spacing w:after="50" w:before="50" w:line="252" w:lineRule="auto"/>
            </w:pPr>
            <w:r>
              <w:rPr>
                <w:sz w:val="17"/>
              </w:rPr>
              <w:t>Faculty</w:t>
            </w:r>
          </w:p>
        </w:tc>
        <w:tc>
          <w:tcPr>
            <w:tcW w:type="dxa" w:w="7628"/>
            <w:shd w:val="clear" w:color="auto" w:fill="EAF1F4"/>
          </w:tcPr>
          <w:p>
            <w:pPr>
              <w:spacing w:after="50" w:before="50" w:line="252" w:lineRule="auto"/>
            </w:pPr>
            <w:r>
              <w:rPr>
                <w:sz w:val="17"/>
              </w:rPr>
              <w:t>One lead trainer, one associate, plus a guest practitioner for at least one session</w:t>
            </w:r>
          </w:p>
        </w:tc>
      </w:tr>
      <w:tr>
        <w:tc>
          <w:tcPr>
            <w:tcW w:type="dxa" w:w="1839"/>
          </w:tcPr>
          <w:p>
            <w:pPr>
              <w:spacing w:after="50" w:before="50" w:line="252" w:lineRule="auto"/>
            </w:pPr>
            <w:r>
              <w:rPr>
                <w:sz w:val="17"/>
              </w:rPr>
              <w:t>Rooms</w:t>
            </w:r>
          </w:p>
        </w:tc>
        <w:tc>
          <w:tcPr>
            <w:tcW w:type="dxa" w:w="7628"/>
          </w:tcPr>
          <w:p>
            <w:pPr>
              <w:spacing w:after="50" w:before="50" w:line="252" w:lineRule="auto"/>
            </w:pPr>
            <w:r>
              <w:rPr>
                <w:sz w:val="17"/>
              </w:rPr>
              <w:t>Plenary with movable furniture, plus three breakout rooms</w:t>
            </w:r>
          </w:p>
        </w:tc>
      </w:tr>
      <w:tr>
        <w:tc>
          <w:tcPr>
            <w:tcW w:type="dxa" w:w="1839"/>
            <w:shd w:val="clear" w:color="auto" w:fill="EAF1F4"/>
          </w:tcPr>
          <w:p>
            <w:pPr>
              <w:spacing w:after="50" w:before="50" w:line="252" w:lineRule="auto"/>
            </w:pPr>
            <w:r>
              <w:rPr>
                <w:sz w:val="17"/>
              </w:rPr>
              <w:t>Materials</w:t>
            </w:r>
          </w:p>
        </w:tc>
        <w:tc>
          <w:tcPr>
            <w:tcW w:type="dxa" w:w="7628"/>
            <w:shd w:val="clear" w:color="auto" w:fill="EAF1F4"/>
          </w:tcPr>
          <w:p>
            <w:pPr>
              <w:spacing w:after="50" w:before="50" w:line="252" w:lineRule="auto"/>
            </w:pPr>
            <w:r>
              <w:rPr>
                <w:sz w:val="17"/>
              </w:rPr>
              <w:t>Faculty workbook; simulation design toolkit; rubric templates; statute extracts; a reading list; digital resource pack</w:t>
            </w:r>
          </w:p>
        </w:tc>
      </w:tr>
      <w:tr>
        <w:tc>
          <w:tcPr>
            <w:tcW w:type="dxa" w:w="1839"/>
          </w:tcPr>
          <w:p>
            <w:pPr>
              <w:spacing w:after="50" w:before="50" w:line="252" w:lineRule="auto"/>
            </w:pPr>
            <w:r>
              <w:rPr>
                <w:sz w:val="17"/>
              </w:rPr>
              <w:t>Residential option</w:t>
            </w:r>
          </w:p>
        </w:tc>
        <w:tc>
          <w:tcPr>
            <w:tcW w:type="dxa" w:w="7628"/>
          </w:tcPr>
          <w:p>
            <w:pPr>
              <w:spacing w:after="50" w:before="50" w:line="252" w:lineRule="auto"/>
            </w:pPr>
            <w:r>
              <w:rPr>
                <w:sz w:val="17"/>
              </w:rPr>
              <w:t>Where the institution provides accommodation, an evening session on day 3 substantially improves the design workshop</w:t>
            </w:r>
          </w:p>
        </w:tc>
      </w:tr>
    </w:tbl>
    <w:p>
      <w:pPr>
        <w:spacing w:after="80" w:before="0"/>
      </w:pPr>
    </w:p>
    <w:p>
      <w:pPr>
        <w:spacing w:before="80" w:after="160"/>
        <w:pBdr>
          <w:bottom w:val="single" w:sz="6" w:space="1" w:color="C9D6DE"/>
        </w:pBdr>
      </w:pPr>
    </w:p>
    <w:p>
      <w:pPr>
        <w:pStyle w:val="Heading1"/>
        <w:pBdr>
          <w:bottom w:val="single" w:sz="8" w:space="4" w:color="C9D6DE"/>
        </w:pBdr>
      </w:pPr>
      <w:r>
        <w:t>5. Follow-through — where the commercial value actually sits</w:t>
      </w:r>
    </w:p>
    <w:p>
      <w:r>
        <w:t xml:space="preserve">The programme itself carries a contribution of approximately ₹1.2 lakh. </w:t>
      </w:r>
      <w:r>
        <w:rPr>
          <w:b/>
        </w:rPr>
        <w:t>The follow-through is worth more.</w:t>
      </w:r>
      <w:r>
        <w:t xml:space="preserve"> Every FDP should produce:</w:t>
      </w:r>
    </w:p>
    <w:tbl>
      <w:tblPr>
        <w:tblW w:type="auto" w:w="0"/>
        <w:jc w:val="left"/>
        <w:tblLayout w:type="fixed"/>
        <w:tblLook w:firstColumn="1" w:firstRow="1" w:lastColumn="0" w:lastRow="0" w:noHBand="0" w:noVBand="1" w:val="04A0"/>
        <w:tblBorders>
          <w:top w:val="single" w:sz="4" w:space="0" w:color="C9D6DE"/>
          <w:left w:val="single" w:sz="4" w:space="0" w:color="C9D6DE"/>
          <w:bottom w:val="single" w:sz="4" w:space="0" w:color="C9D6DE"/>
          <w:right w:val="single" w:sz="4" w:space="0" w:color="C9D6DE"/>
          <w:insideH w:val="single" w:sz="4" w:space="0" w:color="C9D6DE"/>
          <w:insideV w:val="single" w:sz="4" w:space="0" w:color="C9D6DE"/>
        </w:tblBorders>
      </w:tblPr>
      <w:tblGrid>
        <w:gridCol w:w="4734"/>
        <w:gridCol w:w="4734"/>
      </w:tblGrid>
      <w:tr>
        <w:trPr>
          <w:tblHeader w:val="true"/>
        </w:trPr>
        <w:tc>
          <w:tcPr>
            <w:tcW w:type="dxa" w:w="5995"/>
            <w:shd w:val="clear" w:color="auto" w:fill="10375C"/>
          </w:tcPr>
          <w:p>
            <w:pPr>
              <w:spacing w:after="50" w:before="50"/>
            </w:pPr>
            <w:r>
              <w:rPr>
                <w:b/>
                <w:color w:val="FFFFFF"/>
                <w:sz w:val="17"/>
              </w:rPr>
              <w:t>Follow-through</w:t>
            </w:r>
          </w:p>
        </w:tc>
        <w:tc>
          <w:tcPr>
            <w:tcW w:type="dxa" w:w="3472"/>
            <w:shd w:val="clear" w:color="auto" w:fill="10375C"/>
          </w:tcPr>
          <w:p>
            <w:pPr>
              <w:spacing w:after="50" w:before="50"/>
            </w:pPr>
            <w:r>
              <w:rPr>
                <w:b/>
                <w:color w:val="FFFFFF"/>
                <w:sz w:val="17"/>
              </w:rPr>
              <w:t>Typical conversion</w:t>
            </w:r>
          </w:p>
        </w:tc>
      </w:tr>
      <w:tr>
        <w:tc>
          <w:tcPr>
            <w:tcW w:type="dxa" w:w="5995"/>
          </w:tcPr>
          <w:p>
            <w:pPr>
              <w:spacing w:after="50" w:before="50" w:line="252" w:lineRule="auto"/>
            </w:pPr>
            <w:r>
              <w:rPr>
                <w:sz w:val="17"/>
              </w:rPr>
              <w:t>Faculty empanelled as neutrals</w:t>
            </w:r>
          </w:p>
        </w:tc>
        <w:tc>
          <w:tcPr>
            <w:tcW w:type="dxa" w:w="3472"/>
          </w:tcPr>
          <w:p>
            <w:pPr>
              <w:spacing w:after="50" w:before="50" w:line="252" w:lineRule="auto"/>
            </w:pPr>
            <w:r>
              <w:rPr>
                <w:sz w:val="17"/>
              </w:rPr>
              <w:t>2 to 4 per cohort</w:t>
            </w:r>
          </w:p>
        </w:tc>
      </w:tr>
      <w:tr>
        <w:tc>
          <w:tcPr>
            <w:tcW w:type="dxa" w:w="5995"/>
            <w:shd w:val="clear" w:color="auto" w:fill="EAF1F4"/>
          </w:tcPr>
          <w:p>
            <w:pPr>
              <w:spacing w:after="50" w:before="50" w:line="252" w:lineRule="auto"/>
            </w:pPr>
            <w:r>
              <w:rPr>
                <w:sz w:val="17"/>
              </w:rPr>
              <w:t>A named champion for the partnership</w:t>
            </w:r>
          </w:p>
        </w:tc>
        <w:tc>
          <w:tcPr>
            <w:tcW w:type="dxa" w:w="3472"/>
            <w:shd w:val="clear" w:color="auto" w:fill="EAF1F4"/>
          </w:tcPr>
          <w:p>
            <w:pPr>
              <w:spacing w:after="50" w:before="50" w:line="252" w:lineRule="auto"/>
            </w:pPr>
            <w:r>
              <w:rPr>
                <w:sz w:val="17"/>
              </w:rPr>
              <w:t>1, reliably</w:t>
            </w:r>
          </w:p>
        </w:tc>
      </w:tr>
      <w:tr>
        <w:tc>
          <w:tcPr>
            <w:tcW w:type="dxa" w:w="5995"/>
          </w:tcPr>
          <w:p>
            <w:pPr>
              <w:spacing w:after="50" w:before="50" w:line="252" w:lineRule="auto"/>
            </w:pPr>
            <w:r>
              <w:rPr>
                <w:sz w:val="17"/>
              </w:rPr>
              <w:t>Commitment to a student certificate cohort</w:t>
            </w:r>
          </w:p>
        </w:tc>
        <w:tc>
          <w:tcPr>
            <w:tcW w:type="dxa" w:w="3472"/>
          </w:tcPr>
          <w:p>
            <w:pPr>
              <w:spacing w:after="50" w:before="50" w:line="252" w:lineRule="auto"/>
            </w:pPr>
            <w:r>
              <w:rPr>
                <w:sz w:val="17"/>
              </w:rPr>
              <w:t>1 to 2 per institution</w:t>
            </w:r>
          </w:p>
        </w:tc>
      </w:tr>
      <w:tr>
        <w:tc>
          <w:tcPr>
            <w:tcW w:type="dxa" w:w="5995"/>
            <w:shd w:val="clear" w:color="auto" w:fill="EAF1F4"/>
          </w:tcPr>
          <w:p>
            <w:pPr>
              <w:spacing w:after="50" w:before="50" w:line="252" w:lineRule="auto"/>
            </w:pPr>
            <w:r>
              <w:rPr>
                <w:sz w:val="17"/>
              </w:rPr>
              <w:t>A co-authored paper</w:t>
            </w:r>
          </w:p>
        </w:tc>
        <w:tc>
          <w:tcPr>
            <w:tcW w:type="dxa" w:w="3472"/>
            <w:shd w:val="clear" w:color="auto" w:fill="EAF1F4"/>
          </w:tcPr>
          <w:p>
            <w:pPr>
              <w:spacing w:after="50" w:before="50" w:line="252" w:lineRule="auto"/>
            </w:pPr>
            <w:r>
              <w:rPr>
                <w:sz w:val="17"/>
              </w:rPr>
              <w:t>1 per two cohorts</w:t>
            </w:r>
          </w:p>
        </w:tc>
      </w:tr>
      <w:tr>
        <w:tc>
          <w:tcPr>
            <w:tcW w:type="dxa" w:w="5995"/>
          </w:tcPr>
          <w:p>
            <w:pPr>
              <w:spacing w:after="50" w:before="50" w:line="252" w:lineRule="auto"/>
            </w:pPr>
            <w:r>
              <w:rPr>
                <w:sz w:val="17"/>
              </w:rPr>
              <w:t>An assessor for the competition circuit</w:t>
            </w:r>
          </w:p>
        </w:tc>
        <w:tc>
          <w:tcPr>
            <w:tcW w:type="dxa" w:w="3472"/>
          </w:tcPr>
          <w:p>
            <w:pPr>
              <w:spacing w:after="50" w:before="50" w:line="252" w:lineRule="auto"/>
            </w:pPr>
            <w:r>
              <w:rPr>
                <w:sz w:val="17"/>
              </w:rPr>
              <w:t>1 to 2</w:t>
            </w:r>
          </w:p>
        </w:tc>
      </w:tr>
      <w:tr>
        <w:tc>
          <w:tcPr>
            <w:tcW w:type="dxa" w:w="5995"/>
            <w:shd w:val="clear" w:color="auto" w:fill="EAF1F4"/>
          </w:tcPr>
          <w:p>
            <w:pPr>
              <w:spacing w:after="50" w:before="50" w:line="252" w:lineRule="auto"/>
            </w:pPr>
            <w:r>
              <w:rPr>
                <w:sz w:val="17"/>
              </w:rPr>
              <w:t>Introductions to two further institutions</w:t>
            </w:r>
          </w:p>
        </w:tc>
        <w:tc>
          <w:tcPr>
            <w:tcW w:type="dxa" w:w="3472"/>
            <w:shd w:val="clear" w:color="auto" w:fill="EAF1F4"/>
          </w:tcPr>
          <w:p>
            <w:pPr>
              <w:spacing w:after="50" w:before="50" w:line="252" w:lineRule="auto"/>
            </w:pPr>
            <w:r>
              <w:rPr>
                <w:sz w:val="17"/>
              </w:rPr>
              <w:t>Common, and rarely asked for</w:t>
            </w:r>
          </w:p>
        </w:tc>
      </w:tr>
    </w:tbl>
    <w:p>
      <w:pPr>
        <w:spacing w:after="80" w:before="0"/>
      </w:pPr>
    </w:p>
    <w:p>
      <w:r>
        <w:rPr>
          <w:b/>
        </w:rPr>
        <w:t>Operating rule.</w:t>
      </w:r>
      <w:r>
        <w:t xml:space="preserve"> Within fourteen days of every FDP, the Programme Director personally contacts each participant with a specific, individual proposition — empanelment, co-authorship, an assessor role, or a programme for their students. A cohort of thirty faculty from whom nothing is asked is thirty relationships wasted.</w:t>
      </w:r>
    </w:p>
    <w:sectPr w:rsidR="00FC693F" w:rsidRPr="0006063C" w:rsidSect="00034616">
      <w:headerReference w:type="default" r:id="rId9"/>
      <w:footerReference w:type="default" r:id="rId10"/>
      <w:pgSz w:w="11906" w:h="16838"/>
      <w:pgMar w:top="1134" w:right="1134" w:bottom="1020" w:left="1304" w:header="567" w:footer="51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4734" w:val="center"/>
        <w:tab w:pos="9468" w:val="right"/>
      </w:tabs>
      <w:pBdr>
        <w:top w:val="single" w:sz="6" w:space="3" w:color="C9D6DE"/>
      </w:pBdr>
    </w:pPr>
    <w:r/>
    <w:r>
      <w:rPr>
        <w:color w:val="595959"/>
        <w:sz w:val="15"/>
      </w:rPr>
      <w:t>EQ-UAP-054  ·  v1.0</w:t>
    </w:r>
    <w:r>
      <w:tab/>
    </w:r>
    <w:r>
      <w:rPr>
        <w:b/>
        <w:color w:val="595959"/>
        <w:sz w:val="15"/>
      </w:rPr>
      <w:t>EQUATOR RESOLUTION</w:t>
    </w:r>
    <w:r>
      <w:tab/>
    </w:r>
    <w:r>
      <w:rPr>
        <w:color w:val="595959"/>
        <w:sz w:val="15"/>
      </w:rPr>
      <w:t xml:space="preserve">Page </w:t>
    </w:r>
    <w:r>
      <w:fldChar w:fldCharType="begin"/>
    </w:r>
    <w:r>
      <w:instrText xml:space="preserve"> PAGE </w:instrText>
    </w:r>
    <w:r>
      <w:fldChar w:fldCharType="separate"/>
    </w:r>
    <w:r>
      <w:rPr>
        <w:color w:val="595959"/>
        <w:sz w:val="15"/>
      </w:rPr>
      <w:t>…</w:t>
    </w:r>
    <w:r>
      <w:fldChar w:fldCharType="end"/>
    </w:r>
    <w:r>
      <w:rPr>
        <w:color w:val="595959"/>
        <w:sz w:val="15"/>
      </w:rPr>
      <w:t xml:space="preserve"> of </w:t>
    </w:r>
    <w:r>
      <w:fldChar w:fldCharType="begin"/>
    </w:r>
    <w:r>
      <w:instrText xml:space="preserve"> NUMPAGES </w:instrText>
    </w:r>
    <w:r>
      <w:fldChar w:fldCharType="separate"/>
    </w:r>
    <w:r>
      <w:rPr>
        <w:color w:val="595959"/>
        <w:sz w:val="15"/>
      </w:rPr>
      <w:t>…</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tabs>
        <w:tab w:pos="9468" w:val="right"/>
      </w:tabs>
      <w:pBdr>
        <w:bottom w:val="single" w:sz="6" w:space="3" w:color="C9D6DE"/>
      </w:pBdr>
    </w:pPr>
    <w:r/>
    <w:r>
      <w:rPr>
        <w:rFonts w:ascii="Calibri" w:hAnsi="Calibri"/>
        <w:b/>
        <w:color w:val="10375C"/>
        <w:sz w:val="16"/>
      </w:rPr>
      <w:t>Faculty Development Programme — Design &amp; Session Plan</w:t>
    </w:r>
    <w:r>
      <w:rPr>
        <w:rFonts w:ascii="Calibri" w:hAnsi="Calibri"/>
        <w:color w:val="595959"/>
        <w:sz w:val="16"/>
      </w:rPr>
      <w:tab/>
      <w:t>Confidential — Internal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before="0" w:lineRule="auto" w:line="271"/>
    </w:pPr>
    <w:rPr>
      <w:rFonts w:ascii="Calibri" w:hAnsi="Calibri" w:eastAsia="Calibri"/>
      <w:color w:val="262626"/>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40" w:after="160" w:lineRule="auto" w:line="240"/>
      <w:outlineLvl w:val="0"/>
    </w:pPr>
    <w:rPr>
      <w:rFonts w:asciiTheme="majorHAnsi" w:eastAsiaTheme="majorEastAsia" w:hAnsiTheme="majorHAnsi" w:cstheme="majorBidi" w:ascii="Calibri" w:hAnsi="Calibri" w:eastAsia="Calibri"/>
      <w:b/>
      <w:bCs/>
      <w:i w:val="0"/>
      <w:caps w:val="0"/>
      <w:color w:val="10375C"/>
      <w:sz w:val="31"/>
      <w:szCs w:val="28"/>
    </w:rPr>
  </w:style>
  <w:style w:type="paragraph" w:styleId="Heading2">
    <w:name w:val="heading 2"/>
    <w:basedOn w:val="Normal"/>
    <w:next w:val="Normal"/>
    <w:link w:val="Heading2Char"/>
    <w:uiPriority w:val="9"/>
    <w:unhideWhenUsed/>
    <w:qFormat/>
    <w:rsid w:val="00FC693F"/>
    <w:pPr>
      <w:keepNext/>
      <w:keepLines/>
      <w:spacing w:before="320" w:after="100" w:lineRule="auto" w:line="240"/>
      <w:outlineLvl w:val="1"/>
    </w:pPr>
    <w:rPr>
      <w:rFonts w:asciiTheme="majorHAnsi" w:eastAsiaTheme="majorEastAsia" w:hAnsiTheme="majorHAnsi" w:cstheme="majorBidi" w:ascii="Calibri" w:hAnsi="Calibri" w:eastAsia="Calibri"/>
      <w:b/>
      <w:bCs/>
      <w:i w:val="0"/>
      <w:caps w:val="0"/>
      <w:color w:val="0E7C7B"/>
      <w:sz w:val="25"/>
      <w:szCs w:val="26"/>
    </w:rPr>
  </w:style>
  <w:style w:type="paragraph" w:styleId="Heading3">
    <w:name w:val="heading 3"/>
    <w:basedOn w:val="Normal"/>
    <w:next w:val="Normal"/>
    <w:link w:val="Heading3Char"/>
    <w:uiPriority w:val="9"/>
    <w:unhideWhenUsed/>
    <w:qFormat/>
    <w:rsid w:val="00FC693F"/>
    <w:pPr>
      <w:keepNext/>
      <w:keepLines/>
      <w:spacing w:before="260" w:after="80" w:lineRule="auto" w:line="240"/>
      <w:outlineLvl w:val="2"/>
    </w:pPr>
    <w:rPr>
      <w:rFonts w:asciiTheme="majorHAnsi" w:eastAsiaTheme="majorEastAsia" w:hAnsiTheme="majorHAnsi" w:cstheme="majorBidi" w:ascii="Calibri" w:hAnsi="Calibri" w:eastAsia="Calibri"/>
      <w:b/>
      <w:bCs/>
      <w:i w:val="0"/>
      <w:caps w:val="0"/>
      <w:color w:val="10375C"/>
      <w:sz w:val="22"/>
    </w:rPr>
  </w:style>
  <w:style w:type="paragraph" w:styleId="Heading4">
    <w:name w:val="heading 4"/>
    <w:basedOn w:val="Normal"/>
    <w:next w:val="Normal"/>
    <w:link w:val="Heading4Char"/>
    <w:uiPriority w:val="9"/>
    <w:semiHidden/>
    <w:unhideWhenUsed/>
    <w:qFormat/>
    <w:rsid w:val="00FC693F"/>
    <w:pPr>
      <w:keepNext/>
      <w:keepLines/>
      <w:spacing w:before="220" w:after="60" w:lineRule="auto" w:line="240"/>
      <w:outlineLvl w:val="3"/>
    </w:pPr>
    <w:rPr>
      <w:rFonts w:asciiTheme="majorHAnsi" w:eastAsiaTheme="majorEastAsia" w:hAnsiTheme="majorHAnsi" w:cstheme="majorBidi" w:ascii="Calibri" w:hAnsi="Calibri" w:eastAsia="Calibri"/>
      <w:b/>
      <w:bCs/>
      <w:i/>
      <w:iCs/>
      <w:caps w:val="0"/>
      <w:color w:val="595959"/>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line="264" w:lineRule="auto"/>
      <w:contextualSpacing/>
    </w:pPr>
    <w:rPr>
      <w:rFonts w:ascii="Calibri" w:hAnsi="Calibri"/>
      <w:color w:val="262626"/>
      <w:sz w:val="21"/>
    </w:rPr>
  </w:style>
  <w:style w:type="paragraph" w:styleId="ListBullet2">
    <w:name w:val="List Bullet 2"/>
    <w:basedOn w:val="Normal"/>
    <w:uiPriority w:val="99"/>
    <w:unhideWhenUsed/>
    <w:rsid w:val="00326F90"/>
    <w:pPr>
      <w:numPr>
        <w:numId w:val="2"/>
      </w:numPr>
      <w:spacing w:after="40"/>
      <w:contextualSpacing/>
    </w:pPr>
    <w:rPr>
      <w:rFonts w:ascii="Calibri" w:hAnsi="Calibri"/>
      <w:sz w:val="20"/>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60" w:line="264" w:lineRule="auto"/>
      <w:contextualSpacing/>
    </w:pPr>
    <w:rPr>
      <w:rFonts w:ascii="Calibri" w:hAnsi="Calibri"/>
      <w:color w:val="262626"/>
      <w:sz w:val="21"/>
    </w:rPr>
  </w:style>
  <w:style w:type="paragraph" w:styleId="ListNumber2">
    <w:name w:val="List Number 2"/>
    <w:basedOn w:val="Normal"/>
    <w:uiPriority w:val="99"/>
    <w:unhideWhenUsed/>
    <w:rsid w:val="0029639D"/>
    <w:pPr>
      <w:numPr>
        <w:numId w:val="6"/>
      </w:numPr>
      <w:spacing w:after="40"/>
      <w:contextualSpacing/>
    </w:pPr>
    <w:rPr>
      <w:rFonts w:ascii="Calibri" w:hAnsi="Calibri"/>
      <w:sz w:val="20"/>
    </w:r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13" Type="http://schemas.openxmlformats.org/officeDocument/2006/relationships/customXml" Target="../customXml/item4.xml"/><Relationship Id="rId3" Type="http://schemas.openxmlformats.org/officeDocument/2006/relationships/styles" Target="styles.xml"/><Relationship Id="rId7" Type="http://schemas.openxmlformats.org/officeDocument/2006/relationships/fontTable" Target="fontTable.xml"/><Relationship Id="rId12" Type="http://schemas.openxmlformats.org/officeDocument/2006/relationships/customXml" Target="../customXml/item3.xml"/><Relationship Id="rId2" Type="http://schemas.openxmlformats.org/officeDocument/2006/relationships/numbering" Target="numbering.xml"/><Relationship Id="rId6" Type="http://schemas.openxmlformats.org/officeDocument/2006/relationships/webSettings" Target="webSettings.xml"/><Relationship Id="rId1" Type="http://schemas.openxmlformats.org/officeDocument/2006/relationships/customXml" Target="../customXml/item1.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53D5D88ED318E546B0BAD9611B3061C9" ma:contentTypeVersion="9" ma:contentTypeDescription="Create a new document." ma:contentTypeScope="" ma:versionID="d50db782a5ec69b02a0131a0f200a05c">
  <xsd:schema xmlns:xsd="http://www.w3.org/2001/XMLSchema" xmlns:xs="http://www.w3.org/2001/XMLSchema" xmlns:p="http://schemas.microsoft.com/office/2006/metadata/properties" xmlns:ns2="30dddea4-ca15-4972-99ca-320a89f10386" targetNamespace="http://schemas.microsoft.com/office/2006/metadata/properties" ma:root="true" ma:fieldsID="2e09d9990d161d2f2733b865e15bb167" ns2:_="">
    <xsd:import namespace="30dddea4-ca15-4972-99ca-320a89f10386"/>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30dddea4-ca15-4972-99ca-320a89f10386"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fieldId="{5cf76f15-5ced-4ddc-b409-7134ff3c332f}" ma:taxonomyMulti="true" ma:sspId="00000000-0000-0000-0000-000000000000" ma:termSetId="00000000-0000-0000-0000-000000000000" ma:anchorId="00000000-0000-0000-0000-000000000000" ma:open="false" ma:isKeyword="false">
      <xsd:complexType>
        <xsd:sequence>
          <xsd:element ref="pc:Terms" minOccurs="0" maxOccurs="1"/>
        </xsd:sequence>
      </xsd:complex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30dddea4-ca15-4972-99ca-320a89f10386">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BF919CD7-10BD-49CF-A672-D87595716496}"/>
</file>

<file path=customXml/itemProps3.xml><?xml version="1.0" encoding="utf-8"?>
<ds:datastoreItem xmlns:ds="http://schemas.openxmlformats.org/officeDocument/2006/customXml" ds:itemID="{A4AA9F13-3993-48E6-8EF8-12093CBE4153}"/>
</file>

<file path=customXml/itemProps4.xml><?xml version="1.0" encoding="utf-8"?>
<ds:datastoreItem xmlns:ds="http://schemas.openxmlformats.org/officeDocument/2006/customXml" ds:itemID="{14B7DB10-4E3E-44B3-85F6-4D6213A6E635}"/>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0x01010053D5D88ED318E546B0BAD9611B3061C9</vt:lpwstr>
  </property>
</Properties>
</file>