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Workshop Design Compendium</w:t>
      </w:r>
    </w:p>
    <w:p>
      <w:pPr>
        <w:spacing w:after="280" w:line="276" w:lineRule="auto"/>
      </w:pPr>
      <w:r>
        <w:rPr>
          <w:rFonts w:ascii="Calibri" w:hAnsi="Calibri"/>
          <w:i/>
          <w:color w:val="3E6B8A"/>
          <w:sz w:val="25"/>
        </w:rPr>
        <w:t>Fourteen workshop designs — outcomes, session structure, materials and assessment for each</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How these designs are used</w:t>
      </w:r>
    </w:p>
    <w:p>
      <w:r>
        <w:t xml:space="preserve">Each workshop below is a complete, deliverable design. They are modular: a full day can be assembled from two half-day designs, and a series can be assembled from three. </w:t>
      </w:r>
      <w:r>
        <w:rPr>
          <w:b/>
        </w:rPr>
        <w:t>Do not build a new workshop when an existing design will serve</w:t>
      </w:r>
      <w:r>
        <w:t xml:space="preserve"> — the catalogue exists to prevent exactly that.</w:t>
      </w:r>
    </w:p>
    <w:p>
      <w:r>
        <w:t>Every design follows the same discipline: not more than one third didactic; every skill drilled before it is used; every simulation debriefed for at least as long as it ran.</w:t>
      </w:r>
    </w:p>
    <w:p>
      <w:pPr>
        <w:spacing w:before="80" w:after="160"/>
        <w:pBdr>
          <w:bottom w:val="single" w:sz="6" w:space="1" w:color="C9D6DE"/>
        </w:pBdr>
      </w:pPr>
    </w:p>
    <w:p>
      <w:r>
        <w:br w:type="page"/>
      </w:r>
    </w:p>
    <w:p>
      <w:pPr>
        <w:pStyle w:val="Heading1"/>
        <w:pBdr>
          <w:bottom w:val="single" w:sz="8" w:space="4" w:color="C9D6DE"/>
        </w:pBdr>
      </w:pPr>
      <w:r>
        <w:t>W-MA · Mediation Advocacy Workshop</w:t>
      </w:r>
    </w:p>
    <w:p>
      <w:r>
        <w:rPr>
          <w:b/>
        </w:rPr>
        <w:t>Duration</w:t>
      </w:r>
      <w:r>
        <w:t xml:space="preserve"> one or two days · </w:t>
      </w:r>
      <w:r>
        <w:rPr>
          <w:b/>
        </w:rPr>
        <w:t>Cohort</w:t>
      </w:r>
      <w:r>
        <w:t xml:space="preserve"> 30–40 · </w:t>
      </w:r>
      <w:r>
        <w:rPr>
          <w:b/>
        </w:rPr>
        <w:t>Audience</w:t>
      </w:r>
      <w:r>
        <w:t xml:space="preserve"> students who will practise as advocates</w:t>
      </w:r>
    </w:p>
    <w:p>
      <w:r>
        <w:rPr>
          <w:b/>
        </w:rPr>
        <w:t>Why this is the flagship workshop.</w:t>
      </w:r>
      <w:r>
        <w:t xml:space="preserve"> Indian ADR teaching trains students to be the mediator. Almost none trains them to represent a party in front of one. Yet the overwhelming majority will be advocates, not neutrals. This gap is Equator's clearest pedagogical differentiator and the workshop that most reliably opens a faculty's door.</w:t>
      </w:r>
    </w:p>
    <w:p>
      <w:r>
        <w:t>| Outcomes | On completion a participant can prepare a client for mediation, write a mediation brief, deliver an opening that advances interests rather than positions, manage a client in the room, use caucus strategically, read a mediator, and draft a settlement under time pressure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891"/>
            <w:shd w:val="clear" w:color="auto" w:fill="10375C"/>
          </w:tcPr>
          <w:p>
            <w:pPr>
              <w:spacing w:after="50" w:before="50"/>
            </w:pPr>
            <w:r>
              <w:rPr>
                <w:b/>
                <w:color w:val="FFFFFF"/>
                <w:sz w:val="17"/>
              </w:rPr>
              <w:t>Session</w:t>
            </w:r>
          </w:p>
        </w:tc>
        <w:tc>
          <w:tcPr>
            <w:tcW w:type="dxa" w:w="885"/>
            <w:shd w:val="clear" w:color="auto" w:fill="10375C"/>
          </w:tcPr>
          <w:p>
            <w:pPr>
              <w:spacing w:after="50" w:before="50"/>
            </w:pPr>
            <w:r>
              <w:rPr>
                <w:b/>
                <w:color w:val="FFFFFF"/>
                <w:sz w:val="17"/>
              </w:rPr>
              <w:t>Duration</w:t>
            </w:r>
          </w:p>
        </w:tc>
        <w:tc>
          <w:tcPr>
            <w:tcW w:type="dxa" w:w="2691"/>
            <w:shd w:val="clear" w:color="auto" w:fill="10375C"/>
          </w:tcPr>
          <w:p>
            <w:pPr>
              <w:spacing w:after="50" w:before="50"/>
            </w:pPr>
            <w:r>
              <w:rPr>
                <w:b/>
                <w:color w:val="FFFFFF"/>
                <w:sz w:val="17"/>
              </w:rPr>
              <w:t>Method</w:t>
            </w:r>
          </w:p>
        </w:tc>
      </w:tr>
      <w:tr>
        <w:tc>
          <w:tcPr>
            <w:tcW w:type="dxa" w:w="5891"/>
          </w:tcPr>
          <w:p>
            <w:pPr>
              <w:spacing w:after="50" w:before="50" w:line="252" w:lineRule="auto"/>
            </w:pPr>
            <w:r>
              <w:rPr>
                <w:sz w:val="17"/>
              </w:rPr>
              <w:t>Why advocacy in mediation is a different craft from advocacy in court</w:t>
            </w:r>
          </w:p>
        </w:tc>
        <w:tc>
          <w:tcPr>
            <w:tcW w:type="dxa" w:w="885"/>
          </w:tcPr>
          <w:p>
            <w:pPr>
              <w:spacing w:after="50" w:before="50" w:line="252" w:lineRule="auto"/>
            </w:pPr>
            <w:r>
              <w:rPr>
                <w:sz w:val="17"/>
              </w:rPr>
              <w:t>45 min</w:t>
            </w:r>
          </w:p>
        </w:tc>
        <w:tc>
          <w:tcPr>
            <w:tcW w:type="dxa" w:w="2691"/>
          </w:tcPr>
          <w:p>
            <w:pPr>
              <w:spacing w:after="50" w:before="50" w:line="252" w:lineRule="auto"/>
            </w:pPr>
            <w:r>
              <w:rPr>
                <w:sz w:val="17"/>
              </w:rPr>
              <w:t>Input and discussion</w:t>
            </w:r>
          </w:p>
        </w:tc>
      </w:tr>
      <w:tr>
        <w:tc>
          <w:tcPr>
            <w:tcW w:type="dxa" w:w="5891"/>
            <w:shd w:val="clear" w:color="auto" w:fill="EAF1F4"/>
          </w:tcPr>
          <w:p>
            <w:pPr>
              <w:spacing w:after="50" w:before="50" w:line="252" w:lineRule="auto"/>
            </w:pPr>
            <w:r>
              <w:rPr>
                <w:sz w:val="17"/>
              </w:rPr>
              <w:t>Case assessment before mediation — what your client actually needs, BATNA and WATNA analysis, authority to settle</w:t>
            </w:r>
          </w:p>
        </w:tc>
        <w:tc>
          <w:tcPr>
            <w:tcW w:type="dxa" w:w="885"/>
            <w:shd w:val="clear" w:color="auto" w:fill="EAF1F4"/>
          </w:tcPr>
          <w:p>
            <w:pPr>
              <w:spacing w:after="50" w:before="50" w:line="252" w:lineRule="auto"/>
            </w:pPr>
            <w:r>
              <w:rPr>
                <w:sz w:val="17"/>
              </w:rPr>
              <w:t>60 min</w:t>
            </w:r>
          </w:p>
        </w:tc>
        <w:tc>
          <w:tcPr>
            <w:tcW w:type="dxa" w:w="2691"/>
            <w:shd w:val="clear" w:color="auto" w:fill="EAF1F4"/>
          </w:tcPr>
          <w:p>
            <w:pPr>
              <w:spacing w:after="50" w:before="50" w:line="252" w:lineRule="auto"/>
            </w:pPr>
            <w:r>
              <w:rPr>
                <w:sz w:val="17"/>
              </w:rPr>
              <w:t>Input and case exercise</w:t>
            </w:r>
          </w:p>
        </w:tc>
      </w:tr>
      <w:tr>
        <w:tc>
          <w:tcPr>
            <w:tcW w:type="dxa" w:w="5891"/>
          </w:tcPr>
          <w:p>
            <w:pPr>
              <w:spacing w:after="50" w:before="50" w:line="252" w:lineRule="auto"/>
            </w:pPr>
            <w:r>
              <w:rPr>
                <w:b/>
                <w:sz w:val="17"/>
              </w:rPr>
              <w:t>Preparing the client.</w:t>
            </w:r>
            <w:r>
              <w:rPr>
                <w:sz w:val="17"/>
              </w:rPr>
              <w:t xml:space="preserve"> Managing expectation; the client who wants to win; the client who will not attend; rehearsing the client</w:t>
            </w:r>
          </w:p>
        </w:tc>
        <w:tc>
          <w:tcPr>
            <w:tcW w:type="dxa" w:w="885"/>
          </w:tcPr>
          <w:p>
            <w:pPr>
              <w:spacing w:after="50" w:before="50" w:line="252" w:lineRule="auto"/>
            </w:pPr>
            <w:r>
              <w:rPr>
                <w:sz w:val="17"/>
              </w:rPr>
              <w:t>60 min</w:t>
            </w:r>
          </w:p>
        </w:tc>
        <w:tc>
          <w:tcPr>
            <w:tcW w:type="dxa" w:w="2691"/>
          </w:tcPr>
          <w:p>
            <w:pPr>
              <w:spacing w:after="50" w:before="50" w:line="252" w:lineRule="auto"/>
            </w:pPr>
            <w:r>
              <w:rPr>
                <w:sz w:val="17"/>
              </w:rPr>
              <w:t>Input and role play</w:t>
            </w:r>
          </w:p>
        </w:tc>
      </w:tr>
      <w:tr>
        <w:tc>
          <w:tcPr>
            <w:tcW w:type="dxa" w:w="5891"/>
            <w:shd w:val="clear" w:color="auto" w:fill="EAF1F4"/>
          </w:tcPr>
          <w:p>
            <w:pPr>
              <w:spacing w:after="50" w:before="50" w:line="252" w:lineRule="auto"/>
            </w:pPr>
            <w:r>
              <w:rPr>
                <w:sz w:val="17"/>
              </w:rPr>
              <w:t>The mediation brief — what to say, what to withhold, what the mediator needs</w:t>
            </w:r>
          </w:p>
        </w:tc>
        <w:tc>
          <w:tcPr>
            <w:tcW w:type="dxa" w:w="885"/>
            <w:shd w:val="clear" w:color="auto" w:fill="EAF1F4"/>
          </w:tcPr>
          <w:p>
            <w:pPr>
              <w:spacing w:after="50" w:before="50" w:line="252" w:lineRule="auto"/>
            </w:pPr>
            <w:r>
              <w:rPr>
                <w:sz w:val="17"/>
              </w:rPr>
              <w:t>45 min</w:t>
            </w:r>
          </w:p>
        </w:tc>
        <w:tc>
          <w:tcPr>
            <w:tcW w:type="dxa" w:w="2691"/>
            <w:shd w:val="clear" w:color="auto" w:fill="EAF1F4"/>
          </w:tcPr>
          <w:p>
            <w:pPr>
              <w:spacing w:after="50" w:before="50" w:line="252" w:lineRule="auto"/>
            </w:pPr>
            <w:r>
              <w:rPr>
                <w:sz w:val="17"/>
              </w:rPr>
              <w:t>Drafting exercise</w:t>
            </w:r>
          </w:p>
        </w:tc>
      </w:tr>
      <w:tr>
        <w:tc>
          <w:tcPr>
            <w:tcW w:type="dxa" w:w="5891"/>
          </w:tcPr>
          <w:p>
            <w:pPr>
              <w:spacing w:after="50" w:before="50" w:line="252" w:lineRule="auto"/>
            </w:pPr>
            <w:r>
              <w:rPr>
                <w:sz w:val="17"/>
              </w:rPr>
              <w:t>The opening statement — structure, tone, addressing the other party rather than the mediator</w:t>
            </w:r>
          </w:p>
        </w:tc>
        <w:tc>
          <w:tcPr>
            <w:tcW w:type="dxa" w:w="885"/>
          </w:tcPr>
          <w:p>
            <w:pPr>
              <w:spacing w:after="50" w:before="50" w:line="252" w:lineRule="auto"/>
            </w:pPr>
            <w:r>
              <w:rPr>
                <w:sz w:val="17"/>
              </w:rPr>
              <w:t>60 min</w:t>
            </w:r>
          </w:p>
        </w:tc>
        <w:tc>
          <w:tcPr>
            <w:tcW w:type="dxa" w:w="2691"/>
          </w:tcPr>
          <w:p>
            <w:pPr>
              <w:spacing w:after="50" w:before="50" w:line="252" w:lineRule="auto"/>
            </w:pPr>
            <w:r>
              <w:rPr>
                <w:sz w:val="17"/>
              </w:rPr>
              <w:t>Drill, every participant delivers</w:t>
            </w:r>
          </w:p>
        </w:tc>
      </w:tr>
      <w:tr>
        <w:tc>
          <w:tcPr>
            <w:tcW w:type="dxa" w:w="5891"/>
            <w:shd w:val="clear" w:color="auto" w:fill="EAF1F4"/>
          </w:tcPr>
          <w:p>
            <w:pPr>
              <w:spacing w:after="50" w:before="50" w:line="252" w:lineRule="auto"/>
            </w:pPr>
            <w:r>
              <w:rPr>
                <w:b/>
                <w:sz w:val="17"/>
              </w:rPr>
              <w:t>Simulation 1</w:t>
            </w:r>
            <w:r>
              <w:rPr>
                <w:sz w:val="17"/>
              </w:rPr>
              <w:t xml:space="preserve"> — opening and information phase</w:t>
            </w:r>
          </w:p>
        </w:tc>
        <w:tc>
          <w:tcPr>
            <w:tcW w:type="dxa" w:w="885"/>
            <w:shd w:val="clear" w:color="auto" w:fill="EAF1F4"/>
          </w:tcPr>
          <w:p>
            <w:pPr>
              <w:spacing w:after="50" w:before="50" w:line="252" w:lineRule="auto"/>
            </w:pPr>
            <w:r>
              <w:rPr>
                <w:sz w:val="17"/>
              </w:rPr>
              <w:t>90 min</w:t>
            </w:r>
          </w:p>
        </w:tc>
        <w:tc>
          <w:tcPr>
            <w:tcW w:type="dxa" w:w="2691"/>
            <w:shd w:val="clear" w:color="auto" w:fill="EAF1F4"/>
          </w:tcPr>
          <w:p>
            <w:pPr>
              <w:spacing w:after="50" w:before="50" w:line="252" w:lineRule="auto"/>
            </w:pPr>
            <w:r>
              <w:rPr>
                <w:sz w:val="17"/>
              </w:rPr>
              <w:t>Simulation</w:t>
            </w:r>
          </w:p>
        </w:tc>
      </w:tr>
      <w:tr>
        <w:tc>
          <w:tcPr>
            <w:tcW w:type="dxa" w:w="5891"/>
          </w:tcPr>
          <w:p>
            <w:pPr>
              <w:spacing w:after="50" w:before="50" w:line="252" w:lineRule="auto"/>
            </w:pPr>
            <w:r>
              <w:rPr>
                <w:sz w:val="17"/>
              </w:rPr>
              <w:t>Debrief</w:t>
            </w:r>
          </w:p>
        </w:tc>
        <w:tc>
          <w:tcPr>
            <w:tcW w:type="dxa" w:w="885"/>
          </w:tcPr>
          <w:p>
            <w:pPr>
              <w:spacing w:after="50" w:before="50" w:line="252" w:lineRule="auto"/>
            </w:pPr>
            <w:r>
              <w:rPr>
                <w:sz w:val="17"/>
              </w:rPr>
              <w:t>45 min</w:t>
            </w:r>
          </w:p>
        </w:tc>
        <w:tc>
          <w:tcPr>
            <w:tcW w:type="dxa" w:w="2691"/>
          </w:tcPr>
          <w:p>
            <w:pPr>
              <w:spacing w:after="50" w:before="50" w:line="252" w:lineRule="auto"/>
            </w:pPr>
            <w:r>
              <w:rPr>
                <w:sz w:val="17"/>
              </w:rPr>
              <w:t>Structured</w:t>
            </w:r>
          </w:p>
        </w:tc>
      </w:tr>
      <w:tr>
        <w:tc>
          <w:tcPr>
            <w:tcW w:type="dxa" w:w="5891"/>
            <w:shd w:val="clear" w:color="auto" w:fill="EAF1F4"/>
          </w:tcPr>
          <w:p>
            <w:pPr>
              <w:spacing w:after="50" w:before="50" w:line="252" w:lineRule="auto"/>
            </w:pPr>
            <w:r>
              <w:rPr>
                <w:sz w:val="17"/>
              </w:rPr>
              <w:t>Caucus strategy — what to disclose, what to hold, reading what the mediator carries across</w:t>
            </w:r>
          </w:p>
        </w:tc>
        <w:tc>
          <w:tcPr>
            <w:tcW w:type="dxa" w:w="885"/>
            <w:shd w:val="clear" w:color="auto" w:fill="EAF1F4"/>
          </w:tcPr>
          <w:p>
            <w:pPr>
              <w:spacing w:after="50" w:before="50" w:line="252" w:lineRule="auto"/>
            </w:pPr>
            <w:r>
              <w:rPr>
                <w:sz w:val="17"/>
              </w:rPr>
              <w:t>60 min</w:t>
            </w:r>
          </w:p>
        </w:tc>
        <w:tc>
          <w:tcPr>
            <w:tcW w:type="dxa" w:w="2691"/>
            <w:shd w:val="clear" w:color="auto" w:fill="EAF1F4"/>
          </w:tcPr>
          <w:p>
            <w:pPr>
              <w:spacing w:after="50" w:before="50" w:line="252" w:lineRule="auto"/>
            </w:pPr>
            <w:r>
              <w:rPr>
                <w:sz w:val="17"/>
              </w:rPr>
              <w:t>Input and exercise</w:t>
            </w:r>
          </w:p>
        </w:tc>
      </w:tr>
      <w:tr>
        <w:tc>
          <w:tcPr>
            <w:tcW w:type="dxa" w:w="5891"/>
          </w:tcPr>
          <w:p>
            <w:pPr>
              <w:spacing w:after="50" w:before="50" w:line="252" w:lineRule="auto"/>
            </w:pPr>
            <w:r>
              <w:rPr>
                <w:sz w:val="17"/>
              </w:rPr>
              <w:t>Concession patterns, anchoring, and the signal you send by moving</w:t>
            </w:r>
          </w:p>
        </w:tc>
        <w:tc>
          <w:tcPr>
            <w:tcW w:type="dxa" w:w="885"/>
          </w:tcPr>
          <w:p>
            <w:pPr>
              <w:spacing w:after="50" w:before="50" w:line="252" w:lineRule="auto"/>
            </w:pPr>
            <w:r>
              <w:rPr>
                <w:sz w:val="17"/>
              </w:rPr>
              <w:t>45 min</w:t>
            </w:r>
          </w:p>
        </w:tc>
        <w:tc>
          <w:tcPr>
            <w:tcW w:type="dxa" w:w="2691"/>
          </w:tcPr>
          <w:p>
            <w:pPr>
              <w:spacing w:after="50" w:before="50" w:line="252" w:lineRule="auto"/>
            </w:pPr>
            <w:r>
              <w:rPr>
                <w:sz w:val="17"/>
              </w:rPr>
              <w:t>Input and exercise</w:t>
            </w:r>
          </w:p>
        </w:tc>
      </w:tr>
      <w:tr>
        <w:tc>
          <w:tcPr>
            <w:tcW w:type="dxa" w:w="5891"/>
            <w:shd w:val="clear" w:color="auto" w:fill="EAF1F4"/>
          </w:tcPr>
          <w:p>
            <w:pPr>
              <w:spacing w:after="50" w:before="50" w:line="252" w:lineRule="auto"/>
            </w:pPr>
            <w:r>
              <w:rPr>
                <w:b/>
                <w:sz w:val="17"/>
              </w:rPr>
              <w:t>Simulation 2</w:t>
            </w:r>
            <w:r>
              <w:rPr>
                <w:sz w:val="17"/>
              </w:rPr>
              <w:t xml:space="preserve"> — full mediation with the participant as counsel</w:t>
            </w:r>
          </w:p>
        </w:tc>
        <w:tc>
          <w:tcPr>
            <w:tcW w:type="dxa" w:w="885"/>
            <w:shd w:val="clear" w:color="auto" w:fill="EAF1F4"/>
          </w:tcPr>
          <w:p>
            <w:pPr>
              <w:spacing w:after="50" w:before="50" w:line="252" w:lineRule="auto"/>
            </w:pPr>
            <w:r>
              <w:rPr>
                <w:sz w:val="17"/>
              </w:rPr>
              <w:t>120 min</w:t>
            </w:r>
          </w:p>
        </w:tc>
        <w:tc>
          <w:tcPr>
            <w:tcW w:type="dxa" w:w="2691"/>
            <w:shd w:val="clear" w:color="auto" w:fill="EAF1F4"/>
          </w:tcPr>
          <w:p>
            <w:pPr>
              <w:spacing w:after="50" w:before="50" w:line="252" w:lineRule="auto"/>
            </w:pPr>
            <w:r>
              <w:rPr>
                <w:sz w:val="17"/>
              </w:rPr>
              <w:t>Simulation, observed</w:t>
            </w:r>
          </w:p>
        </w:tc>
      </w:tr>
      <w:tr>
        <w:tc>
          <w:tcPr>
            <w:tcW w:type="dxa" w:w="5891"/>
          </w:tcPr>
          <w:p>
            <w:pPr>
              <w:spacing w:after="50" w:before="50" w:line="252" w:lineRule="auto"/>
            </w:pPr>
            <w:r>
              <w:rPr>
                <w:sz w:val="17"/>
              </w:rPr>
              <w:t>Debrief</w:t>
            </w:r>
          </w:p>
        </w:tc>
        <w:tc>
          <w:tcPr>
            <w:tcW w:type="dxa" w:w="885"/>
          </w:tcPr>
          <w:p>
            <w:pPr>
              <w:spacing w:after="50" w:before="50" w:line="252" w:lineRule="auto"/>
            </w:pPr>
            <w:r>
              <w:rPr>
                <w:sz w:val="17"/>
              </w:rPr>
              <w:t>60 min</w:t>
            </w:r>
          </w:p>
        </w:tc>
        <w:tc>
          <w:tcPr>
            <w:tcW w:type="dxa" w:w="2691"/>
          </w:tcPr>
          <w:p>
            <w:pPr>
              <w:spacing w:after="50" w:before="50" w:line="252" w:lineRule="auto"/>
            </w:pPr>
            <w:r>
              <w:rPr>
                <w:sz w:val="17"/>
              </w:rPr>
              <w:t>Structured</w:t>
            </w:r>
          </w:p>
        </w:tc>
      </w:tr>
      <w:tr>
        <w:tc>
          <w:tcPr>
            <w:tcW w:type="dxa" w:w="5891"/>
            <w:shd w:val="clear" w:color="auto" w:fill="EAF1F4"/>
          </w:tcPr>
          <w:p>
            <w:pPr>
              <w:spacing w:after="50" w:before="50" w:line="252" w:lineRule="auto"/>
            </w:pPr>
            <w:r>
              <w:rPr>
                <w:sz w:val="17"/>
              </w:rPr>
              <w:t>Drafting the agreement under time pressure</w:t>
            </w:r>
          </w:p>
        </w:tc>
        <w:tc>
          <w:tcPr>
            <w:tcW w:type="dxa" w:w="885"/>
            <w:shd w:val="clear" w:color="auto" w:fill="EAF1F4"/>
          </w:tcPr>
          <w:p>
            <w:pPr>
              <w:spacing w:after="50" w:before="50" w:line="252" w:lineRule="auto"/>
            </w:pPr>
            <w:r>
              <w:rPr>
                <w:sz w:val="17"/>
              </w:rPr>
              <w:t>60 min</w:t>
            </w:r>
          </w:p>
        </w:tc>
        <w:tc>
          <w:tcPr>
            <w:tcW w:type="dxa" w:w="2691"/>
            <w:shd w:val="clear" w:color="auto" w:fill="EAF1F4"/>
          </w:tcPr>
          <w:p>
            <w:pPr>
              <w:spacing w:after="50" w:before="50" w:line="252" w:lineRule="auto"/>
            </w:pPr>
            <w:r>
              <w:rPr>
                <w:sz w:val="17"/>
              </w:rPr>
              <w:t>Drafting, assessed</w:t>
            </w:r>
          </w:p>
        </w:tc>
      </w:tr>
      <w:tr>
        <w:tc>
          <w:tcPr>
            <w:tcW w:type="dxa" w:w="5891"/>
          </w:tcPr>
          <w:p>
            <w:pPr>
              <w:spacing w:after="50" w:before="50" w:line="252" w:lineRule="auto"/>
            </w:pPr>
            <w:r>
              <w:rPr>
                <w:sz w:val="17"/>
              </w:rPr>
              <w:t>Feedback and close</w:t>
            </w:r>
          </w:p>
        </w:tc>
        <w:tc>
          <w:tcPr>
            <w:tcW w:type="dxa" w:w="885"/>
          </w:tcPr>
          <w:p>
            <w:pPr>
              <w:spacing w:after="50" w:before="50" w:line="252" w:lineRule="auto"/>
            </w:pPr>
            <w:r>
              <w:rPr>
                <w:sz w:val="17"/>
              </w:rPr>
              <w:t>30 min</w:t>
            </w:r>
          </w:p>
        </w:tc>
        <w:tc>
          <w:tcPr>
            <w:tcW w:type="dxa" w:w="2691"/>
          </w:tcPr>
          <w:p>
            <w:pPr>
              <w:spacing w:after="50" w:before="50" w:line="252" w:lineRule="auto"/>
            </w:pPr>
          </w:p>
        </w:tc>
      </w:tr>
    </w:tbl>
    <w:p>
      <w:pPr>
        <w:spacing w:after="80" w:before="0"/>
      </w:pPr>
    </w:p>
    <w:p>
      <w:r>
        <w:rPr>
          <w:b/>
        </w:rPr>
        <w:t>Materials</w:t>
      </w:r>
      <w:r>
        <w:t xml:space="preserve"> two simulations with counsel briefs; mediation brief precedents; settlement precedents; observation sheets.</w:t>
      </w:r>
    </w:p>
    <w:p>
      <w:pPr>
        <w:spacing w:before="80" w:after="160"/>
        <w:pBdr>
          <w:bottom w:val="single" w:sz="6" w:space="1" w:color="C9D6DE"/>
        </w:pBdr>
      </w:pPr>
    </w:p>
    <w:p>
      <w:r>
        <w:br w:type="page"/>
      </w:r>
    </w:p>
    <w:p>
      <w:pPr>
        <w:pStyle w:val="Heading1"/>
        <w:pBdr>
          <w:bottom w:val="single" w:sz="8" w:space="4" w:color="C9D6DE"/>
        </w:pBdr>
      </w:pPr>
      <w:r>
        <w:t>W-NEG · Negotiation Laboratory</w:t>
      </w:r>
    </w:p>
    <w:p>
      <w:r>
        <w:rPr>
          <w:b/>
        </w:rPr>
        <w:t>Duration</w:t>
      </w:r>
      <w:r>
        <w:t xml:space="preserve"> one or two days · </w:t>
      </w:r>
      <w:r>
        <w:rPr>
          <w:b/>
        </w:rPr>
        <w:t>Cohort</w:t>
      </w:r>
      <w:r>
        <w:t xml:space="preserve"> 30–40 · </w:t>
      </w:r>
      <w:r>
        <w:rPr>
          <w:b/>
        </w:rPr>
        <w:t>Audience</w:t>
      </w:r>
      <w:r>
        <w:t xml:space="preserve"> law, management and commerce students</w:t>
      </w:r>
    </w:p>
    <w:p>
      <w:r>
        <w:rPr>
          <w:b/>
        </w:rPr>
        <w:t>Positioning note.</w:t>
      </w:r>
      <w:r>
        <w:t xml:space="preserve"> This is the entry workshop for business schools. Lead with negotiation as a management competence; mediation follows naturally afterwards. Leading with mediation as a legal subject closes the door.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6147"/>
            <w:shd w:val="clear" w:color="auto" w:fill="10375C"/>
          </w:tcPr>
          <w:p>
            <w:pPr>
              <w:spacing w:after="50" w:before="50"/>
            </w:pPr>
            <w:r>
              <w:rPr>
                <w:b/>
                <w:color w:val="FFFFFF"/>
                <w:sz w:val="17"/>
              </w:rPr>
              <w:t>Session</w:t>
            </w:r>
          </w:p>
        </w:tc>
        <w:tc>
          <w:tcPr>
            <w:tcW w:type="dxa" w:w="917"/>
            <w:shd w:val="clear" w:color="auto" w:fill="10375C"/>
          </w:tcPr>
          <w:p>
            <w:pPr>
              <w:spacing w:after="50" w:before="50"/>
            </w:pPr>
            <w:r>
              <w:rPr>
                <w:b/>
                <w:color w:val="FFFFFF"/>
                <w:sz w:val="17"/>
              </w:rPr>
              <w:t>Duration</w:t>
            </w:r>
          </w:p>
        </w:tc>
        <w:tc>
          <w:tcPr>
            <w:tcW w:type="dxa" w:w="2403"/>
            <w:shd w:val="clear" w:color="auto" w:fill="10375C"/>
          </w:tcPr>
          <w:p>
            <w:pPr>
              <w:spacing w:after="50" w:before="50"/>
            </w:pPr>
            <w:r>
              <w:rPr>
                <w:b/>
                <w:color w:val="FFFFFF"/>
                <w:sz w:val="17"/>
              </w:rPr>
              <w:t>Method</w:t>
            </w:r>
          </w:p>
        </w:tc>
      </w:tr>
      <w:tr>
        <w:tc>
          <w:tcPr>
            <w:tcW w:type="dxa" w:w="6147"/>
          </w:tcPr>
          <w:p>
            <w:pPr>
              <w:spacing w:after="50" w:before="50" w:line="252" w:lineRule="auto"/>
            </w:pPr>
            <w:r>
              <w:rPr>
                <w:sz w:val="17"/>
              </w:rPr>
              <w:t>Distributive and integrative bargaining; the negotiator's dilemma</w:t>
            </w:r>
          </w:p>
        </w:tc>
        <w:tc>
          <w:tcPr>
            <w:tcW w:type="dxa" w:w="917"/>
          </w:tcPr>
          <w:p>
            <w:pPr>
              <w:spacing w:after="50" w:before="50" w:line="252" w:lineRule="auto"/>
            </w:pPr>
            <w:r>
              <w:rPr>
                <w:sz w:val="17"/>
              </w:rPr>
              <w:t>45 min</w:t>
            </w:r>
          </w:p>
        </w:tc>
        <w:tc>
          <w:tcPr>
            <w:tcW w:type="dxa" w:w="2403"/>
          </w:tcPr>
          <w:p>
            <w:pPr>
              <w:spacing w:after="50" w:before="50" w:line="252" w:lineRule="auto"/>
            </w:pPr>
            <w:r>
              <w:rPr>
                <w:sz w:val="17"/>
              </w:rPr>
              <w:t>Input</w:t>
            </w:r>
          </w:p>
        </w:tc>
      </w:tr>
      <w:tr>
        <w:tc>
          <w:tcPr>
            <w:tcW w:type="dxa" w:w="6147"/>
            <w:shd w:val="clear" w:color="auto" w:fill="EAF1F4"/>
          </w:tcPr>
          <w:p>
            <w:pPr>
              <w:spacing w:after="50" w:before="50" w:line="252" w:lineRule="auto"/>
            </w:pPr>
            <w:r>
              <w:rPr>
                <w:b/>
                <w:sz w:val="17"/>
              </w:rPr>
              <w:t>Exercise 1</w:t>
            </w:r>
            <w:r>
              <w:rPr>
                <w:sz w:val="17"/>
              </w:rPr>
              <w:t xml:space="preserve"> — a purely distributive single-issue negotiation, scored</w:t>
            </w:r>
          </w:p>
        </w:tc>
        <w:tc>
          <w:tcPr>
            <w:tcW w:type="dxa" w:w="917"/>
            <w:shd w:val="clear" w:color="auto" w:fill="EAF1F4"/>
          </w:tcPr>
          <w:p>
            <w:pPr>
              <w:spacing w:after="50" w:before="50" w:line="252" w:lineRule="auto"/>
            </w:pPr>
            <w:r>
              <w:rPr>
                <w:sz w:val="17"/>
              </w:rPr>
              <w:t>60 min</w:t>
            </w:r>
          </w:p>
        </w:tc>
        <w:tc>
          <w:tcPr>
            <w:tcW w:type="dxa" w:w="2403"/>
            <w:shd w:val="clear" w:color="auto" w:fill="EAF1F4"/>
          </w:tcPr>
          <w:p>
            <w:pPr>
              <w:spacing w:after="50" w:before="50" w:line="252" w:lineRule="auto"/>
            </w:pPr>
            <w:r>
              <w:rPr>
                <w:sz w:val="17"/>
              </w:rPr>
              <w:t>Paired exercise</w:t>
            </w:r>
          </w:p>
        </w:tc>
      </w:tr>
      <w:tr>
        <w:tc>
          <w:tcPr>
            <w:tcW w:type="dxa" w:w="6147"/>
          </w:tcPr>
          <w:p>
            <w:pPr>
              <w:spacing w:after="50" w:before="50" w:line="252" w:lineRule="auto"/>
            </w:pPr>
            <w:r>
              <w:rPr>
                <w:sz w:val="17"/>
              </w:rPr>
              <w:t>Debrief: why everyone left value on the table</w:t>
            </w:r>
          </w:p>
        </w:tc>
        <w:tc>
          <w:tcPr>
            <w:tcW w:type="dxa" w:w="917"/>
          </w:tcPr>
          <w:p>
            <w:pPr>
              <w:spacing w:after="50" w:before="50" w:line="252" w:lineRule="auto"/>
            </w:pPr>
            <w:r>
              <w:rPr>
                <w:sz w:val="17"/>
              </w:rPr>
              <w:t>45 min</w:t>
            </w:r>
          </w:p>
        </w:tc>
        <w:tc>
          <w:tcPr>
            <w:tcW w:type="dxa" w:w="2403"/>
          </w:tcPr>
          <w:p>
            <w:pPr>
              <w:spacing w:after="50" w:before="50" w:line="252" w:lineRule="auto"/>
            </w:pPr>
            <w:r>
              <w:rPr>
                <w:sz w:val="17"/>
              </w:rPr>
              <w:t>Plenary</w:t>
            </w:r>
          </w:p>
        </w:tc>
      </w:tr>
      <w:tr>
        <w:tc>
          <w:tcPr>
            <w:tcW w:type="dxa" w:w="6147"/>
            <w:shd w:val="clear" w:color="auto" w:fill="EAF1F4"/>
          </w:tcPr>
          <w:p>
            <w:pPr>
              <w:spacing w:after="50" w:before="50" w:line="252" w:lineRule="auto"/>
            </w:pPr>
            <w:r>
              <w:rPr>
                <w:sz w:val="17"/>
              </w:rPr>
              <w:t>BATNA, WATNA, ZOPA and reservation value; preparing systematically</w:t>
            </w:r>
          </w:p>
        </w:tc>
        <w:tc>
          <w:tcPr>
            <w:tcW w:type="dxa" w:w="917"/>
            <w:shd w:val="clear" w:color="auto" w:fill="EAF1F4"/>
          </w:tcPr>
          <w:p>
            <w:pPr>
              <w:spacing w:after="50" w:before="50" w:line="252" w:lineRule="auto"/>
            </w:pPr>
            <w:r>
              <w:rPr>
                <w:sz w:val="17"/>
              </w:rPr>
              <w:t>60 min</w:t>
            </w:r>
          </w:p>
        </w:tc>
        <w:tc>
          <w:tcPr>
            <w:tcW w:type="dxa" w:w="2403"/>
            <w:shd w:val="clear" w:color="auto" w:fill="EAF1F4"/>
          </w:tcPr>
          <w:p>
            <w:pPr>
              <w:spacing w:after="50" w:before="50" w:line="252" w:lineRule="auto"/>
            </w:pPr>
            <w:r>
              <w:rPr>
                <w:sz w:val="17"/>
              </w:rPr>
              <w:t>Input and worksheet</w:t>
            </w:r>
          </w:p>
        </w:tc>
      </w:tr>
      <w:tr>
        <w:tc>
          <w:tcPr>
            <w:tcW w:type="dxa" w:w="6147"/>
          </w:tcPr>
          <w:p>
            <w:pPr>
              <w:spacing w:after="50" w:before="50" w:line="252" w:lineRule="auto"/>
            </w:pPr>
            <w:r>
              <w:rPr>
                <w:sz w:val="17"/>
              </w:rPr>
              <w:t>Anchoring, framing, concession patterns; the research and its limits</w:t>
            </w:r>
          </w:p>
        </w:tc>
        <w:tc>
          <w:tcPr>
            <w:tcW w:type="dxa" w:w="917"/>
          </w:tcPr>
          <w:p>
            <w:pPr>
              <w:spacing w:after="50" w:before="50" w:line="252" w:lineRule="auto"/>
            </w:pPr>
            <w:r>
              <w:rPr>
                <w:sz w:val="17"/>
              </w:rPr>
              <w:t>45 min</w:t>
            </w:r>
          </w:p>
        </w:tc>
        <w:tc>
          <w:tcPr>
            <w:tcW w:type="dxa" w:w="2403"/>
          </w:tcPr>
          <w:p>
            <w:pPr>
              <w:spacing w:after="50" w:before="50" w:line="252" w:lineRule="auto"/>
            </w:pPr>
            <w:r>
              <w:rPr>
                <w:sz w:val="17"/>
              </w:rPr>
              <w:t>Input</w:t>
            </w:r>
          </w:p>
        </w:tc>
      </w:tr>
      <w:tr>
        <w:tc>
          <w:tcPr>
            <w:tcW w:type="dxa" w:w="6147"/>
            <w:shd w:val="clear" w:color="auto" w:fill="EAF1F4"/>
          </w:tcPr>
          <w:p>
            <w:pPr>
              <w:spacing w:after="50" w:before="50" w:line="252" w:lineRule="auto"/>
            </w:pPr>
            <w:r>
              <w:rPr>
                <w:b/>
                <w:sz w:val="17"/>
              </w:rPr>
              <w:t>Exercise 2</w:t>
            </w:r>
            <w:r>
              <w:rPr>
                <w:sz w:val="17"/>
              </w:rPr>
              <w:t xml:space="preserve"> — multi-issue integrative negotiation with differential priorities, scored</w:t>
            </w:r>
          </w:p>
        </w:tc>
        <w:tc>
          <w:tcPr>
            <w:tcW w:type="dxa" w:w="917"/>
            <w:shd w:val="clear" w:color="auto" w:fill="EAF1F4"/>
          </w:tcPr>
          <w:p>
            <w:pPr>
              <w:spacing w:after="50" w:before="50" w:line="252" w:lineRule="auto"/>
            </w:pPr>
            <w:r>
              <w:rPr>
                <w:sz w:val="17"/>
              </w:rPr>
              <w:t>90 min</w:t>
            </w:r>
          </w:p>
        </w:tc>
        <w:tc>
          <w:tcPr>
            <w:tcW w:type="dxa" w:w="2403"/>
            <w:shd w:val="clear" w:color="auto" w:fill="EAF1F4"/>
          </w:tcPr>
          <w:p>
            <w:pPr>
              <w:spacing w:after="50" w:before="50" w:line="252" w:lineRule="auto"/>
            </w:pPr>
            <w:r>
              <w:rPr>
                <w:sz w:val="17"/>
              </w:rPr>
              <w:t>Groups</w:t>
            </w:r>
          </w:p>
        </w:tc>
      </w:tr>
      <w:tr>
        <w:tc>
          <w:tcPr>
            <w:tcW w:type="dxa" w:w="6147"/>
          </w:tcPr>
          <w:p>
            <w:pPr>
              <w:spacing w:after="50" w:before="50" w:line="252" w:lineRule="auto"/>
            </w:pPr>
            <w:r>
              <w:rPr>
                <w:sz w:val="17"/>
              </w:rPr>
              <w:t>Debrief: how value was created, and by whom</w:t>
            </w:r>
          </w:p>
        </w:tc>
        <w:tc>
          <w:tcPr>
            <w:tcW w:type="dxa" w:w="917"/>
          </w:tcPr>
          <w:p>
            <w:pPr>
              <w:spacing w:after="50" w:before="50" w:line="252" w:lineRule="auto"/>
            </w:pPr>
            <w:r>
              <w:rPr>
                <w:sz w:val="17"/>
              </w:rPr>
              <w:t>60 min</w:t>
            </w:r>
          </w:p>
        </w:tc>
        <w:tc>
          <w:tcPr>
            <w:tcW w:type="dxa" w:w="2403"/>
          </w:tcPr>
          <w:p>
            <w:pPr>
              <w:spacing w:after="50" w:before="50" w:line="252" w:lineRule="auto"/>
            </w:pPr>
            <w:r>
              <w:rPr>
                <w:sz w:val="17"/>
              </w:rPr>
              <w:t>Plenary with scoring analysis</w:t>
            </w:r>
          </w:p>
        </w:tc>
      </w:tr>
      <w:tr>
        <w:tc>
          <w:tcPr>
            <w:tcW w:type="dxa" w:w="6147"/>
            <w:shd w:val="clear" w:color="auto" w:fill="EAF1F4"/>
          </w:tcPr>
          <w:p>
            <w:pPr>
              <w:spacing w:after="50" w:before="50" w:line="252" w:lineRule="auto"/>
            </w:pPr>
            <w:r>
              <w:rPr>
                <w:sz w:val="17"/>
              </w:rPr>
              <w:t>Information exchange — what to reveal and when; trust and its verification</w:t>
            </w:r>
          </w:p>
        </w:tc>
        <w:tc>
          <w:tcPr>
            <w:tcW w:type="dxa" w:w="917"/>
            <w:shd w:val="clear" w:color="auto" w:fill="EAF1F4"/>
          </w:tcPr>
          <w:p>
            <w:pPr>
              <w:spacing w:after="50" w:before="50" w:line="252" w:lineRule="auto"/>
            </w:pPr>
            <w:r>
              <w:rPr>
                <w:sz w:val="17"/>
              </w:rPr>
              <w:t>45 min</w:t>
            </w:r>
          </w:p>
        </w:tc>
        <w:tc>
          <w:tcPr>
            <w:tcW w:type="dxa" w:w="2403"/>
            <w:shd w:val="clear" w:color="auto" w:fill="EAF1F4"/>
          </w:tcPr>
          <w:p>
            <w:pPr>
              <w:spacing w:after="50" w:before="50" w:line="252" w:lineRule="auto"/>
            </w:pPr>
            <w:r>
              <w:rPr>
                <w:sz w:val="17"/>
              </w:rPr>
              <w:t>Input and exercise</w:t>
            </w:r>
          </w:p>
        </w:tc>
      </w:tr>
      <w:tr>
        <w:tc>
          <w:tcPr>
            <w:tcW w:type="dxa" w:w="6147"/>
          </w:tcPr>
          <w:p>
            <w:pPr>
              <w:spacing w:after="50" w:before="50" w:line="252" w:lineRule="auto"/>
            </w:pPr>
            <w:r>
              <w:rPr>
                <w:sz w:val="17"/>
              </w:rPr>
              <w:t>Difficult tactics and how to respond without escalating</w:t>
            </w:r>
          </w:p>
        </w:tc>
        <w:tc>
          <w:tcPr>
            <w:tcW w:type="dxa" w:w="917"/>
          </w:tcPr>
          <w:p>
            <w:pPr>
              <w:spacing w:after="50" w:before="50" w:line="252" w:lineRule="auto"/>
            </w:pPr>
            <w:r>
              <w:rPr>
                <w:sz w:val="17"/>
              </w:rPr>
              <w:t>45 min</w:t>
            </w:r>
          </w:p>
        </w:tc>
        <w:tc>
          <w:tcPr>
            <w:tcW w:type="dxa" w:w="2403"/>
          </w:tcPr>
          <w:p>
            <w:pPr>
              <w:spacing w:after="50" w:before="50" w:line="252" w:lineRule="auto"/>
            </w:pPr>
            <w:r>
              <w:rPr>
                <w:sz w:val="17"/>
              </w:rPr>
              <w:t>Input and drill</w:t>
            </w:r>
          </w:p>
        </w:tc>
      </w:tr>
      <w:tr>
        <w:tc>
          <w:tcPr>
            <w:tcW w:type="dxa" w:w="6147"/>
            <w:shd w:val="clear" w:color="auto" w:fill="EAF1F4"/>
          </w:tcPr>
          <w:p>
            <w:pPr>
              <w:spacing w:after="50" w:before="50" w:line="252" w:lineRule="auto"/>
            </w:pPr>
            <w:r>
              <w:rPr>
                <w:sz w:val="17"/>
              </w:rPr>
              <w:t>Cross-cultural and cross-hierarchy negotiation in the Indian context</w:t>
            </w:r>
          </w:p>
        </w:tc>
        <w:tc>
          <w:tcPr>
            <w:tcW w:type="dxa" w:w="917"/>
            <w:shd w:val="clear" w:color="auto" w:fill="EAF1F4"/>
          </w:tcPr>
          <w:p>
            <w:pPr>
              <w:spacing w:after="50" w:before="50" w:line="252" w:lineRule="auto"/>
            </w:pPr>
            <w:r>
              <w:rPr>
                <w:sz w:val="17"/>
              </w:rPr>
              <w:t>45 min</w:t>
            </w:r>
          </w:p>
        </w:tc>
        <w:tc>
          <w:tcPr>
            <w:tcW w:type="dxa" w:w="2403"/>
            <w:shd w:val="clear" w:color="auto" w:fill="EAF1F4"/>
          </w:tcPr>
          <w:p>
            <w:pPr>
              <w:spacing w:after="50" w:before="50" w:line="252" w:lineRule="auto"/>
            </w:pPr>
            <w:r>
              <w:rPr>
                <w:sz w:val="17"/>
              </w:rPr>
              <w:t>Input and discussion</w:t>
            </w:r>
          </w:p>
        </w:tc>
      </w:tr>
      <w:tr>
        <w:tc>
          <w:tcPr>
            <w:tcW w:type="dxa" w:w="6147"/>
          </w:tcPr>
          <w:p>
            <w:pPr>
              <w:spacing w:after="50" w:before="50" w:line="252" w:lineRule="auto"/>
            </w:pPr>
            <w:r>
              <w:rPr>
                <w:b/>
                <w:sz w:val="17"/>
              </w:rPr>
              <w:t>Exercise 3</w:t>
            </w:r>
            <w:r>
              <w:rPr>
                <w:sz w:val="17"/>
              </w:rPr>
              <w:t xml:space="preserve"> — multi-party negotiation with coalitions, scored</w:t>
            </w:r>
          </w:p>
        </w:tc>
        <w:tc>
          <w:tcPr>
            <w:tcW w:type="dxa" w:w="917"/>
          </w:tcPr>
          <w:p>
            <w:pPr>
              <w:spacing w:after="50" w:before="50" w:line="252" w:lineRule="auto"/>
            </w:pPr>
            <w:r>
              <w:rPr>
                <w:sz w:val="17"/>
              </w:rPr>
              <w:t>90 min</w:t>
            </w:r>
          </w:p>
        </w:tc>
        <w:tc>
          <w:tcPr>
            <w:tcW w:type="dxa" w:w="2403"/>
          </w:tcPr>
          <w:p>
            <w:pPr>
              <w:spacing w:after="50" w:before="50" w:line="252" w:lineRule="auto"/>
            </w:pPr>
            <w:r>
              <w:rPr>
                <w:sz w:val="17"/>
              </w:rPr>
              <w:t>Groups</w:t>
            </w:r>
          </w:p>
        </w:tc>
      </w:tr>
      <w:tr>
        <w:tc>
          <w:tcPr>
            <w:tcW w:type="dxa" w:w="6147"/>
            <w:shd w:val="clear" w:color="auto" w:fill="EAF1F4"/>
          </w:tcPr>
          <w:p>
            <w:pPr>
              <w:spacing w:after="50" w:before="50" w:line="252" w:lineRule="auto"/>
            </w:pPr>
            <w:r>
              <w:rPr>
                <w:sz w:val="17"/>
              </w:rPr>
              <w:t>Debrief and personal negotiation profile</w:t>
            </w:r>
          </w:p>
        </w:tc>
        <w:tc>
          <w:tcPr>
            <w:tcW w:type="dxa" w:w="917"/>
            <w:shd w:val="clear" w:color="auto" w:fill="EAF1F4"/>
          </w:tcPr>
          <w:p>
            <w:pPr>
              <w:spacing w:after="50" w:before="50" w:line="252" w:lineRule="auto"/>
            </w:pPr>
            <w:r>
              <w:rPr>
                <w:sz w:val="17"/>
              </w:rPr>
              <w:t>60 min</w:t>
            </w:r>
          </w:p>
        </w:tc>
        <w:tc>
          <w:tcPr>
            <w:tcW w:type="dxa" w:w="2403"/>
            <w:shd w:val="clear" w:color="auto" w:fill="EAF1F4"/>
          </w:tcPr>
          <w:p>
            <w:pPr>
              <w:spacing w:after="50" w:before="50" w:line="252" w:lineRule="auto"/>
            </w:pPr>
            <w:r>
              <w:rPr>
                <w:sz w:val="17"/>
              </w:rPr>
              <w:t>Plenary and individual</w:t>
            </w:r>
          </w:p>
        </w:tc>
      </w:tr>
    </w:tbl>
    <w:p>
      <w:pPr>
        <w:spacing w:after="80" w:before="0"/>
      </w:pPr>
    </w:p>
    <w:p>
      <w:r>
        <w:rPr>
          <w:b/>
        </w:rPr>
        <w:t>Materials</w:t>
      </w:r>
      <w:r>
        <w:t xml:space="preserve"> three scored exercises with confidential instructions; preparation worksheet; scoring matrix; profile instrument.</w:t>
      </w:r>
    </w:p>
    <w:p>
      <w:pPr>
        <w:spacing w:before="80" w:after="160"/>
        <w:pBdr>
          <w:bottom w:val="single" w:sz="6" w:space="1" w:color="C9D6DE"/>
        </w:pBdr>
      </w:pPr>
    </w:p>
    <w:p>
      <w:r>
        <w:br w:type="page"/>
      </w:r>
    </w:p>
    <w:p>
      <w:pPr>
        <w:pStyle w:val="Heading1"/>
        <w:pBdr>
          <w:bottom w:val="single" w:sz="8" w:space="4" w:color="C9D6DE"/>
        </w:pBdr>
      </w:pPr>
      <w:r>
        <w:t>W-DRAFT · Drafting Clinic</w:t>
      </w:r>
    </w:p>
    <w:p>
      <w:r>
        <w:rPr>
          <w:b/>
        </w:rPr>
        <w:t>Duration</w:t>
      </w:r>
      <w:r>
        <w:t xml:space="preserve"> one day · </w:t>
      </w:r>
      <w:r>
        <w:rPr>
          <w:b/>
        </w:rPr>
        <w:t>Cohort</w:t>
      </w:r>
      <w:r>
        <w:t xml:space="preserve"> 30–40</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37"/>
            <w:shd w:val="clear" w:color="auto" w:fill="10375C"/>
          </w:tcPr>
          <w:p>
            <w:pPr>
              <w:spacing w:after="50" w:before="50"/>
            </w:pPr>
            <w:r>
              <w:rPr>
                <w:b/>
                <w:color w:val="FFFFFF"/>
                <w:sz w:val="17"/>
              </w:rPr>
              <w:t>Session</w:t>
            </w:r>
          </w:p>
        </w:tc>
        <w:tc>
          <w:tcPr>
            <w:tcW w:type="dxa" w:w="1231"/>
            <w:shd w:val="clear" w:color="auto" w:fill="10375C"/>
          </w:tcPr>
          <w:p>
            <w:pPr>
              <w:spacing w:after="50" w:before="50"/>
            </w:pPr>
            <w:r>
              <w:rPr>
                <w:b/>
                <w:color w:val="FFFFFF"/>
                <w:sz w:val="17"/>
              </w:rPr>
              <w:t>Duration</w:t>
            </w:r>
          </w:p>
        </w:tc>
      </w:tr>
      <w:tr>
        <w:tc>
          <w:tcPr>
            <w:tcW w:type="dxa" w:w="8237"/>
          </w:tcPr>
          <w:p>
            <w:pPr>
              <w:spacing w:after="50" w:before="50" w:line="252" w:lineRule="auto"/>
            </w:pPr>
            <w:r>
              <w:rPr>
                <w:sz w:val="17"/>
              </w:rPr>
              <w:t>What makes a settlement agreement enforceable; enforcement under the Mediation Act, 2023</w:t>
            </w:r>
          </w:p>
        </w:tc>
        <w:tc>
          <w:tcPr>
            <w:tcW w:type="dxa" w:w="1231"/>
          </w:tcPr>
          <w:p>
            <w:pPr>
              <w:spacing w:after="50" w:before="50" w:line="252" w:lineRule="auto"/>
            </w:pPr>
            <w:r>
              <w:rPr>
                <w:sz w:val="17"/>
              </w:rPr>
              <w:t>45 min</w:t>
            </w:r>
          </w:p>
        </w:tc>
      </w:tr>
      <w:tr>
        <w:tc>
          <w:tcPr>
            <w:tcW w:type="dxa" w:w="8237"/>
            <w:shd w:val="clear" w:color="auto" w:fill="EAF1F4"/>
          </w:tcPr>
          <w:p>
            <w:pPr>
              <w:spacing w:after="50" w:before="50" w:line="252" w:lineRule="auto"/>
            </w:pPr>
            <w:r>
              <w:rPr>
                <w:sz w:val="17"/>
              </w:rPr>
              <w:t>Anatomy of a mediated settlement agreement — recitals, operative terms, consideration, timelines, conditions, confidentiality, costs, execution</w:t>
            </w:r>
          </w:p>
        </w:tc>
        <w:tc>
          <w:tcPr>
            <w:tcW w:type="dxa" w:w="1231"/>
            <w:shd w:val="clear" w:color="auto" w:fill="EAF1F4"/>
          </w:tcPr>
          <w:p>
            <w:pPr>
              <w:spacing w:after="50" w:before="50" w:line="252" w:lineRule="auto"/>
            </w:pPr>
            <w:r>
              <w:rPr>
                <w:sz w:val="17"/>
              </w:rPr>
              <w:t>60 min</w:t>
            </w:r>
          </w:p>
        </w:tc>
      </w:tr>
      <w:tr>
        <w:tc>
          <w:tcPr>
            <w:tcW w:type="dxa" w:w="8237"/>
          </w:tcPr>
          <w:p>
            <w:pPr>
              <w:spacing w:after="50" w:before="50" w:line="252" w:lineRule="auto"/>
            </w:pPr>
            <w:r>
              <w:rPr>
                <w:b/>
                <w:sz w:val="17"/>
              </w:rPr>
              <w:t>Drafting exercise 1</w:t>
            </w:r>
            <w:r>
              <w:rPr>
                <w:sz w:val="17"/>
              </w:rPr>
              <w:t xml:space="preserve"> — a simple two-party payment settlement</w:t>
            </w:r>
          </w:p>
        </w:tc>
        <w:tc>
          <w:tcPr>
            <w:tcW w:type="dxa" w:w="1231"/>
          </w:tcPr>
          <w:p>
            <w:pPr>
              <w:spacing w:after="50" w:before="50" w:line="252" w:lineRule="auto"/>
            </w:pPr>
            <w:r>
              <w:rPr>
                <w:sz w:val="17"/>
              </w:rPr>
              <w:t>60 min</w:t>
            </w:r>
          </w:p>
        </w:tc>
      </w:tr>
      <w:tr>
        <w:tc>
          <w:tcPr>
            <w:tcW w:type="dxa" w:w="8237"/>
            <w:shd w:val="clear" w:color="auto" w:fill="EAF1F4"/>
          </w:tcPr>
          <w:p>
            <w:pPr>
              <w:spacing w:after="50" w:before="50" w:line="252" w:lineRule="auto"/>
            </w:pPr>
            <w:r>
              <w:rPr>
                <w:sz w:val="17"/>
              </w:rPr>
              <w:t>Review and common errors</w:t>
            </w:r>
          </w:p>
        </w:tc>
        <w:tc>
          <w:tcPr>
            <w:tcW w:type="dxa" w:w="1231"/>
            <w:shd w:val="clear" w:color="auto" w:fill="EAF1F4"/>
          </w:tcPr>
          <w:p>
            <w:pPr>
              <w:spacing w:after="50" w:before="50" w:line="252" w:lineRule="auto"/>
            </w:pPr>
            <w:r>
              <w:rPr>
                <w:sz w:val="17"/>
              </w:rPr>
              <w:t>45 min</w:t>
            </w:r>
          </w:p>
        </w:tc>
      </w:tr>
      <w:tr>
        <w:tc>
          <w:tcPr>
            <w:tcW w:type="dxa" w:w="8237"/>
          </w:tcPr>
          <w:p>
            <w:pPr>
              <w:spacing w:after="50" w:before="50" w:line="252" w:lineRule="auto"/>
            </w:pPr>
            <w:r>
              <w:rPr>
                <w:sz w:val="17"/>
              </w:rPr>
              <w:t>Drafting for certainty — dates, amounts, mechanisms, who does what by when</w:t>
            </w:r>
          </w:p>
        </w:tc>
        <w:tc>
          <w:tcPr>
            <w:tcW w:type="dxa" w:w="1231"/>
          </w:tcPr>
          <w:p>
            <w:pPr>
              <w:spacing w:after="50" w:before="50" w:line="252" w:lineRule="auto"/>
            </w:pPr>
            <w:r>
              <w:rPr>
                <w:sz w:val="17"/>
              </w:rPr>
              <w:t>45 min</w:t>
            </w:r>
          </w:p>
        </w:tc>
      </w:tr>
      <w:tr>
        <w:tc>
          <w:tcPr>
            <w:tcW w:type="dxa" w:w="8237"/>
            <w:shd w:val="clear" w:color="auto" w:fill="EAF1F4"/>
          </w:tcPr>
          <w:p>
            <w:pPr>
              <w:spacing w:after="50" w:before="50" w:line="252" w:lineRule="auto"/>
            </w:pPr>
            <w:r>
              <w:rPr>
                <w:sz w:val="17"/>
              </w:rPr>
              <w:t>Conditions precedent, staged performance, third-party consents, security</w:t>
            </w:r>
          </w:p>
        </w:tc>
        <w:tc>
          <w:tcPr>
            <w:tcW w:type="dxa" w:w="1231"/>
            <w:shd w:val="clear" w:color="auto" w:fill="EAF1F4"/>
          </w:tcPr>
          <w:p>
            <w:pPr>
              <w:spacing w:after="50" w:before="50" w:line="252" w:lineRule="auto"/>
            </w:pPr>
            <w:r>
              <w:rPr>
                <w:sz w:val="17"/>
              </w:rPr>
              <w:t>45 min</w:t>
            </w:r>
          </w:p>
        </w:tc>
      </w:tr>
      <w:tr>
        <w:tc>
          <w:tcPr>
            <w:tcW w:type="dxa" w:w="8237"/>
          </w:tcPr>
          <w:p>
            <w:pPr>
              <w:spacing w:after="50" w:before="50" w:line="252" w:lineRule="auto"/>
            </w:pPr>
            <w:r>
              <w:rPr>
                <w:b/>
                <w:sz w:val="17"/>
              </w:rPr>
              <w:t>Drafting exercise 2</w:t>
            </w:r>
            <w:r>
              <w:rPr>
                <w:sz w:val="17"/>
              </w:rPr>
              <w:t xml:space="preserve"> — a complex settlement with staged payment and conditions</w:t>
            </w:r>
          </w:p>
        </w:tc>
        <w:tc>
          <w:tcPr>
            <w:tcW w:type="dxa" w:w="1231"/>
          </w:tcPr>
          <w:p>
            <w:pPr>
              <w:spacing w:after="50" w:before="50" w:line="252" w:lineRule="auto"/>
            </w:pPr>
            <w:r>
              <w:rPr>
                <w:sz w:val="17"/>
              </w:rPr>
              <w:t>90 min</w:t>
            </w:r>
          </w:p>
        </w:tc>
      </w:tr>
      <w:tr>
        <w:tc>
          <w:tcPr>
            <w:tcW w:type="dxa" w:w="8237"/>
            <w:shd w:val="clear" w:color="auto" w:fill="EAF1F4"/>
          </w:tcPr>
          <w:p>
            <w:pPr>
              <w:spacing w:after="50" w:before="50" w:line="252" w:lineRule="auto"/>
            </w:pPr>
            <w:r>
              <w:rPr>
                <w:sz w:val="17"/>
              </w:rPr>
              <w:t>Review</w:t>
            </w:r>
          </w:p>
        </w:tc>
        <w:tc>
          <w:tcPr>
            <w:tcW w:type="dxa" w:w="1231"/>
            <w:shd w:val="clear" w:color="auto" w:fill="EAF1F4"/>
          </w:tcPr>
          <w:p>
            <w:pPr>
              <w:spacing w:after="50" w:before="50" w:line="252" w:lineRule="auto"/>
            </w:pPr>
            <w:r>
              <w:rPr>
                <w:sz w:val="17"/>
              </w:rPr>
              <w:t>45 min</w:t>
            </w:r>
          </w:p>
        </w:tc>
      </w:tr>
      <w:tr>
        <w:tc>
          <w:tcPr>
            <w:tcW w:type="dxa" w:w="8237"/>
          </w:tcPr>
          <w:p>
            <w:pPr>
              <w:spacing w:after="50" w:before="50" w:line="252" w:lineRule="auto"/>
            </w:pPr>
            <w:r>
              <w:rPr>
                <w:b/>
                <w:sz w:val="17"/>
              </w:rPr>
              <w:t>Mediation and multi-tier clauses</w:t>
            </w:r>
            <w:r>
              <w:rPr>
                <w:sz w:val="17"/>
              </w:rPr>
              <w:t xml:space="preserve"> — drafting the clause that gets you to mediation in the first place; med-arb; escalation clauses; the pathological clause</w:t>
            </w:r>
          </w:p>
        </w:tc>
        <w:tc>
          <w:tcPr>
            <w:tcW w:type="dxa" w:w="1231"/>
          </w:tcPr>
          <w:p>
            <w:pPr>
              <w:spacing w:after="50" w:before="50" w:line="252" w:lineRule="auto"/>
            </w:pPr>
            <w:r>
              <w:rPr>
                <w:sz w:val="17"/>
              </w:rPr>
              <w:t>60 min</w:t>
            </w:r>
          </w:p>
        </w:tc>
      </w:tr>
      <w:tr>
        <w:tc>
          <w:tcPr>
            <w:tcW w:type="dxa" w:w="8237"/>
            <w:shd w:val="clear" w:color="auto" w:fill="EAF1F4"/>
          </w:tcPr>
          <w:p>
            <w:pPr>
              <w:spacing w:after="50" w:before="50" w:line="252" w:lineRule="auto"/>
            </w:pPr>
            <w:r>
              <w:rPr>
                <w:b/>
                <w:sz w:val="17"/>
              </w:rPr>
              <w:t>Drafting exercise 3</w:t>
            </w:r>
            <w:r>
              <w:rPr>
                <w:sz w:val="17"/>
              </w:rPr>
              <w:t xml:space="preserve"> — a multi-tier dispute resolution clause</w:t>
            </w:r>
          </w:p>
        </w:tc>
        <w:tc>
          <w:tcPr>
            <w:tcW w:type="dxa" w:w="1231"/>
            <w:shd w:val="clear" w:color="auto" w:fill="EAF1F4"/>
          </w:tcPr>
          <w:p>
            <w:pPr>
              <w:spacing w:after="50" w:before="50" w:line="252" w:lineRule="auto"/>
            </w:pPr>
            <w:r>
              <w:rPr>
                <w:sz w:val="17"/>
              </w:rPr>
              <w:t>45 min</w:t>
            </w:r>
          </w:p>
        </w:tc>
      </w:tr>
      <w:tr>
        <w:tc>
          <w:tcPr>
            <w:tcW w:type="dxa" w:w="8237"/>
          </w:tcPr>
          <w:p>
            <w:pPr>
              <w:spacing w:after="50" w:before="50" w:line="252" w:lineRule="auto"/>
            </w:pPr>
            <w:r>
              <w:rPr>
                <w:sz w:val="17"/>
              </w:rPr>
              <w:t>Review and close</w:t>
            </w:r>
          </w:p>
        </w:tc>
        <w:tc>
          <w:tcPr>
            <w:tcW w:type="dxa" w:w="1231"/>
          </w:tcPr>
          <w:p>
            <w:pPr>
              <w:spacing w:after="50" w:before="50" w:line="252" w:lineRule="auto"/>
            </w:pPr>
            <w:r>
              <w:rPr>
                <w:sz w:val="17"/>
              </w:rPr>
              <w:t>30 min</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W-ARB · Arbitration Workshop Series</w:t>
      </w:r>
    </w:p>
    <w:p>
      <w:r>
        <w:rPr>
          <w:b/>
        </w:rPr>
        <w:t>Duration</w:t>
      </w:r>
      <w:r>
        <w:t xml:space="preserve"> three half days · </w:t>
      </w:r>
      <w:r>
        <w:rPr>
          <w:b/>
        </w:rPr>
        <w:t>Cohort</w:t>
      </w:r>
      <w:r>
        <w:t xml:space="preserve"> 40–50</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532"/>
            <w:shd w:val="clear" w:color="auto" w:fill="10375C"/>
          </w:tcPr>
          <w:p>
            <w:pPr>
              <w:spacing w:after="50" w:before="50"/>
            </w:pPr>
            <w:r>
              <w:rPr>
                <w:b/>
                <w:color w:val="FFFFFF"/>
                <w:sz w:val="17"/>
              </w:rPr>
              <w:t>Module</w:t>
            </w:r>
          </w:p>
        </w:tc>
        <w:tc>
          <w:tcPr>
            <w:tcW w:type="dxa" w:w="5936"/>
            <w:shd w:val="clear" w:color="auto" w:fill="10375C"/>
          </w:tcPr>
          <w:p>
            <w:pPr>
              <w:spacing w:after="50" w:before="50"/>
            </w:pPr>
            <w:r>
              <w:rPr>
                <w:b/>
                <w:color w:val="FFFFFF"/>
                <w:sz w:val="17"/>
              </w:rPr>
              <w:t>Content</w:t>
            </w:r>
          </w:p>
        </w:tc>
      </w:tr>
      <w:tr>
        <w:tc>
          <w:tcPr>
            <w:tcW w:type="dxa" w:w="3532"/>
          </w:tcPr>
          <w:p>
            <w:pPr>
              <w:spacing w:after="50" w:before="50" w:line="252" w:lineRule="auto"/>
            </w:pPr>
            <w:r>
              <w:rPr>
                <w:b/>
                <w:sz w:val="17"/>
              </w:rPr>
              <w:t>1. The agreement and the tribunal</w:t>
            </w:r>
          </w:p>
        </w:tc>
        <w:tc>
          <w:tcPr>
            <w:tcW w:type="dxa" w:w="5936"/>
          </w:tcPr>
          <w:p>
            <w:pPr>
              <w:spacing w:after="50" w:before="50" w:line="252" w:lineRule="auto"/>
            </w:pPr>
            <w:r>
              <w:rPr>
                <w:sz w:val="17"/>
              </w:rPr>
              <w:t>Arbitration under the Arbitration and Conciliation Act, 1996; drafting the arbitration clause; seat, venue and governing law; appointment and challenge; institutional versus ad hoc; kompetenz-kompetenz; interim measures</w:t>
            </w:r>
          </w:p>
        </w:tc>
      </w:tr>
      <w:tr>
        <w:tc>
          <w:tcPr>
            <w:tcW w:type="dxa" w:w="3532"/>
            <w:shd w:val="clear" w:color="auto" w:fill="EAF1F4"/>
          </w:tcPr>
          <w:p>
            <w:pPr>
              <w:spacing w:after="50" w:before="50" w:line="252" w:lineRule="auto"/>
            </w:pPr>
            <w:r>
              <w:rPr>
                <w:b/>
                <w:sz w:val="17"/>
              </w:rPr>
              <w:t>2. The proceedings</w:t>
            </w:r>
          </w:p>
        </w:tc>
        <w:tc>
          <w:tcPr>
            <w:tcW w:type="dxa" w:w="5936"/>
            <w:shd w:val="clear" w:color="auto" w:fill="EAF1F4"/>
          </w:tcPr>
          <w:p>
            <w:pPr>
              <w:spacing w:after="50" w:before="50" w:line="252" w:lineRule="auto"/>
            </w:pPr>
            <w:r>
              <w:rPr>
                <w:sz w:val="17"/>
              </w:rPr>
              <w:t>Statement of claim and defence; procedural orders; document production; evidence and witness statements; the hearing; examination and cross-examination in arbitration; written submissions</w:t>
            </w:r>
          </w:p>
        </w:tc>
      </w:tr>
      <w:tr>
        <w:tc>
          <w:tcPr>
            <w:tcW w:type="dxa" w:w="3532"/>
          </w:tcPr>
          <w:p>
            <w:pPr>
              <w:spacing w:after="50" w:before="50" w:line="252" w:lineRule="auto"/>
            </w:pPr>
            <w:r>
              <w:rPr>
                <w:b/>
                <w:sz w:val="17"/>
              </w:rPr>
              <w:t>3. The award and after</w:t>
            </w:r>
          </w:p>
        </w:tc>
        <w:tc>
          <w:tcPr>
            <w:tcW w:type="dxa" w:w="5936"/>
          </w:tcPr>
          <w:p>
            <w:pPr>
              <w:spacing w:after="50" w:before="50" w:line="252" w:lineRule="auto"/>
            </w:pPr>
            <w:r>
              <w:rPr>
                <w:sz w:val="17"/>
              </w:rPr>
              <w:t>Requirements of a valid award; reasons; costs; correction; challenge and the grounds; enforcement of domestic and foreign awards; the interaction with mediation and med-arb</w:t>
            </w:r>
          </w:p>
        </w:tc>
      </w:tr>
    </w:tbl>
    <w:p>
      <w:pPr>
        <w:spacing w:after="80" w:before="0"/>
      </w:pPr>
    </w:p>
    <w:p>
      <w:r>
        <w:t>Each module: 45 minutes input, 60 minutes drafting or drill, 45 minutes exercise, 30 minutes review.</w:t>
      </w:r>
    </w:p>
    <w:p>
      <w:r>
        <w:rPr>
          <w:b/>
        </w:rPr>
        <w:t>[verify — confirm current amendment status of the Arbitration and Conciliation Act before delivery.]</w:t>
      </w:r>
    </w:p>
    <w:p>
      <w:pPr>
        <w:spacing w:before="80" w:after="160"/>
        <w:pBdr>
          <w:bottom w:val="single" w:sz="6" w:space="1" w:color="C9D6DE"/>
        </w:pBdr>
      </w:pPr>
    </w:p>
    <w:p>
      <w:r>
        <w:br w:type="page"/>
      </w:r>
    </w:p>
    <w:p>
      <w:pPr>
        <w:pStyle w:val="Heading1"/>
        <w:pBdr>
          <w:bottom w:val="single" w:sz="8" w:space="4" w:color="C9D6DE"/>
        </w:pBdr>
      </w:pPr>
      <w:r>
        <w:t>W-ODR · Online Dispute Resolution and Technology</w:t>
      </w:r>
    </w:p>
    <w:p>
      <w:r>
        <w:rPr>
          <w:b/>
        </w:rPr>
        <w:t>Duration</w:t>
      </w:r>
      <w:r>
        <w:t xml:space="preserve"> one day · </w:t>
      </w:r>
      <w:r>
        <w:rPr>
          <w:b/>
        </w:rPr>
        <w:t>Cohort</w:t>
      </w:r>
      <w:r>
        <w:t xml:space="preserve"> 40–50</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85"/>
            <w:shd w:val="clear" w:color="auto" w:fill="10375C"/>
          </w:tcPr>
          <w:p>
            <w:pPr>
              <w:spacing w:after="50" w:before="50"/>
            </w:pPr>
            <w:r>
              <w:rPr>
                <w:b/>
                <w:color w:val="FFFFFF"/>
                <w:sz w:val="17"/>
              </w:rPr>
              <w:t>Session</w:t>
            </w:r>
          </w:p>
        </w:tc>
        <w:tc>
          <w:tcPr>
            <w:tcW w:type="dxa" w:w="1182"/>
            <w:shd w:val="clear" w:color="auto" w:fill="10375C"/>
          </w:tcPr>
          <w:p>
            <w:pPr>
              <w:spacing w:after="50" w:before="50"/>
            </w:pPr>
            <w:r>
              <w:rPr>
                <w:b/>
                <w:color w:val="FFFFFF"/>
                <w:sz w:val="17"/>
              </w:rPr>
              <w:t>Content</w:t>
            </w:r>
          </w:p>
        </w:tc>
      </w:tr>
      <w:tr>
        <w:tc>
          <w:tcPr>
            <w:tcW w:type="dxa" w:w="8285"/>
          </w:tcPr>
          <w:p>
            <w:pPr>
              <w:spacing w:after="50" w:before="50" w:line="252" w:lineRule="auto"/>
            </w:pPr>
            <w:r>
              <w:rPr>
                <w:sz w:val="17"/>
              </w:rPr>
              <w:t>The ODR landscape in India — what exists, what works, what does not</w:t>
            </w:r>
          </w:p>
        </w:tc>
        <w:tc>
          <w:tcPr>
            <w:tcW w:type="dxa" w:w="1182"/>
          </w:tcPr>
          <w:p>
            <w:pPr>
              <w:spacing w:after="50" w:before="50" w:line="252" w:lineRule="auto"/>
            </w:pPr>
            <w:r>
              <w:rPr>
                <w:sz w:val="17"/>
              </w:rPr>
              <w:t>60 min</w:t>
            </w:r>
          </w:p>
        </w:tc>
      </w:tr>
      <w:tr>
        <w:tc>
          <w:tcPr>
            <w:tcW w:type="dxa" w:w="8285"/>
            <w:shd w:val="clear" w:color="auto" w:fill="EAF1F4"/>
          </w:tcPr>
          <w:p>
            <w:pPr>
              <w:spacing w:after="50" w:before="50" w:line="252" w:lineRule="auto"/>
            </w:pPr>
            <w:r>
              <w:rPr>
                <w:sz w:val="17"/>
              </w:rPr>
              <w:t>Conducting mediation online — the practical differences; what is lost, what is gained; caucus in breakout rooms; reading a room you cannot see</w:t>
            </w:r>
          </w:p>
        </w:tc>
        <w:tc>
          <w:tcPr>
            <w:tcW w:type="dxa" w:w="1182"/>
            <w:shd w:val="clear" w:color="auto" w:fill="EAF1F4"/>
          </w:tcPr>
          <w:p>
            <w:pPr>
              <w:spacing w:after="50" w:before="50" w:line="252" w:lineRule="auto"/>
            </w:pPr>
            <w:r>
              <w:rPr>
                <w:sz w:val="17"/>
              </w:rPr>
              <w:t>60 min</w:t>
            </w:r>
          </w:p>
        </w:tc>
      </w:tr>
      <w:tr>
        <w:tc>
          <w:tcPr>
            <w:tcW w:type="dxa" w:w="8285"/>
          </w:tcPr>
          <w:p>
            <w:pPr>
              <w:spacing w:after="50" w:before="50" w:line="252" w:lineRule="auto"/>
            </w:pPr>
            <w:r>
              <w:rPr>
                <w:b/>
                <w:sz w:val="17"/>
              </w:rPr>
              <w:t>Practical: a fully online simulated mediation</w:t>
            </w:r>
          </w:p>
        </w:tc>
        <w:tc>
          <w:tcPr>
            <w:tcW w:type="dxa" w:w="1182"/>
          </w:tcPr>
          <w:p>
            <w:pPr>
              <w:spacing w:after="50" w:before="50" w:line="252" w:lineRule="auto"/>
            </w:pPr>
            <w:r>
              <w:rPr>
                <w:sz w:val="17"/>
              </w:rPr>
              <w:t>90 min</w:t>
            </w:r>
          </w:p>
        </w:tc>
      </w:tr>
      <w:tr>
        <w:tc>
          <w:tcPr>
            <w:tcW w:type="dxa" w:w="8285"/>
            <w:shd w:val="clear" w:color="auto" w:fill="EAF1F4"/>
          </w:tcPr>
          <w:p>
            <w:pPr>
              <w:spacing w:after="50" w:before="50" w:line="252" w:lineRule="auto"/>
            </w:pPr>
            <w:r>
              <w:rPr>
                <w:sz w:val="17"/>
              </w:rPr>
              <w:t>Debrief</w:t>
            </w:r>
          </w:p>
        </w:tc>
        <w:tc>
          <w:tcPr>
            <w:tcW w:type="dxa" w:w="1182"/>
            <w:shd w:val="clear" w:color="auto" w:fill="EAF1F4"/>
          </w:tcPr>
          <w:p>
            <w:pPr>
              <w:spacing w:after="50" w:before="50" w:line="252" w:lineRule="auto"/>
            </w:pPr>
            <w:r>
              <w:rPr>
                <w:sz w:val="17"/>
              </w:rPr>
              <w:t>45 min</w:t>
            </w:r>
          </w:p>
        </w:tc>
      </w:tr>
      <w:tr>
        <w:tc>
          <w:tcPr>
            <w:tcW w:type="dxa" w:w="8285"/>
          </w:tcPr>
          <w:p>
            <w:pPr>
              <w:spacing w:after="50" w:before="50" w:line="252" w:lineRule="auto"/>
            </w:pPr>
            <w:r>
              <w:rPr>
                <w:sz w:val="17"/>
              </w:rPr>
              <w:t>Technology-assisted negotiation; blind bidding; algorithmic settlement tools and their limits</w:t>
            </w:r>
          </w:p>
        </w:tc>
        <w:tc>
          <w:tcPr>
            <w:tcW w:type="dxa" w:w="1182"/>
          </w:tcPr>
          <w:p>
            <w:pPr>
              <w:spacing w:after="50" w:before="50" w:line="252" w:lineRule="auto"/>
            </w:pPr>
            <w:r>
              <w:rPr>
                <w:sz w:val="17"/>
              </w:rPr>
              <w:t>45 min</w:t>
            </w:r>
          </w:p>
        </w:tc>
      </w:tr>
      <w:tr>
        <w:tc>
          <w:tcPr>
            <w:tcW w:type="dxa" w:w="8285"/>
            <w:shd w:val="clear" w:color="auto" w:fill="EAF1F4"/>
          </w:tcPr>
          <w:p>
            <w:pPr>
              <w:spacing w:after="50" w:before="50" w:line="252" w:lineRule="auto"/>
            </w:pPr>
            <w:r>
              <w:rPr>
                <w:sz w:val="17"/>
              </w:rPr>
              <w:t>Artificial intelligence in dispute resolution — document analysis, summarisation, prediction; the boundaries; the confidentiality problem of putting a live matter into a third-party model</w:t>
            </w:r>
          </w:p>
        </w:tc>
        <w:tc>
          <w:tcPr>
            <w:tcW w:type="dxa" w:w="1182"/>
            <w:shd w:val="clear" w:color="auto" w:fill="EAF1F4"/>
          </w:tcPr>
          <w:p>
            <w:pPr>
              <w:spacing w:after="50" w:before="50" w:line="252" w:lineRule="auto"/>
            </w:pPr>
            <w:r>
              <w:rPr>
                <w:sz w:val="17"/>
              </w:rPr>
              <w:t>60 min</w:t>
            </w:r>
          </w:p>
        </w:tc>
      </w:tr>
      <w:tr>
        <w:tc>
          <w:tcPr>
            <w:tcW w:type="dxa" w:w="8285"/>
          </w:tcPr>
          <w:p>
            <w:pPr>
              <w:spacing w:after="50" w:before="50" w:line="252" w:lineRule="auto"/>
            </w:pPr>
            <w:r>
              <w:rPr>
                <w:sz w:val="17"/>
              </w:rPr>
              <w:t>Confidentiality, security and data protection online; the DPDP overlay; what a platform must do</w:t>
            </w:r>
          </w:p>
        </w:tc>
        <w:tc>
          <w:tcPr>
            <w:tcW w:type="dxa" w:w="1182"/>
          </w:tcPr>
          <w:p>
            <w:pPr>
              <w:spacing w:after="50" w:before="50" w:line="252" w:lineRule="auto"/>
            </w:pPr>
            <w:r>
              <w:rPr>
                <w:sz w:val="17"/>
              </w:rPr>
              <w:t>45 min</w:t>
            </w:r>
          </w:p>
        </w:tc>
      </w:tr>
      <w:tr>
        <w:tc>
          <w:tcPr>
            <w:tcW w:type="dxa" w:w="8285"/>
            <w:shd w:val="clear" w:color="auto" w:fill="EAF1F4"/>
          </w:tcPr>
          <w:p>
            <w:pPr>
              <w:spacing w:after="50" w:before="50" w:line="252" w:lineRule="auto"/>
            </w:pPr>
            <w:r>
              <w:rPr>
                <w:sz w:val="17"/>
              </w:rPr>
              <w:t>Design exercise: specify an ODR process for a defined dispute type</w:t>
            </w:r>
          </w:p>
        </w:tc>
        <w:tc>
          <w:tcPr>
            <w:tcW w:type="dxa" w:w="1182"/>
            <w:shd w:val="clear" w:color="auto" w:fill="EAF1F4"/>
          </w:tcPr>
          <w:p>
            <w:pPr>
              <w:spacing w:after="50" w:before="50" w:line="252" w:lineRule="auto"/>
            </w:pPr>
            <w:r>
              <w:rPr>
                <w:sz w:val="17"/>
              </w:rPr>
              <w:t>60 min</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W-12A · Pre-Institution Mediation under Section 12A</w:t>
      </w:r>
    </w:p>
    <w:p>
      <w:r>
        <w:rPr>
          <w:b/>
        </w:rPr>
        <w:t>Duration</w:t>
      </w:r>
      <w:r>
        <w:t xml:space="preserve"> half day · </w:t>
      </w:r>
      <w:r>
        <w:rPr>
          <w:b/>
        </w:rPr>
        <w:t>Cohort</w:t>
      </w:r>
      <w:r>
        <w:t xml:space="preserve"> up to 50</w:t>
      </w:r>
    </w:p>
    <w:p>
      <w:r>
        <w:t>The single most practically useful half day Equator offers a final-year law cohort, and the best free-lecture topic for a first approach.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79"/>
            <w:shd w:val="clear" w:color="auto" w:fill="10375C"/>
          </w:tcPr>
          <w:p>
            <w:pPr>
              <w:spacing w:after="50" w:before="50"/>
            </w:pPr>
            <w:r>
              <w:rPr>
                <w:b/>
                <w:color w:val="FFFFFF"/>
                <w:sz w:val="17"/>
              </w:rPr>
              <w:t>Session</w:t>
            </w:r>
          </w:p>
        </w:tc>
        <w:tc>
          <w:tcPr>
            <w:tcW w:type="dxa" w:w="1189"/>
            <w:shd w:val="clear" w:color="auto" w:fill="10375C"/>
          </w:tcPr>
          <w:p>
            <w:pPr>
              <w:spacing w:after="50" w:before="50"/>
            </w:pPr>
            <w:r>
              <w:rPr>
                <w:b/>
                <w:color w:val="FFFFFF"/>
                <w:sz w:val="17"/>
              </w:rPr>
              <w:t>Content</w:t>
            </w:r>
          </w:p>
        </w:tc>
      </w:tr>
      <w:tr>
        <w:tc>
          <w:tcPr>
            <w:tcW w:type="dxa" w:w="8279"/>
          </w:tcPr>
          <w:p>
            <w:pPr>
              <w:spacing w:after="50" w:before="50" w:line="252" w:lineRule="auto"/>
            </w:pPr>
            <w:r>
              <w:rPr>
                <w:sz w:val="17"/>
              </w:rPr>
              <w:t xml:space="preserve">The provision and its mandatory character; </w:t>
            </w:r>
            <w:r>
              <w:rPr>
                <w:i/>
                <w:sz w:val="17"/>
              </w:rPr>
              <w:t>Patil Automation</w:t>
            </w:r>
            <w:r>
              <w:rPr>
                <w:sz w:val="17"/>
              </w:rPr>
              <w:t>; the consequence of non-compliance under Order VII Rule 11 CPC</w:t>
            </w:r>
          </w:p>
        </w:tc>
        <w:tc>
          <w:tcPr>
            <w:tcW w:type="dxa" w:w="1189"/>
          </w:tcPr>
          <w:p>
            <w:pPr>
              <w:spacing w:after="50" w:before="50" w:line="252" w:lineRule="auto"/>
            </w:pPr>
            <w:r>
              <w:rPr>
                <w:sz w:val="17"/>
              </w:rPr>
              <w:t>45 min</w:t>
            </w:r>
          </w:p>
        </w:tc>
      </w:tr>
      <w:tr>
        <w:tc>
          <w:tcPr>
            <w:tcW w:type="dxa" w:w="8279"/>
            <w:shd w:val="clear" w:color="auto" w:fill="EAF1F4"/>
          </w:tcPr>
          <w:p>
            <w:pPr>
              <w:spacing w:after="50" w:before="50" w:line="252" w:lineRule="auto"/>
            </w:pPr>
            <w:r>
              <w:rPr>
                <w:sz w:val="17"/>
              </w:rPr>
              <w:t>The urgent-relief exception — what qualifies, what does not, and the risk of a contrived plea</w:t>
            </w:r>
          </w:p>
        </w:tc>
        <w:tc>
          <w:tcPr>
            <w:tcW w:type="dxa" w:w="1189"/>
            <w:shd w:val="clear" w:color="auto" w:fill="EAF1F4"/>
          </w:tcPr>
          <w:p>
            <w:pPr>
              <w:spacing w:after="50" w:before="50" w:line="252" w:lineRule="auto"/>
            </w:pPr>
            <w:r>
              <w:rPr>
                <w:sz w:val="17"/>
              </w:rPr>
              <w:t>45 min</w:t>
            </w:r>
          </w:p>
        </w:tc>
      </w:tr>
      <w:tr>
        <w:tc>
          <w:tcPr>
            <w:tcW w:type="dxa" w:w="8279"/>
          </w:tcPr>
          <w:p>
            <w:pPr>
              <w:spacing w:after="50" w:before="50" w:line="252" w:lineRule="auto"/>
            </w:pPr>
            <w:r>
              <w:rPr>
                <w:sz w:val="17"/>
              </w:rPr>
              <w:t>The process in practice — application, notice, appearance, non-starter certificates, timelines, territorial questions</w:t>
            </w:r>
          </w:p>
        </w:tc>
        <w:tc>
          <w:tcPr>
            <w:tcW w:type="dxa" w:w="1189"/>
          </w:tcPr>
          <w:p>
            <w:pPr>
              <w:spacing w:after="50" w:before="50" w:line="252" w:lineRule="auto"/>
            </w:pPr>
            <w:r>
              <w:rPr>
                <w:sz w:val="17"/>
              </w:rPr>
              <w:t>45 min</w:t>
            </w:r>
          </w:p>
        </w:tc>
      </w:tr>
      <w:tr>
        <w:tc>
          <w:tcPr>
            <w:tcW w:type="dxa" w:w="8279"/>
            <w:shd w:val="clear" w:color="auto" w:fill="EAF1F4"/>
          </w:tcPr>
          <w:p>
            <w:pPr>
              <w:spacing w:after="50" w:before="50" w:line="252" w:lineRule="auto"/>
            </w:pPr>
            <w:r>
              <w:rPr>
                <w:b/>
                <w:sz w:val="17"/>
              </w:rPr>
              <w:t>Exercise:</w:t>
            </w:r>
            <w:r>
              <w:rPr>
                <w:sz w:val="17"/>
              </w:rPr>
              <w:t xml:space="preserve"> advise a client who wants to sue tomorrow</w:t>
            </w:r>
          </w:p>
        </w:tc>
        <w:tc>
          <w:tcPr>
            <w:tcW w:type="dxa" w:w="1189"/>
            <w:shd w:val="clear" w:color="auto" w:fill="EAF1F4"/>
          </w:tcPr>
          <w:p>
            <w:pPr>
              <w:spacing w:after="50" w:before="50" w:line="252" w:lineRule="auto"/>
            </w:pPr>
            <w:r>
              <w:rPr>
                <w:sz w:val="17"/>
              </w:rPr>
              <w:t>45 min</w:t>
            </w:r>
          </w:p>
        </w:tc>
      </w:tr>
      <w:tr>
        <w:tc>
          <w:tcPr>
            <w:tcW w:type="dxa" w:w="8279"/>
          </w:tcPr>
          <w:p>
            <w:pPr>
              <w:spacing w:after="50" w:before="50" w:line="252" w:lineRule="auto"/>
            </w:pPr>
            <w:r>
              <w:rPr>
                <w:sz w:val="17"/>
              </w:rPr>
              <w:t>What a commercial litigator must now do differently</w:t>
            </w:r>
          </w:p>
        </w:tc>
        <w:tc>
          <w:tcPr>
            <w:tcW w:type="dxa" w:w="1189"/>
          </w:tcPr>
          <w:p>
            <w:pPr>
              <w:spacing w:after="50" w:before="50" w:line="252" w:lineRule="auto"/>
            </w:pPr>
            <w:r>
              <w:rPr>
                <w:sz w:val="17"/>
              </w:rPr>
              <w:t>30 min</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W-CAUCUS · Caucusing, Questioning and Active Listening</w:t>
      </w:r>
    </w:p>
    <w:p>
      <w:r>
        <w:rPr>
          <w:b/>
        </w:rPr>
        <w:t>Duration</w:t>
      </w:r>
      <w:r>
        <w:t xml:space="preserve"> half day · </w:t>
      </w:r>
      <w:r>
        <w:rPr>
          <w:b/>
        </w:rPr>
        <w:t>Cohort</w:t>
      </w:r>
      <w:r>
        <w:t xml:space="preserve"> up to 30 · Pure skills drill, no theory beyond what is needed for the drill.</w:t>
      </w:r>
    </w:p>
    <w:p>
      <w:r>
        <w:t>Attending and minimal encouragers (30 min) · paraphrase and summary drills (45 min) · question types and sequencing (45 min) · reframing drills (45 min) · caucus discipline and even-handedness (30 min) · caucus practice with observation (45 min).</w:t>
      </w:r>
    </w:p>
    <w:p>
      <w:pPr>
        <w:spacing w:before="80" w:after="160"/>
        <w:pBdr>
          <w:bottom w:val="single" w:sz="6" w:space="1" w:color="C9D6DE"/>
        </w:pBdr>
      </w:pPr>
    </w:p>
    <w:p>
      <w:pPr>
        <w:pStyle w:val="Heading1"/>
        <w:pBdr>
          <w:bottom w:val="single" w:sz="8" w:space="4" w:color="C9D6DE"/>
        </w:pBdr>
      </w:pPr>
      <w:r>
        <w:t>W-COACH · Conflict Coaching and De-escalation</w:t>
      </w:r>
    </w:p>
    <w:p>
      <w:r>
        <w:rPr>
          <w:b/>
        </w:rPr>
        <w:t>Duration</w:t>
      </w:r>
      <w:r>
        <w:t xml:space="preserve"> one day · </w:t>
      </w:r>
      <w:r>
        <w:rPr>
          <w:b/>
        </w:rPr>
        <w:t>Cohort</w:t>
      </w:r>
      <w:r>
        <w:t xml:space="preserve"> up to 30</w:t>
      </w:r>
    </w:p>
    <w:p>
      <w:r>
        <w:t>Understanding escalation; the conflict spiral; de-escalation language; coaching a person in conflict as distinct from mediating between two; managing a hostile interaction; personal safety and when to withdraw; practice with structured feedback. Particularly valuable for student mediation cell members and for hostel wardens and student affairs staff, who make excellent secondary audiences.</w:t>
      </w:r>
    </w:p>
    <w:p>
      <w:pPr>
        <w:spacing w:before="80" w:after="160"/>
        <w:pBdr>
          <w:bottom w:val="single" w:sz="6" w:space="1" w:color="C9D6DE"/>
        </w:pBdr>
      </w:pPr>
    </w:p>
    <w:p>
      <w:pPr>
        <w:pStyle w:val="Heading1"/>
        <w:pBdr>
          <w:bottom w:val="single" w:sz="8" w:space="4" w:color="C9D6DE"/>
        </w:pBdr>
      </w:pPr>
      <w:r>
        <w:t>W-ETH · Ethics and Conflicts for Neutrals</w:t>
      </w:r>
    </w:p>
    <w:p>
      <w:r>
        <w:rPr>
          <w:b/>
        </w:rPr>
        <w:t>Duration</w:t>
      </w:r>
      <w:r>
        <w:t xml:space="preserve"> half day · </w:t>
      </w:r>
      <w:r>
        <w:rPr>
          <w:b/>
        </w:rPr>
        <w:t>Cohort</w:t>
      </w:r>
      <w:r>
        <w:t xml:space="preserve"> up to 40</w:t>
      </w:r>
    </w:p>
    <w:p>
      <w:r>
        <w:t>Independence and impartiality; the continuing duty of disclosure; conflicts arising mid-process; confidentiality against safety; the party disclosing intended illegality; the grossly unfair settlement; pressure from a referrer; when to withdraw. Delivered entirely as a structured dilemma workshop — no lecture.</w:t>
      </w:r>
    </w:p>
    <w:p>
      <w:pPr>
        <w:spacing w:before="80" w:after="160"/>
        <w:pBdr>
          <w:bottom w:val="single" w:sz="6" w:space="1" w:color="C9D6DE"/>
        </w:pBdr>
      </w:pPr>
    </w:p>
    <w:p>
      <w:pPr>
        <w:pStyle w:val="Heading1"/>
        <w:pBdr>
          <w:bottom w:val="single" w:sz="8" w:space="4" w:color="C9D6DE"/>
        </w:pBdr>
      </w:pPr>
      <w:r>
        <w:t>W-CROSS · Multi-Party and Cross-Cultural Mediation</w:t>
      </w:r>
    </w:p>
    <w:p>
      <w:r>
        <w:rPr>
          <w:b/>
        </w:rPr>
        <w:t>Duration</w:t>
      </w:r>
      <w:r>
        <w:t xml:space="preserve"> one day · </w:t>
      </w:r>
      <w:r>
        <w:rPr>
          <w:b/>
        </w:rPr>
        <w:t>Cohort</w:t>
      </w:r>
      <w:r>
        <w:t xml:space="preserve"> up to 30</w:t>
      </w:r>
    </w:p>
    <w:p>
      <w:r>
        <w:t>Sequencing and process design for multi-party matters; shuttle mediation; coalitions and the absent party; representative authority; cross-cultural communication in the Indian context, including language, hierarchy, gender and community dimensions; a three-party simulation with structured observation.</w:t>
      </w:r>
    </w:p>
    <w:p>
      <w:pPr>
        <w:spacing w:before="80" w:after="160"/>
        <w:pBdr>
          <w:bottom w:val="single" w:sz="6" w:space="1" w:color="C9D6DE"/>
        </w:pBdr>
      </w:pPr>
    </w:p>
    <w:p>
      <w:pPr>
        <w:pStyle w:val="Heading1"/>
        <w:pBdr>
          <w:bottom w:val="single" w:sz="8" w:space="4" w:color="C9D6DE"/>
        </w:pBdr>
      </w:pPr>
      <w:r>
        <w:t>W-COMM · Commercial Disputes for Management Students</w:t>
      </w:r>
    </w:p>
    <w:p>
      <w:r>
        <w:rPr>
          <w:b/>
        </w:rPr>
        <w:t>Duration</w:t>
      </w:r>
      <w:r>
        <w:t xml:space="preserve"> one day · </w:t>
      </w:r>
      <w:r>
        <w:rPr>
          <w:b/>
        </w:rPr>
        <w:t>Cohort</w:t>
      </w:r>
      <w:r>
        <w:t xml:space="preserve"> up to 40</w:t>
      </w:r>
    </w:p>
    <w:p>
      <w:r>
        <w:t>What a commercial dispute costs a business beyond legal fees; contract clauses that prevent disputes; the escalation clause; managing a dispute as a commercial rather than a legal problem; the section 12A gateway; MSME delayed payment; when to settle and when not to; a simulated commercial negotiation with a settlement authority constraint.</w:t>
      </w:r>
    </w:p>
    <w:p>
      <w:pPr>
        <w:spacing w:before="80" w:after="160"/>
        <w:pBdr>
          <w:bottom w:val="single" w:sz="6" w:space="1" w:color="C9D6DE"/>
        </w:pBdr>
      </w:pPr>
    </w:p>
    <w:p>
      <w:pPr>
        <w:pStyle w:val="Heading1"/>
        <w:pBdr>
          <w:bottom w:val="single" w:sz="8" w:space="4" w:color="C9D6DE"/>
        </w:pBdr>
      </w:pPr>
      <w:r>
        <w:t>W-WORK · Workplace Conflict, Grievance Handling and POSH</w:t>
      </w:r>
    </w:p>
    <w:p>
      <w:r>
        <w:rPr>
          <w:b/>
        </w:rPr>
        <w:t>Duration</w:t>
      </w:r>
      <w:r>
        <w:t xml:space="preserve"> one day · </w:t>
      </w:r>
      <w:r>
        <w:rPr>
          <w:b/>
        </w:rPr>
        <w:t>Cohort</w:t>
      </w:r>
      <w:r>
        <w:t xml:space="preserve"> up to 40 · </w:t>
      </w:r>
      <w:r>
        <w:rPr>
          <w:b/>
        </w:rPr>
        <w:t>Audience</w:t>
      </w:r>
      <w:r>
        <w:t xml:space="preserve"> HR specialisations, student affairs staff</w:t>
      </w:r>
    </w:p>
    <w:p>
      <w:r>
        <w:t xml:space="preserve">Grievance handling as a skill; the difference between investigation and mediation and when each is appropriate; the POSH Act framework and the Internal Committee; conducting a fair inquiry; recording and confidentiality; what must never be mediated; the UGC grievance redressal machinery. </w:t>
      </w:r>
      <w:r>
        <w:rPr>
          <w:b/>
        </w:rPr>
        <w:t>Excellent institutional cross-sell: this workshop frequently converts into an A-POSH engagement or an advisory retainer.</w:t>
      </w:r>
    </w:p>
    <w:p>
      <w:pPr>
        <w:spacing w:before="80" w:after="160"/>
        <w:pBdr>
          <w:bottom w:val="single" w:sz="6" w:space="1" w:color="C9D6DE"/>
        </w:pBdr>
      </w:pPr>
    </w:p>
    <w:p>
      <w:pPr>
        <w:pStyle w:val="Heading1"/>
        <w:pBdr>
          <w:bottom w:val="single" w:sz="8" w:space="4" w:color="C9D6DE"/>
        </w:pBdr>
      </w:pPr>
      <w:r>
        <w:t>W-FOUND · Founder and Co-Founder Disputes</w:t>
      </w:r>
    </w:p>
    <w:p>
      <w:r>
        <w:rPr>
          <w:b/>
        </w:rPr>
        <w:t>Duration</w:t>
      </w:r>
      <w:r>
        <w:t xml:space="preserve"> half day · </w:t>
      </w:r>
      <w:r>
        <w:rPr>
          <w:b/>
        </w:rPr>
        <w:t>Cohort</w:t>
      </w:r>
      <w:r>
        <w:t xml:space="preserve"> up to 30 · </w:t>
      </w:r>
      <w:r>
        <w:rPr>
          <w:b/>
        </w:rPr>
        <w:t>Delivered with the institution's incubation cell</w:t>
      </w:r>
    </w:p>
    <w:p>
      <w:r>
        <w:t>Why founder disputes destroy more early-stage companies than competition does; the agreements that prevent them — founders' agreement, vesting, roles, deadlock, exit; recognising a dispute early; mediating between founders; the relationship dimension; a simulated co-founder deadlock.</w:t>
      </w:r>
    </w:p>
    <w:p>
      <w:r>
        <w:rPr>
          <w:b/>
        </w:rPr>
        <w:t>Commercial note.</w:t>
      </w:r>
      <w:r>
        <w:t xml:space="preserve"> Every university now has an incubation cell, and almost none has thought about founder disputes. This is a cheap, novel and highly effective way into a management school or a technical university.</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Workshop Design Compendium</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C24F369-15CD-4F2C-8BFB-8E8D7F83D5CC}"/>
</file>

<file path=customXml/itemProps3.xml><?xml version="1.0" encoding="utf-8"?>
<ds:datastoreItem xmlns:ds="http://schemas.openxmlformats.org/officeDocument/2006/customXml" ds:itemID="{E43798FF-9667-4C70-AEFD-EB15DDB2B437}"/>
</file>

<file path=customXml/itemProps4.xml><?xml version="1.0" encoding="utf-8"?>
<ds:datastoreItem xmlns:ds="http://schemas.openxmlformats.org/officeDocument/2006/customXml" ds:itemID="{40312AB4-CFAE-4652-8FBB-49B1FA852BB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