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Credit-Bearing Certificate Course — Academic Design</w:t>
      </w:r>
    </w:p>
    <w:p>
      <w:pPr>
        <w:spacing w:after="280" w:line="276" w:lineRule="auto"/>
      </w:pPr>
      <w:r>
        <w:rPr>
          <w:rFonts w:ascii="Calibri" w:hAnsi="Calibri"/>
          <w:i/>
          <w:color w:val="3E6B8A"/>
          <w:sz w:val="25"/>
        </w:rPr>
        <w:t>The academic documentation a university's board of studies and academic council require in order to award credit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supplied to partner institutions on request</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Purpose of this document</w:t>
      </w:r>
    </w:p>
    <w:p>
      <w:r>
        <w:t>This document contains what a university's Board of Studies and Academic Council need in order to approve the award of academic credit for an Equator programme. It is written to be extracted and placed, with minimal adaptation, into the institution's own approval papers.</w:t>
      </w:r>
    </w:p>
    <w:p>
      <w:r>
        <w:rPr>
          <w:b/>
        </w:rPr>
        <w:t>The award of credit is a matter for the University alone.</w:t>
      </w:r>
      <w:r>
        <w:t xml:space="preserve"> Equator supplies the design, the mapping, the assessment methodology and the records; it does not award credit and does not represent that credit will be awarded.</w:t>
      </w:r>
    </w:p>
    <w:p>
      <w:pPr>
        <w:spacing w:before="80" w:after="160"/>
        <w:pBdr>
          <w:bottom w:val="single" w:sz="6" w:space="1" w:color="C9D6DE"/>
        </w:pBdr>
      </w:pPr>
    </w:p>
    <w:p>
      <w:pPr>
        <w:pStyle w:val="Heading1"/>
        <w:pBdr>
          <w:bottom w:val="single" w:sz="8" w:space="4" w:color="C9D6DE"/>
        </w:pBdr>
      </w:pPr>
      <w:r>
        <w:t>2. Course specification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20"/>
            <w:shd w:val="clear" w:color="auto" w:fill="10375C"/>
          </w:tcPr>
          <w:p>
            <w:pPr>
              <w:spacing w:after="50" w:before="50"/>
            </w:pPr>
            <w:r>
              <w:rPr>
                <w:b/>
                <w:color w:val="FFFFFF"/>
                <w:sz w:val="17"/>
              </w:rPr>
              <w:t>Field</w:t>
            </w:r>
          </w:p>
        </w:tc>
        <w:tc>
          <w:tcPr>
            <w:tcW w:type="dxa" w:w="6947"/>
            <w:shd w:val="clear" w:color="auto" w:fill="10375C"/>
          </w:tcPr>
          <w:p>
            <w:pPr>
              <w:spacing w:after="50" w:before="50"/>
            </w:pPr>
            <w:r>
              <w:rPr>
                <w:b/>
                <w:color w:val="FFFFFF"/>
                <w:sz w:val="17"/>
              </w:rPr>
              <w:t>Specification</w:t>
            </w:r>
          </w:p>
        </w:tc>
      </w:tr>
      <w:tr>
        <w:tc>
          <w:tcPr>
            <w:tcW w:type="dxa" w:w="2520"/>
          </w:tcPr>
          <w:p>
            <w:pPr>
              <w:spacing w:after="50" w:before="50" w:line="252" w:lineRule="auto"/>
            </w:pPr>
            <w:r>
              <w:rPr>
                <w:sz w:val="17"/>
              </w:rPr>
              <w:t>Title</w:t>
            </w:r>
          </w:p>
        </w:tc>
        <w:tc>
          <w:tcPr>
            <w:tcW w:type="dxa" w:w="6947"/>
          </w:tcPr>
          <w:p>
            <w:pPr>
              <w:spacing w:after="50" w:before="50" w:line="252" w:lineRule="auto"/>
            </w:pPr>
            <w:r>
              <w:rPr>
                <w:sz w:val="17"/>
              </w:rPr>
              <w:t>Certificate Course in Mediation and Dispute Resolution</w:t>
            </w:r>
          </w:p>
        </w:tc>
      </w:tr>
      <w:tr>
        <w:tc>
          <w:tcPr>
            <w:tcW w:type="dxa" w:w="2520"/>
            <w:shd w:val="clear" w:color="auto" w:fill="EAF1F4"/>
          </w:tcPr>
          <w:p>
            <w:pPr>
              <w:spacing w:after="50" w:before="50" w:line="252" w:lineRule="auto"/>
            </w:pPr>
            <w:r>
              <w:rPr>
                <w:sz w:val="17"/>
              </w:rPr>
              <w:t>Level</w:t>
            </w:r>
          </w:p>
        </w:tc>
        <w:tc>
          <w:tcPr>
            <w:tcW w:type="dxa" w:w="6947"/>
            <w:shd w:val="clear" w:color="auto" w:fill="EAF1F4"/>
          </w:tcPr>
          <w:p>
            <w:pPr>
              <w:spacing w:after="50" w:before="50" w:line="252" w:lineRule="auto"/>
            </w:pPr>
            <w:r>
              <w:rPr>
                <w:sz w:val="17"/>
              </w:rPr>
              <w:t>Undergraduate, years 3 to 5; or postgraduate</w:t>
            </w:r>
          </w:p>
        </w:tc>
      </w:tr>
      <w:tr>
        <w:tc>
          <w:tcPr>
            <w:tcW w:type="dxa" w:w="2520"/>
          </w:tcPr>
          <w:p>
            <w:pPr>
              <w:spacing w:after="50" w:before="50" w:line="252" w:lineRule="auto"/>
            </w:pPr>
            <w:r>
              <w:rPr>
                <w:sz w:val="17"/>
              </w:rPr>
              <w:t>Credits proposed</w:t>
            </w:r>
          </w:p>
        </w:tc>
        <w:tc>
          <w:tcPr>
            <w:tcW w:type="dxa" w:w="6947"/>
          </w:tcPr>
          <w:p>
            <w:pPr>
              <w:spacing w:after="50" w:before="50" w:line="252" w:lineRule="auto"/>
            </w:pPr>
            <w:r>
              <w:rPr>
                <w:b/>
                <w:sz w:val="17"/>
              </w:rPr>
              <w:t>[●]</w:t>
            </w:r>
            <w:r>
              <w:rPr>
                <w:sz w:val="17"/>
              </w:rPr>
              <w:t xml:space="preserve"> (see the credit computation at section 4)</w:t>
            </w:r>
          </w:p>
        </w:tc>
      </w:tr>
      <w:tr>
        <w:tc>
          <w:tcPr>
            <w:tcW w:type="dxa" w:w="2520"/>
            <w:shd w:val="clear" w:color="auto" w:fill="EAF1F4"/>
          </w:tcPr>
          <w:p>
            <w:pPr>
              <w:spacing w:after="50" w:before="50" w:line="252" w:lineRule="auto"/>
            </w:pPr>
            <w:r>
              <w:rPr>
                <w:sz w:val="17"/>
              </w:rPr>
              <w:t>Contact hours</w:t>
            </w:r>
          </w:p>
        </w:tc>
        <w:tc>
          <w:tcPr>
            <w:tcW w:type="dxa" w:w="6947"/>
            <w:shd w:val="clear" w:color="auto" w:fill="EAF1F4"/>
          </w:tcPr>
          <w:p>
            <w:pPr>
              <w:spacing w:after="50" w:before="50" w:line="252" w:lineRule="auto"/>
            </w:pPr>
            <w:r>
              <w:rPr>
                <w:b/>
                <w:sz w:val="17"/>
              </w:rPr>
              <w:t>[●]</w:t>
            </w:r>
          </w:p>
        </w:tc>
      </w:tr>
      <w:tr>
        <w:tc>
          <w:tcPr>
            <w:tcW w:type="dxa" w:w="2520"/>
          </w:tcPr>
          <w:p>
            <w:pPr>
              <w:spacing w:after="50" w:before="50" w:line="252" w:lineRule="auto"/>
            </w:pPr>
            <w:r>
              <w:rPr>
                <w:sz w:val="17"/>
              </w:rPr>
              <w:t>Total notional learning hours</w:t>
            </w:r>
          </w:p>
        </w:tc>
        <w:tc>
          <w:tcPr>
            <w:tcW w:type="dxa" w:w="6947"/>
          </w:tcPr>
          <w:p>
            <w:pPr>
              <w:spacing w:after="50" w:before="50" w:line="252" w:lineRule="auto"/>
            </w:pPr>
            <w:r>
              <w:rPr>
                <w:b/>
                <w:sz w:val="17"/>
              </w:rPr>
              <w:t>[●]</w:t>
            </w:r>
          </w:p>
        </w:tc>
      </w:tr>
      <w:tr>
        <w:tc>
          <w:tcPr>
            <w:tcW w:type="dxa" w:w="2520"/>
            <w:shd w:val="clear" w:color="auto" w:fill="EAF1F4"/>
          </w:tcPr>
          <w:p>
            <w:pPr>
              <w:spacing w:after="50" w:before="50" w:line="252" w:lineRule="auto"/>
            </w:pPr>
            <w:r>
              <w:rPr>
                <w:sz w:val="17"/>
              </w:rPr>
              <w:t>Mode</w:t>
            </w:r>
          </w:p>
        </w:tc>
        <w:tc>
          <w:tcPr>
            <w:tcW w:type="dxa" w:w="6947"/>
            <w:shd w:val="clear" w:color="auto" w:fill="EAF1F4"/>
          </w:tcPr>
          <w:p>
            <w:pPr>
              <w:spacing w:after="50" w:before="50" w:line="252" w:lineRule="auto"/>
            </w:pPr>
            <w:r>
              <w:rPr>
                <w:sz w:val="17"/>
              </w:rPr>
              <w:t>On campus, in person, with a digital resource component</w:t>
            </w:r>
          </w:p>
        </w:tc>
      </w:tr>
      <w:tr>
        <w:tc>
          <w:tcPr>
            <w:tcW w:type="dxa" w:w="2520"/>
          </w:tcPr>
          <w:p>
            <w:pPr>
              <w:spacing w:after="50" w:before="50" w:line="252" w:lineRule="auto"/>
            </w:pPr>
            <w:r>
              <w:rPr>
                <w:sz w:val="17"/>
              </w:rPr>
              <w:t>Duration</w:t>
            </w:r>
          </w:p>
        </w:tc>
        <w:tc>
          <w:tcPr>
            <w:tcW w:type="dxa" w:w="6947"/>
          </w:tcPr>
          <w:p>
            <w:pPr>
              <w:spacing w:after="50" w:before="50" w:line="252" w:lineRule="auto"/>
            </w:pPr>
            <w:r>
              <w:rPr>
                <w:sz w:val="17"/>
              </w:rPr>
              <w:t>[●] weeks, or a compressed format across [●] weekends</w:t>
            </w:r>
          </w:p>
        </w:tc>
      </w:tr>
      <w:tr>
        <w:tc>
          <w:tcPr>
            <w:tcW w:type="dxa" w:w="2520"/>
            <w:shd w:val="clear" w:color="auto" w:fill="EAF1F4"/>
          </w:tcPr>
          <w:p>
            <w:pPr>
              <w:spacing w:after="50" w:before="50" w:line="252" w:lineRule="auto"/>
            </w:pPr>
            <w:r>
              <w:rPr>
                <w:sz w:val="17"/>
              </w:rPr>
              <w:t>Cohort</w:t>
            </w:r>
          </w:p>
        </w:tc>
        <w:tc>
          <w:tcPr>
            <w:tcW w:type="dxa" w:w="6947"/>
            <w:shd w:val="clear" w:color="auto" w:fill="EAF1F4"/>
          </w:tcPr>
          <w:p>
            <w:pPr>
              <w:spacing w:after="50" w:before="50" w:line="252" w:lineRule="auto"/>
            </w:pPr>
            <w:r>
              <w:rPr>
                <w:sz w:val="17"/>
              </w:rPr>
              <w:t>Minimum 30, maximum 40</w:t>
            </w:r>
          </w:p>
        </w:tc>
      </w:tr>
      <w:tr>
        <w:tc>
          <w:tcPr>
            <w:tcW w:type="dxa" w:w="2520"/>
          </w:tcPr>
          <w:p>
            <w:pPr>
              <w:spacing w:after="50" w:before="50" w:line="252" w:lineRule="auto"/>
            </w:pPr>
            <w:r>
              <w:rPr>
                <w:sz w:val="17"/>
              </w:rPr>
              <w:t>Prerequisite</w:t>
            </w:r>
          </w:p>
        </w:tc>
        <w:tc>
          <w:tcPr>
            <w:tcW w:type="dxa" w:w="6947"/>
          </w:tcPr>
          <w:p>
            <w:pPr>
              <w:spacing w:after="50" w:before="50" w:line="252" w:lineRule="auto"/>
            </w:pPr>
            <w:r>
              <w:rPr>
                <w:sz w:val="17"/>
              </w:rPr>
              <w:t>None; a prior ADR course is an advantage but is not required</w:t>
            </w:r>
          </w:p>
        </w:tc>
      </w:tr>
      <w:tr>
        <w:tc>
          <w:tcPr>
            <w:tcW w:type="dxa" w:w="2520"/>
            <w:shd w:val="clear" w:color="auto" w:fill="EAF1F4"/>
          </w:tcPr>
          <w:p>
            <w:pPr>
              <w:spacing w:after="50" w:before="50" w:line="252" w:lineRule="auto"/>
            </w:pPr>
            <w:r>
              <w:rPr>
                <w:sz w:val="17"/>
              </w:rPr>
              <w:t>Delivered by</w:t>
            </w:r>
          </w:p>
        </w:tc>
        <w:tc>
          <w:tcPr>
            <w:tcW w:type="dxa" w:w="6947"/>
            <w:shd w:val="clear" w:color="auto" w:fill="EAF1F4"/>
          </w:tcPr>
          <w:p>
            <w:pPr>
              <w:spacing w:after="50" w:before="50" w:line="252" w:lineRule="auto"/>
            </w:pPr>
            <w:r>
              <w:rPr>
                <w:sz w:val="17"/>
              </w:rPr>
              <w:t>Equator ADR Institute, under the Memorandum of Understanding dated [●]</w:t>
            </w:r>
          </w:p>
        </w:tc>
      </w:tr>
      <w:tr>
        <w:tc>
          <w:tcPr>
            <w:tcW w:type="dxa" w:w="2520"/>
          </w:tcPr>
          <w:p>
            <w:pPr>
              <w:spacing w:after="50" w:before="50" w:line="252" w:lineRule="auto"/>
            </w:pPr>
            <w:r>
              <w:rPr>
                <w:sz w:val="17"/>
              </w:rPr>
              <w:t>Assessment conducted by</w:t>
            </w:r>
          </w:p>
        </w:tc>
        <w:tc>
          <w:tcPr>
            <w:tcW w:type="dxa" w:w="6947"/>
          </w:tcPr>
          <w:p>
            <w:pPr>
              <w:spacing w:after="50" w:before="50" w:line="252" w:lineRule="auto"/>
            </w:pPr>
            <w:r>
              <w:rPr>
                <w:sz w:val="17"/>
              </w:rPr>
              <w:t xml:space="preserve">[●] </w:t>
            </w:r>
            <w:r>
              <w:rPr>
                <w:b/>
                <w:sz w:val="17"/>
              </w:rPr>
              <w:t>— to be agreed; see section 6</w:t>
            </w:r>
          </w:p>
        </w:tc>
      </w:tr>
      <w:tr>
        <w:tc>
          <w:tcPr>
            <w:tcW w:type="dxa" w:w="2520"/>
            <w:shd w:val="clear" w:color="auto" w:fill="EAF1F4"/>
          </w:tcPr>
          <w:p>
            <w:pPr>
              <w:spacing w:after="50" w:before="50" w:line="252" w:lineRule="auto"/>
            </w:pPr>
            <w:r>
              <w:rPr>
                <w:sz w:val="17"/>
              </w:rPr>
              <w:t>Certification</w:t>
            </w:r>
          </w:p>
        </w:tc>
        <w:tc>
          <w:tcPr>
            <w:tcW w:type="dxa" w:w="6947"/>
            <w:shd w:val="clear" w:color="auto" w:fill="EAF1F4"/>
          </w:tcPr>
          <w:p>
            <w:pPr>
              <w:spacing w:after="50" w:before="50" w:line="252" w:lineRule="auto"/>
            </w:pPr>
            <w:r>
              <w:rPr>
                <w:sz w:val="17"/>
              </w:rPr>
              <w:t xml:space="preserve">[Equator ADR Institute / jointly] </w:t>
            </w:r>
            <w:r>
              <w:rPr>
                <w:b/>
                <w:sz w:val="17"/>
              </w:rPr>
              <w:t>[verify — U2]</w:t>
            </w:r>
          </w:p>
        </w:tc>
      </w:tr>
    </w:tbl>
    <w:p>
      <w:pPr>
        <w:spacing w:after="80" w:before="0"/>
      </w:pPr>
    </w:p>
    <w:p>
      <w:pPr>
        <w:spacing w:before="80" w:after="160"/>
        <w:pBdr>
          <w:bottom w:val="single" w:sz="6" w:space="1" w:color="C9D6DE"/>
        </w:pBdr>
      </w:pPr>
    </w:p>
    <w:p>
      <w:pPr>
        <w:pStyle w:val="Heading1"/>
        <w:pBdr>
          <w:bottom w:val="single" w:sz="8" w:space="4" w:color="C9D6DE"/>
        </w:pBdr>
      </w:pPr>
      <w:r>
        <w:t>3. Course outcomes and mapping</w:t>
      </w:r>
    </w:p>
    <w:p>
      <w:pPr>
        <w:pStyle w:val="Heading2"/>
      </w:pPr>
      <w:r>
        <w:t>3.1 Course outcomes</w:t>
      </w:r>
    </w:p>
    <w:p>
      <w:r>
        <w:t>On successful completion, a student will be able to:</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CO</w:t>
            </w:r>
          </w:p>
        </w:tc>
        <w:tc>
          <w:tcPr>
            <w:tcW w:type="dxa" w:w="7371"/>
            <w:shd w:val="clear" w:color="auto" w:fill="10375C"/>
          </w:tcPr>
          <w:p>
            <w:pPr>
              <w:spacing w:after="50" w:before="50"/>
            </w:pPr>
            <w:r>
              <w:rPr>
                <w:b/>
                <w:color w:val="FFFFFF"/>
                <w:sz w:val="17"/>
              </w:rPr>
              <w:t>Outcome</w:t>
            </w:r>
          </w:p>
        </w:tc>
        <w:tc>
          <w:tcPr>
            <w:tcW w:type="dxa" w:w="1360"/>
            <w:shd w:val="clear" w:color="auto" w:fill="10375C"/>
          </w:tcPr>
          <w:p>
            <w:pPr>
              <w:spacing w:after="50" w:before="50"/>
            </w:pPr>
            <w:r>
              <w:rPr>
                <w:b/>
                <w:color w:val="FFFFFF"/>
                <w:sz w:val="17"/>
              </w:rPr>
              <w:t>Bloom level</w:t>
            </w:r>
          </w:p>
        </w:tc>
      </w:tr>
      <w:tr>
        <w:tc>
          <w:tcPr>
            <w:tcW w:type="dxa" w:w="850"/>
          </w:tcPr>
          <w:p>
            <w:pPr>
              <w:spacing w:after="50" w:before="50" w:line="252" w:lineRule="auto"/>
            </w:pPr>
            <w:r>
              <w:rPr>
                <w:sz w:val="17"/>
              </w:rPr>
              <w:t>CO1</w:t>
            </w:r>
          </w:p>
        </w:tc>
        <w:tc>
          <w:tcPr>
            <w:tcW w:type="dxa" w:w="7371"/>
          </w:tcPr>
          <w:p>
            <w:pPr>
              <w:spacing w:after="50" w:before="50" w:line="252" w:lineRule="auto"/>
            </w:pPr>
            <w:r>
              <w:rPr>
                <w:sz w:val="17"/>
              </w:rPr>
              <w:t>Explain the statutory framework for mediation and allied processes in India, and locate a given dispute within it</w:t>
            </w:r>
          </w:p>
        </w:tc>
        <w:tc>
          <w:tcPr>
            <w:tcW w:type="dxa" w:w="1360"/>
          </w:tcPr>
          <w:p>
            <w:pPr>
              <w:spacing w:after="50" w:before="50" w:line="252" w:lineRule="auto"/>
            </w:pPr>
            <w:r>
              <w:rPr>
                <w:sz w:val="17"/>
              </w:rPr>
              <w:t>Understand</w:t>
            </w:r>
          </w:p>
        </w:tc>
      </w:tr>
      <w:tr>
        <w:tc>
          <w:tcPr>
            <w:tcW w:type="dxa" w:w="850"/>
            <w:shd w:val="clear" w:color="auto" w:fill="EAF1F4"/>
          </w:tcPr>
          <w:p>
            <w:pPr>
              <w:spacing w:after="50" w:before="50" w:line="252" w:lineRule="auto"/>
            </w:pPr>
            <w:r>
              <w:rPr>
                <w:sz w:val="17"/>
              </w:rPr>
              <w:t>CO2</w:t>
            </w:r>
          </w:p>
        </w:tc>
        <w:tc>
          <w:tcPr>
            <w:tcW w:type="dxa" w:w="7371"/>
            <w:shd w:val="clear" w:color="auto" w:fill="EAF1F4"/>
          </w:tcPr>
          <w:p>
            <w:pPr>
              <w:spacing w:after="50" w:before="50" w:line="252" w:lineRule="auto"/>
            </w:pPr>
            <w:r>
              <w:rPr>
                <w:sz w:val="17"/>
              </w:rPr>
              <w:t>Analyse a dispute to identify parties' interests as distinct from their stated positions</w:t>
            </w:r>
          </w:p>
        </w:tc>
        <w:tc>
          <w:tcPr>
            <w:tcW w:type="dxa" w:w="1360"/>
            <w:shd w:val="clear" w:color="auto" w:fill="EAF1F4"/>
          </w:tcPr>
          <w:p>
            <w:pPr>
              <w:spacing w:after="50" w:before="50" w:line="252" w:lineRule="auto"/>
            </w:pPr>
            <w:r>
              <w:rPr>
                <w:sz w:val="17"/>
              </w:rPr>
              <w:t>Analyse</w:t>
            </w:r>
          </w:p>
        </w:tc>
      </w:tr>
      <w:tr>
        <w:tc>
          <w:tcPr>
            <w:tcW w:type="dxa" w:w="850"/>
          </w:tcPr>
          <w:p>
            <w:pPr>
              <w:spacing w:after="50" w:before="50" w:line="252" w:lineRule="auto"/>
            </w:pPr>
            <w:r>
              <w:rPr>
                <w:sz w:val="17"/>
              </w:rPr>
              <w:t>CO3</w:t>
            </w:r>
          </w:p>
        </w:tc>
        <w:tc>
          <w:tcPr>
            <w:tcW w:type="dxa" w:w="7371"/>
          </w:tcPr>
          <w:p>
            <w:pPr>
              <w:spacing w:after="50" w:before="50" w:line="252" w:lineRule="auto"/>
            </w:pPr>
            <w:r>
              <w:rPr>
                <w:sz w:val="17"/>
              </w:rPr>
              <w:t>Conduct a mediation through all its stages to a supervised standard</w:t>
            </w:r>
          </w:p>
        </w:tc>
        <w:tc>
          <w:tcPr>
            <w:tcW w:type="dxa" w:w="1360"/>
          </w:tcPr>
          <w:p>
            <w:pPr>
              <w:spacing w:after="50" w:before="50" w:line="252" w:lineRule="auto"/>
            </w:pPr>
            <w:r>
              <w:rPr>
                <w:sz w:val="17"/>
              </w:rPr>
              <w:t>Apply</w:t>
            </w:r>
          </w:p>
        </w:tc>
      </w:tr>
      <w:tr>
        <w:tc>
          <w:tcPr>
            <w:tcW w:type="dxa" w:w="850"/>
            <w:shd w:val="clear" w:color="auto" w:fill="EAF1F4"/>
          </w:tcPr>
          <w:p>
            <w:pPr>
              <w:spacing w:after="50" w:before="50" w:line="252" w:lineRule="auto"/>
            </w:pPr>
            <w:r>
              <w:rPr>
                <w:sz w:val="17"/>
              </w:rPr>
              <w:t>CO4</w:t>
            </w:r>
          </w:p>
        </w:tc>
        <w:tc>
          <w:tcPr>
            <w:tcW w:type="dxa" w:w="7371"/>
            <w:shd w:val="clear" w:color="auto" w:fill="EAF1F4"/>
          </w:tcPr>
          <w:p>
            <w:pPr>
              <w:spacing w:after="50" w:before="50" w:line="252" w:lineRule="auto"/>
            </w:pPr>
            <w:r>
              <w:rPr>
                <w:sz w:val="17"/>
              </w:rPr>
              <w:t>Apply communication techniques — listening, questioning, reframing, summarising — in a live process</w:t>
            </w:r>
          </w:p>
        </w:tc>
        <w:tc>
          <w:tcPr>
            <w:tcW w:type="dxa" w:w="1360"/>
            <w:shd w:val="clear" w:color="auto" w:fill="EAF1F4"/>
          </w:tcPr>
          <w:p>
            <w:pPr>
              <w:spacing w:after="50" w:before="50" w:line="252" w:lineRule="auto"/>
            </w:pPr>
            <w:r>
              <w:rPr>
                <w:sz w:val="17"/>
              </w:rPr>
              <w:t>Apply</w:t>
            </w:r>
          </w:p>
        </w:tc>
      </w:tr>
      <w:tr>
        <w:tc>
          <w:tcPr>
            <w:tcW w:type="dxa" w:w="850"/>
          </w:tcPr>
          <w:p>
            <w:pPr>
              <w:spacing w:after="50" w:before="50" w:line="252" w:lineRule="auto"/>
            </w:pPr>
            <w:r>
              <w:rPr>
                <w:sz w:val="17"/>
              </w:rPr>
              <w:t>CO5</w:t>
            </w:r>
          </w:p>
        </w:tc>
        <w:tc>
          <w:tcPr>
            <w:tcW w:type="dxa" w:w="7371"/>
          </w:tcPr>
          <w:p>
            <w:pPr>
              <w:spacing w:after="50" w:before="50" w:line="252" w:lineRule="auto"/>
            </w:pPr>
            <w:r>
              <w:rPr>
                <w:sz w:val="17"/>
              </w:rPr>
              <w:t>Evaluate options against objective criteria and against the parties' alternatives to settlement</w:t>
            </w:r>
          </w:p>
        </w:tc>
        <w:tc>
          <w:tcPr>
            <w:tcW w:type="dxa" w:w="1360"/>
          </w:tcPr>
          <w:p>
            <w:pPr>
              <w:spacing w:after="50" w:before="50" w:line="252" w:lineRule="auto"/>
            </w:pPr>
            <w:r>
              <w:rPr>
                <w:sz w:val="17"/>
              </w:rPr>
              <w:t>Evaluate</w:t>
            </w:r>
          </w:p>
        </w:tc>
      </w:tr>
      <w:tr>
        <w:tc>
          <w:tcPr>
            <w:tcW w:type="dxa" w:w="850"/>
            <w:shd w:val="clear" w:color="auto" w:fill="EAF1F4"/>
          </w:tcPr>
          <w:p>
            <w:pPr>
              <w:spacing w:after="50" w:before="50" w:line="252" w:lineRule="auto"/>
            </w:pPr>
            <w:r>
              <w:rPr>
                <w:sz w:val="17"/>
              </w:rPr>
              <w:t>CO6</w:t>
            </w:r>
          </w:p>
        </w:tc>
        <w:tc>
          <w:tcPr>
            <w:tcW w:type="dxa" w:w="7371"/>
            <w:shd w:val="clear" w:color="auto" w:fill="EAF1F4"/>
          </w:tcPr>
          <w:p>
            <w:pPr>
              <w:spacing w:after="50" w:before="50" w:line="252" w:lineRule="auto"/>
            </w:pPr>
            <w:r>
              <w:rPr>
                <w:sz w:val="17"/>
              </w:rPr>
              <w:t>Draft an enforceable mediated settlement agreement</w:t>
            </w:r>
          </w:p>
        </w:tc>
        <w:tc>
          <w:tcPr>
            <w:tcW w:type="dxa" w:w="1360"/>
            <w:shd w:val="clear" w:color="auto" w:fill="EAF1F4"/>
          </w:tcPr>
          <w:p>
            <w:pPr>
              <w:spacing w:after="50" w:before="50" w:line="252" w:lineRule="auto"/>
            </w:pPr>
            <w:r>
              <w:rPr>
                <w:sz w:val="17"/>
              </w:rPr>
              <w:t>Create</w:t>
            </w:r>
          </w:p>
        </w:tc>
      </w:tr>
      <w:tr>
        <w:tc>
          <w:tcPr>
            <w:tcW w:type="dxa" w:w="850"/>
          </w:tcPr>
          <w:p>
            <w:pPr>
              <w:spacing w:after="50" w:before="50" w:line="252" w:lineRule="auto"/>
            </w:pPr>
            <w:r>
              <w:rPr>
                <w:sz w:val="17"/>
              </w:rPr>
              <w:t>CO7</w:t>
            </w:r>
          </w:p>
        </w:tc>
        <w:tc>
          <w:tcPr>
            <w:tcW w:type="dxa" w:w="7371"/>
          </w:tcPr>
          <w:p>
            <w:pPr>
              <w:spacing w:after="50" w:before="50" w:line="252" w:lineRule="auto"/>
            </w:pPr>
            <w:r>
              <w:rPr>
                <w:sz w:val="17"/>
              </w:rPr>
              <w:t>Apply the ethical, confidentiality and conflict obligations attaching to dispute resolution practice</w:t>
            </w:r>
          </w:p>
        </w:tc>
        <w:tc>
          <w:tcPr>
            <w:tcW w:type="dxa" w:w="1360"/>
          </w:tcPr>
          <w:p>
            <w:pPr>
              <w:spacing w:after="50" w:before="50" w:line="252" w:lineRule="auto"/>
            </w:pPr>
            <w:r>
              <w:rPr>
                <w:sz w:val="17"/>
              </w:rPr>
              <w:t>Apply</w:t>
            </w:r>
          </w:p>
        </w:tc>
      </w:tr>
      <w:tr>
        <w:tc>
          <w:tcPr>
            <w:tcW w:type="dxa" w:w="850"/>
            <w:shd w:val="clear" w:color="auto" w:fill="EAF1F4"/>
          </w:tcPr>
          <w:p>
            <w:pPr>
              <w:spacing w:after="50" w:before="50" w:line="252" w:lineRule="auto"/>
            </w:pPr>
            <w:r>
              <w:rPr>
                <w:sz w:val="17"/>
              </w:rPr>
              <w:t>CO8</w:t>
            </w:r>
          </w:p>
        </w:tc>
        <w:tc>
          <w:tcPr>
            <w:tcW w:type="dxa" w:w="7371"/>
            <w:shd w:val="clear" w:color="auto" w:fill="EAF1F4"/>
          </w:tcPr>
          <w:p>
            <w:pPr>
              <w:spacing w:after="50" w:before="50" w:line="252" w:lineRule="auto"/>
            </w:pPr>
            <w:r>
              <w:rPr>
                <w:sz w:val="17"/>
              </w:rPr>
              <w:t>Reflect critically on their own practice and identify their development needs</w:t>
            </w:r>
          </w:p>
        </w:tc>
        <w:tc>
          <w:tcPr>
            <w:tcW w:type="dxa" w:w="1360"/>
            <w:shd w:val="clear" w:color="auto" w:fill="EAF1F4"/>
          </w:tcPr>
          <w:p>
            <w:pPr>
              <w:spacing w:after="50" w:before="50" w:line="252" w:lineRule="auto"/>
            </w:pPr>
            <w:r>
              <w:rPr>
                <w:sz w:val="17"/>
              </w:rPr>
              <w:t>Evaluate</w:t>
            </w:r>
          </w:p>
        </w:tc>
      </w:tr>
    </w:tbl>
    <w:p>
      <w:pPr>
        <w:spacing w:after="80" w:before="0"/>
      </w:pPr>
    </w:p>
    <w:p>
      <w:pPr>
        <w:pStyle w:val="Heading2"/>
      </w:pPr>
      <w:r>
        <w:t>3.2 Programme outcome mapping</w:t>
      </w:r>
    </w:p>
    <w:p>
      <w:r>
        <w:rPr>
          <w:i/>
        </w:rPr>
        <w:t>To be completed against the institution's own programme outcomes. Illustrative: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CO</w:t>
            </w:r>
          </w:p>
        </w:tc>
        <w:tc>
          <w:tcPr>
            <w:tcW w:type="dxa" w:w="1554"/>
            <w:shd w:val="clear" w:color="auto" w:fill="10375C"/>
          </w:tcPr>
          <w:p>
            <w:pPr>
              <w:spacing w:after="50" w:before="50"/>
            </w:pPr>
            <w:r>
              <w:rPr>
                <w:b/>
                <w:color w:val="FFFFFF"/>
                <w:sz w:val="17"/>
              </w:rPr>
              <w:t>PO1 Legal knowledge</w:t>
            </w:r>
          </w:p>
        </w:tc>
        <w:tc>
          <w:tcPr>
            <w:tcW w:type="dxa" w:w="1299"/>
            <w:shd w:val="clear" w:color="auto" w:fill="10375C"/>
          </w:tcPr>
          <w:p>
            <w:pPr>
              <w:spacing w:after="50" w:before="50"/>
            </w:pPr>
            <w:r>
              <w:rPr>
                <w:b/>
                <w:color w:val="FFFFFF"/>
                <w:sz w:val="17"/>
              </w:rPr>
              <w:t>PO2 Analysis</w:t>
            </w:r>
          </w:p>
        </w:tc>
        <w:tc>
          <w:tcPr>
            <w:tcW w:type="dxa" w:w="1479"/>
            <w:shd w:val="clear" w:color="auto" w:fill="10375C"/>
          </w:tcPr>
          <w:p>
            <w:pPr>
              <w:spacing w:after="50" w:before="50"/>
            </w:pPr>
            <w:r>
              <w:rPr>
                <w:b/>
                <w:color w:val="FFFFFF"/>
                <w:sz w:val="17"/>
              </w:rPr>
              <w:t>PO3 Communication</w:t>
            </w:r>
          </w:p>
        </w:tc>
        <w:tc>
          <w:tcPr>
            <w:tcW w:type="dxa" w:w="1817"/>
            <w:shd w:val="clear" w:color="auto" w:fill="10375C"/>
          </w:tcPr>
          <w:p>
            <w:pPr>
              <w:spacing w:after="50" w:before="50"/>
            </w:pPr>
            <w:r>
              <w:rPr>
                <w:b/>
                <w:color w:val="FFFFFF"/>
                <w:sz w:val="17"/>
              </w:rPr>
              <w:t>PO4 Professional skills</w:t>
            </w:r>
          </w:p>
        </w:tc>
        <w:tc>
          <w:tcPr>
            <w:tcW w:type="dxa" w:w="955"/>
            <w:shd w:val="clear" w:color="auto" w:fill="10375C"/>
          </w:tcPr>
          <w:p>
            <w:pPr>
              <w:spacing w:after="50" w:before="50"/>
            </w:pPr>
            <w:r>
              <w:rPr>
                <w:b/>
                <w:color w:val="FFFFFF"/>
                <w:sz w:val="17"/>
              </w:rPr>
              <w:t>PO5 Ethics</w:t>
            </w:r>
          </w:p>
        </w:tc>
        <w:tc>
          <w:tcPr>
            <w:tcW w:type="dxa" w:w="1601"/>
            <w:shd w:val="clear" w:color="auto" w:fill="10375C"/>
          </w:tcPr>
          <w:p>
            <w:pPr>
              <w:spacing w:after="50" w:before="50"/>
            </w:pPr>
            <w:r>
              <w:rPr>
                <w:b/>
                <w:color w:val="FFFFFF"/>
                <w:sz w:val="17"/>
              </w:rPr>
              <w:t>PO6 Lifelong learning</w:t>
            </w:r>
          </w:p>
        </w:tc>
      </w:tr>
      <w:tr>
        <w:tc>
          <w:tcPr>
            <w:tcW w:type="dxa" w:w="850"/>
          </w:tcPr>
          <w:p>
            <w:pPr>
              <w:spacing w:after="50" w:before="50" w:line="252" w:lineRule="auto"/>
            </w:pPr>
            <w:r>
              <w:rPr>
                <w:sz w:val="17"/>
              </w:rPr>
              <w:t>CO1</w:t>
            </w:r>
          </w:p>
        </w:tc>
        <w:tc>
          <w:tcPr>
            <w:tcW w:type="dxa" w:w="1554"/>
          </w:tcPr>
          <w:p>
            <w:pPr>
              <w:spacing w:after="50" w:before="50" w:line="252" w:lineRule="auto"/>
            </w:pPr>
            <w:r>
              <w:rPr>
                <w:sz w:val="17"/>
              </w:rPr>
              <w:t>High</w:t>
            </w:r>
          </w:p>
        </w:tc>
        <w:tc>
          <w:tcPr>
            <w:tcW w:type="dxa" w:w="1299"/>
          </w:tcPr>
          <w:p>
            <w:pPr>
              <w:spacing w:after="50" w:before="50" w:line="252" w:lineRule="auto"/>
            </w:pPr>
            <w:r>
              <w:rPr>
                <w:sz w:val="17"/>
              </w:rPr>
              <w:t>Medium</w:t>
            </w:r>
          </w:p>
        </w:tc>
        <w:tc>
          <w:tcPr>
            <w:tcW w:type="dxa" w:w="1479"/>
          </w:tcPr>
          <w:p>
            <w:pPr>
              <w:spacing w:after="50" w:before="50" w:line="252" w:lineRule="auto"/>
            </w:pPr>
            <w:r>
              <w:rPr>
                <w:sz w:val="17"/>
              </w:rPr>
              <w:t>—</w:t>
            </w:r>
          </w:p>
        </w:tc>
        <w:tc>
          <w:tcPr>
            <w:tcW w:type="dxa" w:w="1817"/>
          </w:tcPr>
          <w:p>
            <w:pPr>
              <w:spacing w:after="50" w:before="50" w:line="252" w:lineRule="auto"/>
            </w:pPr>
            <w:r>
              <w:rPr>
                <w:sz w:val="17"/>
              </w:rPr>
              <w:t>Low</w:t>
            </w:r>
          </w:p>
        </w:tc>
        <w:tc>
          <w:tcPr>
            <w:tcW w:type="dxa" w:w="955"/>
          </w:tcPr>
          <w:p>
            <w:pPr>
              <w:spacing w:after="50" w:before="50" w:line="252" w:lineRule="auto"/>
            </w:pPr>
            <w:r>
              <w:rPr>
                <w:sz w:val="17"/>
              </w:rPr>
              <w:t>—</w:t>
            </w:r>
          </w:p>
        </w:tc>
        <w:tc>
          <w:tcPr>
            <w:tcW w:type="dxa" w:w="1601"/>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CO2</w:t>
            </w:r>
          </w:p>
        </w:tc>
        <w:tc>
          <w:tcPr>
            <w:tcW w:type="dxa" w:w="1554"/>
            <w:shd w:val="clear" w:color="auto" w:fill="EAF1F4"/>
          </w:tcPr>
          <w:p>
            <w:pPr>
              <w:spacing w:after="50" w:before="50" w:line="252" w:lineRule="auto"/>
            </w:pPr>
            <w:r>
              <w:rPr>
                <w:sz w:val="17"/>
              </w:rPr>
              <w:t>Medium</w:t>
            </w:r>
          </w:p>
        </w:tc>
        <w:tc>
          <w:tcPr>
            <w:tcW w:type="dxa" w:w="1299"/>
            <w:shd w:val="clear" w:color="auto" w:fill="EAF1F4"/>
          </w:tcPr>
          <w:p>
            <w:pPr>
              <w:spacing w:after="50" w:before="50" w:line="252" w:lineRule="auto"/>
            </w:pPr>
            <w:r>
              <w:rPr>
                <w:sz w:val="17"/>
              </w:rPr>
              <w:t>High</w:t>
            </w:r>
          </w:p>
        </w:tc>
        <w:tc>
          <w:tcPr>
            <w:tcW w:type="dxa" w:w="1479"/>
            <w:shd w:val="clear" w:color="auto" w:fill="EAF1F4"/>
          </w:tcPr>
          <w:p>
            <w:pPr>
              <w:spacing w:after="50" w:before="50" w:line="252" w:lineRule="auto"/>
            </w:pPr>
            <w:r>
              <w:rPr>
                <w:sz w:val="17"/>
              </w:rPr>
              <w:t>Medium</w:t>
            </w:r>
          </w:p>
        </w:tc>
        <w:tc>
          <w:tcPr>
            <w:tcW w:type="dxa" w:w="1817"/>
            <w:shd w:val="clear" w:color="auto" w:fill="EAF1F4"/>
          </w:tcPr>
          <w:p>
            <w:pPr>
              <w:spacing w:after="50" w:before="50" w:line="252" w:lineRule="auto"/>
            </w:pPr>
            <w:r>
              <w:rPr>
                <w:sz w:val="17"/>
              </w:rPr>
              <w:t>High</w:t>
            </w:r>
          </w:p>
        </w:tc>
        <w:tc>
          <w:tcPr>
            <w:tcW w:type="dxa" w:w="955"/>
            <w:shd w:val="clear" w:color="auto" w:fill="EAF1F4"/>
          </w:tcPr>
          <w:p>
            <w:pPr>
              <w:spacing w:after="50" w:before="50" w:line="252" w:lineRule="auto"/>
            </w:pPr>
            <w:r>
              <w:rPr>
                <w:sz w:val="17"/>
              </w:rPr>
              <w:t>—</w:t>
            </w:r>
          </w:p>
        </w:tc>
        <w:tc>
          <w:tcPr>
            <w:tcW w:type="dxa" w:w="1601"/>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CO3</w:t>
            </w:r>
          </w:p>
        </w:tc>
        <w:tc>
          <w:tcPr>
            <w:tcW w:type="dxa" w:w="1554"/>
          </w:tcPr>
          <w:p>
            <w:pPr>
              <w:spacing w:after="50" w:before="50" w:line="252" w:lineRule="auto"/>
            </w:pPr>
            <w:r>
              <w:rPr>
                <w:sz w:val="17"/>
              </w:rPr>
              <w:t>Medium</w:t>
            </w:r>
          </w:p>
        </w:tc>
        <w:tc>
          <w:tcPr>
            <w:tcW w:type="dxa" w:w="1299"/>
          </w:tcPr>
          <w:p>
            <w:pPr>
              <w:spacing w:after="50" w:before="50" w:line="252" w:lineRule="auto"/>
            </w:pPr>
            <w:r>
              <w:rPr>
                <w:sz w:val="17"/>
              </w:rPr>
              <w:t>High</w:t>
            </w:r>
          </w:p>
        </w:tc>
        <w:tc>
          <w:tcPr>
            <w:tcW w:type="dxa" w:w="1479"/>
          </w:tcPr>
          <w:p>
            <w:pPr>
              <w:spacing w:after="50" w:before="50" w:line="252" w:lineRule="auto"/>
            </w:pPr>
            <w:r>
              <w:rPr>
                <w:sz w:val="17"/>
              </w:rPr>
              <w:t>High</w:t>
            </w:r>
          </w:p>
        </w:tc>
        <w:tc>
          <w:tcPr>
            <w:tcW w:type="dxa" w:w="1817"/>
          </w:tcPr>
          <w:p>
            <w:pPr>
              <w:spacing w:after="50" w:before="50" w:line="252" w:lineRule="auto"/>
            </w:pPr>
            <w:r>
              <w:rPr>
                <w:sz w:val="17"/>
              </w:rPr>
              <w:t>High</w:t>
            </w:r>
          </w:p>
        </w:tc>
        <w:tc>
          <w:tcPr>
            <w:tcW w:type="dxa" w:w="955"/>
          </w:tcPr>
          <w:p>
            <w:pPr>
              <w:spacing w:after="50" w:before="50" w:line="252" w:lineRule="auto"/>
            </w:pPr>
            <w:r>
              <w:rPr>
                <w:sz w:val="17"/>
              </w:rPr>
              <w:t>Medium</w:t>
            </w:r>
          </w:p>
        </w:tc>
        <w:tc>
          <w:tcPr>
            <w:tcW w:type="dxa" w:w="1601"/>
          </w:tcPr>
          <w:p>
            <w:pPr>
              <w:spacing w:after="50" w:before="50" w:line="252" w:lineRule="auto"/>
            </w:pPr>
            <w:r>
              <w:rPr>
                <w:sz w:val="17"/>
              </w:rPr>
              <w:t>Medium</w:t>
            </w:r>
          </w:p>
        </w:tc>
      </w:tr>
      <w:tr>
        <w:tc>
          <w:tcPr>
            <w:tcW w:type="dxa" w:w="850"/>
            <w:shd w:val="clear" w:color="auto" w:fill="EAF1F4"/>
          </w:tcPr>
          <w:p>
            <w:pPr>
              <w:spacing w:after="50" w:before="50" w:line="252" w:lineRule="auto"/>
            </w:pPr>
            <w:r>
              <w:rPr>
                <w:sz w:val="17"/>
              </w:rPr>
              <w:t>CO4</w:t>
            </w:r>
          </w:p>
        </w:tc>
        <w:tc>
          <w:tcPr>
            <w:tcW w:type="dxa" w:w="1554"/>
            <w:shd w:val="clear" w:color="auto" w:fill="EAF1F4"/>
          </w:tcPr>
          <w:p>
            <w:pPr>
              <w:spacing w:after="50" w:before="50" w:line="252" w:lineRule="auto"/>
            </w:pPr>
            <w:r>
              <w:rPr>
                <w:sz w:val="17"/>
              </w:rPr>
              <w:t>—</w:t>
            </w:r>
          </w:p>
        </w:tc>
        <w:tc>
          <w:tcPr>
            <w:tcW w:type="dxa" w:w="1299"/>
            <w:shd w:val="clear" w:color="auto" w:fill="EAF1F4"/>
          </w:tcPr>
          <w:p>
            <w:pPr>
              <w:spacing w:after="50" w:before="50" w:line="252" w:lineRule="auto"/>
            </w:pPr>
            <w:r>
              <w:rPr>
                <w:sz w:val="17"/>
              </w:rPr>
              <w:t>Medium</w:t>
            </w:r>
          </w:p>
        </w:tc>
        <w:tc>
          <w:tcPr>
            <w:tcW w:type="dxa" w:w="1479"/>
            <w:shd w:val="clear" w:color="auto" w:fill="EAF1F4"/>
          </w:tcPr>
          <w:p>
            <w:pPr>
              <w:spacing w:after="50" w:before="50" w:line="252" w:lineRule="auto"/>
            </w:pPr>
            <w:r>
              <w:rPr>
                <w:sz w:val="17"/>
              </w:rPr>
              <w:t>High</w:t>
            </w:r>
          </w:p>
        </w:tc>
        <w:tc>
          <w:tcPr>
            <w:tcW w:type="dxa" w:w="1817"/>
            <w:shd w:val="clear" w:color="auto" w:fill="EAF1F4"/>
          </w:tcPr>
          <w:p>
            <w:pPr>
              <w:spacing w:after="50" w:before="50" w:line="252" w:lineRule="auto"/>
            </w:pPr>
            <w:r>
              <w:rPr>
                <w:sz w:val="17"/>
              </w:rPr>
              <w:t>High</w:t>
            </w:r>
          </w:p>
        </w:tc>
        <w:tc>
          <w:tcPr>
            <w:tcW w:type="dxa" w:w="955"/>
            <w:shd w:val="clear" w:color="auto" w:fill="EAF1F4"/>
          </w:tcPr>
          <w:p>
            <w:pPr>
              <w:spacing w:after="50" w:before="50" w:line="252" w:lineRule="auto"/>
            </w:pPr>
            <w:r>
              <w:rPr>
                <w:sz w:val="17"/>
              </w:rPr>
              <w:t>—</w:t>
            </w:r>
          </w:p>
        </w:tc>
        <w:tc>
          <w:tcPr>
            <w:tcW w:type="dxa" w:w="1601"/>
            <w:shd w:val="clear" w:color="auto" w:fill="EAF1F4"/>
          </w:tcPr>
          <w:p>
            <w:pPr>
              <w:spacing w:after="50" w:before="50" w:line="252" w:lineRule="auto"/>
            </w:pPr>
            <w:r>
              <w:rPr>
                <w:sz w:val="17"/>
              </w:rPr>
              <w:t>Medium</w:t>
            </w:r>
          </w:p>
        </w:tc>
      </w:tr>
      <w:tr>
        <w:tc>
          <w:tcPr>
            <w:tcW w:type="dxa" w:w="850"/>
          </w:tcPr>
          <w:p>
            <w:pPr>
              <w:spacing w:after="50" w:before="50" w:line="252" w:lineRule="auto"/>
            </w:pPr>
            <w:r>
              <w:rPr>
                <w:sz w:val="17"/>
              </w:rPr>
              <w:t>CO5</w:t>
            </w:r>
          </w:p>
        </w:tc>
        <w:tc>
          <w:tcPr>
            <w:tcW w:type="dxa" w:w="1554"/>
          </w:tcPr>
          <w:p>
            <w:pPr>
              <w:spacing w:after="50" w:before="50" w:line="252" w:lineRule="auto"/>
            </w:pPr>
            <w:r>
              <w:rPr>
                <w:sz w:val="17"/>
              </w:rPr>
              <w:t>Low</w:t>
            </w:r>
          </w:p>
        </w:tc>
        <w:tc>
          <w:tcPr>
            <w:tcW w:type="dxa" w:w="1299"/>
          </w:tcPr>
          <w:p>
            <w:pPr>
              <w:spacing w:after="50" w:before="50" w:line="252" w:lineRule="auto"/>
            </w:pPr>
            <w:r>
              <w:rPr>
                <w:sz w:val="17"/>
              </w:rPr>
              <w:t>High</w:t>
            </w:r>
          </w:p>
        </w:tc>
        <w:tc>
          <w:tcPr>
            <w:tcW w:type="dxa" w:w="1479"/>
          </w:tcPr>
          <w:p>
            <w:pPr>
              <w:spacing w:after="50" w:before="50" w:line="252" w:lineRule="auto"/>
            </w:pPr>
            <w:r>
              <w:rPr>
                <w:sz w:val="17"/>
              </w:rPr>
              <w:t>Medium</w:t>
            </w:r>
          </w:p>
        </w:tc>
        <w:tc>
          <w:tcPr>
            <w:tcW w:type="dxa" w:w="1817"/>
          </w:tcPr>
          <w:p>
            <w:pPr>
              <w:spacing w:after="50" w:before="50" w:line="252" w:lineRule="auto"/>
            </w:pPr>
            <w:r>
              <w:rPr>
                <w:sz w:val="17"/>
              </w:rPr>
              <w:t>High</w:t>
            </w:r>
          </w:p>
        </w:tc>
        <w:tc>
          <w:tcPr>
            <w:tcW w:type="dxa" w:w="955"/>
          </w:tcPr>
          <w:p>
            <w:pPr>
              <w:spacing w:after="50" w:before="50" w:line="252" w:lineRule="auto"/>
            </w:pPr>
            <w:r>
              <w:rPr>
                <w:sz w:val="17"/>
              </w:rPr>
              <w:t>Medium</w:t>
            </w:r>
          </w:p>
        </w:tc>
        <w:tc>
          <w:tcPr>
            <w:tcW w:type="dxa" w:w="1601"/>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CO6</w:t>
            </w:r>
          </w:p>
        </w:tc>
        <w:tc>
          <w:tcPr>
            <w:tcW w:type="dxa" w:w="1554"/>
            <w:shd w:val="clear" w:color="auto" w:fill="EAF1F4"/>
          </w:tcPr>
          <w:p>
            <w:pPr>
              <w:spacing w:after="50" w:before="50" w:line="252" w:lineRule="auto"/>
            </w:pPr>
            <w:r>
              <w:rPr>
                <w:sz w:val="17"/>
              </w:rPr>
              <w:t>High</w:t>
            </w:r>
          </w:p>
        </w:tc>
        <w:tc>
          <w:tcPr>
            <w:tcW w:type="dxa" w:w="1299"/>
            <w:shd w:val="clear" w:color="auto" w:fill="EAF1F4"/>
          </w:tcPr>
          <w:p>
            <w:pPr>
              <w:spacing w:after="50" w:before="50" w:line="252" w:lineRule="auto"/>
            </w:pPr>
            <w:r>
              <w:rPr>
                <w:sz w:val="17"/>
              </w:rPr>
              <w:t>Medium</w:t>
            </w:r>
          </w:p>
        </w:tc>
        <w:tc>
          <w:tcPr>
            <w:tcW w:type="dxa" w:w="1479"/>
            <w:shd w:val="clear" w:color="auto" w:fill="EAF1F4"/>
          </w:tcPr>
          <w:p>
            <w:pPr>
              <w:spacing w:after="50" w:before="50" w:line="252" w:lineRule="auto"/>
            </w:pPr>
            <w:r>
              <w:rPr>
                <w:sz w:val="17"/>
              </w:rPr>
              <w:t>High</w:t>
            </w:r>
          </w:p>
        </w:tc>
        <w:tc>
          <w:tcPr>
            <w:tcW w:type="dxa" w:w="1817"/>
            <w:shd w:val="clear" w:color="auto" w:fill="EAF1F4"/>
          </w:tcPr>
          <w:p>
            <w:pPr>
              <w:spacing w:after="50" w:before="50" w:line="252" w:lineRule="auto"/>
            </w:pPr>
            <w:r>
              <w:rPr>
                <w:sz w:val="17"/>
              </w:rPr>
              <w:t>High</w:t>
            </w:r>
          </w:p>
        </w:tc>
        <w:tc>
          <w:tcPr>
            <w:tcW w:type="dxa" w:w="955"/>
            <w:shd w:val="clear" w:color="auto" w:fill="EAF1F4"/>
          </w:tcPr>
          <w:p>
            <w:pPr>
              <w:spacing w:after="50" w:before="50" w:line="252" w:lineRule="auto"/>
            </w:pPr>
            <w:r>
              <w:rPr>
                <w:sz w:val="17"/>
              </w:rPr>
              <w:t>—</w:t>
            </w:r>
          </w:p>
        </w:tc>
        <w:tc>
          <w:tcPr>
            <w:tcW w:type="dxa" w:w="1601"/>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CO7</w:t>
            </w:r>
          </w:p>
        </w:tc>
        <w:tc>
          <w:tcPr>
            <w:tcW w:type="dxa" w:w="1554"/>
          </w:tcPr>
          <w:p>
            <w:pPr>
              <w:spacing w:after="50" w:before="50" w:line="252" w:lineRule="auto"/>
            </w:pPr>
            <w:r>
              <w:rPr>
                <w:sz w:val="17"/>
              </w:rPr>
              <w:t>Medium</w:t>
            </w:r>
          </w:p>
        </w:tc>
        <w:tc>
          <w:tcPr>
            <w:tcW w:type="dxa" w:w="1299"/>
          </w:tcPr>
          <w:p>
            <w:pPr>
              <w:spacing w:after="50" w:before="50" w:line="252" w:lineRule="auto"/>
            </w:pPr>
            <w:r>
              <w:rPr>
                <w:sz w:val="17"/>
              </w:rPr>
              <w:t>Medium</w:t>
            </w:r>
          </w:p>
        </w:tc>
        <w:tc>
          <w:tcPr>
            <w:tcW w:type="dxa" w:w="1479"/>
          </w:tcPr>
          <w:p>
            <w:pPr>
              <w:spacing w:after="50" w:before="50" w:line="252" w:lineRule="auto"/>
            </w:pPr>
            <w:r>
              <w:rPr>
                <w:sz w:val="17"/>
              </w:rPr>
              <w:t>Low</w:t>
            </w:r>
          </w:p>
        </w:tc>
        <w:tc>
          <w:tcPr>
            <w:tcW w:type="dxa" w:w="1817"/>
          </w:tcPr>
          <w:p>
            <w:pPr>
              <w:spacing w:after="50" w:before="50" w:line="252" w:lineRule="auto"/>
            </w:pPr>
            <w:r>
              <w:rPr>
                <w:sz w:val="17"/>
              </w:rPr>
              <w:t>High</w:t>
            </w:r>
          </w:p>
        </w:tc>
        <w:tc>
          <w:tcPr>
            <w:tcW w:type="dxa" w:w="955"/>
          </w:tcPr>
          <w:p>
            <w:pPr>
              <w:spacing w:after="50" w:before="50" w:line="252" w:lineRule="auto"/>
            </w:pPr>
            <w:r>
              <w:rPr>
                <w:sz w:val="17"/>
              </w:rPr>
              <w:t>High</w:t>
            </w:r>
          </w:p>
        </w:tc>
        <w:tc>
          <w:tcPr>
            <w:tcW w:type="dxa" w:w="1601"/>
          </w:tcPr>
          <w:p>
            <w:pPr>
              <w:spacing w:after="50" w:before="50" w:line="252" w:lineRule="auto"/>
            </w:pPr>
            <w:r>
              <w:rPr>
                <w:sz w:val="17"/>
              </w:rPr>
              <w:t>Medium</w:t>
            </w:r>
          </w:p>
        </w:tc>
      </w:tr>
      <w:tr>
        <w:tc>
          <w:tcPr>
            <w:tcW w:type="dxa" w:w="850"/>
            <w:shd w:val="clear" w:color="auto" w:fill="EAF1F4"/>
          </w:tcPr>
          <w:p>
            <w:pPr>
              <w:spacing w:after="50" w:before="50" w:line="252" w:lineRule="auto"/>
            </w:pPr>
            <w:r>
              <w:rPr>
                <w:sz w:val="17"/>
              </w:rPr>
              <w:t>CO8</w:t>
            </w:r>
          </w:p>
        </w:tc>
        <w:tc>
          <w:tcPr>
            <w:tcW w:type="dxa" w:w="1554"/>
            <w:shd w:val="clear" w:color="auto" w:fill="EAF1F4"/>
          </w:tcPr>
          <w:p>
            <w:pPr>
              <w:spacing w:after="50" w:before="50" w:line="252" w:lineRule="auto"/>
            </w:pPr>
            <w:r>
              <w:rPr>
                <w:sz w:val="17"/>
              </w:rPr>
              <w:t>—</w:t>
            </w:r>
          </w:p>
        </w:tc>
        <w:tc>
          <w:tcPr>
            <w:tcW w:type="dxa" w:w="1299"/>
            <w:shd w:val="clear" w:color="auto" w:fill="EAF1F4"/>
          </w:tcPr>
          <w:p>
            <w:pPr>
              <w:spacing w:after="50" w:before="50" w:line="252" w:lineRule="auto"/>
            </w:pPr>
            <w:r>
              <w:rPr>
                <w:sz w:val="17"/>
              </w:rPr>
              <w:t>Medium</w:t>
            </w:r>
          </w:p>
        </w:tc>
        <w:tc>
          <w:tcPr>
            <w:tcW w:type="dxa" w:w="1479"/>
            <w:shd w:val="clear" w:color="auto" w:fill="EAF1F4"/>
          </w:tcPr>
          <w:p>
            <w:pPr>
              <w:spacing w:after="50" w:before="50" w:line="252" w:lineRule="auto"/>
            </w:pPr>
            <w:r>
              <w:rPr>
                <w:sz w:val="17"/>
              </w:rPr>
              <w:t>Medium</w:t>
            </w:r>
          </w:p>
        </w:tc>
        <w:tc>
          <w:tcPr>
            <w:tcW w:type="dxa" w:w="1817"/>
            <w:shd w:val="clear" w:color="auto" w:fill="EAF1F4"/>
          </w:tcPr>
          <w:p>
            <w:pPr>
              <w:spacing w:after="50" w:before="50" w:line="252" w:lineRule="auto"/>
            </w:pPr>
            <w:r>
              <w:rPr>
                <w:sz w:val="17"/>
              </w:rPr>
              <w:t>Medium</w:t>
            </w:r>
          </w:p>
        </w:tc>
        <w:tc>
          <w:tcPr>
            <w:tcW w:type="dxa" w:w="955"/>
            <w:shd w:val="clear" w:color="auto" w:fill="EAF1F4"/>
          </w:tcPr>
          <w:p>
            <w:pPr>
              <w:spacing w:after="50" w:before="50" w:line="252" w:lineRule="auto"/>
            </w:pPr>
            <w:r>
              <w:rPr>
                <w:sz w:val="17"/>
              </w:rPr>
              <w:t>Medium</w:t>
            </w:r>
          </w:p>
        </w:tc>
        <w:tc>
          <w:tcPr>
            <w:tcW w:type="dxa" w:w="1601"/>
            <w:shd w:val="clear" w:color="auto" w:fill="EAF1F4"/>
          </w:tcPr>
          <w:p>
            <w:pPr>
              <w:spacing w:after="50" w:before="50" w:line="252" w:lineRule="auto"/>
            </w:pPr>
            <w:r>
              <w:rPr>
                <w:sz w:val="17"/>
              </w:rPr>
              <w:t>High</w:t>
            </w:r>
          </w:p>
        </w:tc>
      </w:tr>
    </w:tbl>
    <w:p>
      <w:pPr>
        <w:spacing w:after="80" w:before="0"/>
      </w:pPr>
    </w:p>
    <w:p>
      <w:pPr>
        <w:spacing w:before="80" w:after="160"/>
        <w:pBdr>
          <w:bottom w:val="single" w:sz="6" w:space="1" w:color="C9D6DE"/>
        </w:pBdr>
      </w:pPr>
    </w:p>
    <w:p>
      <w:pPr>
        <w:pStyle w:val="Heading1"/>
        <w:pBdr>
          <w:bottom w:val="single" w:sz="8" w:space="4" w:color="C9D6DE"/>
        </w:pBdr>
      </w:pPr>
      <w:r>
        <w:t>4. Credit computation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478"/>
            <w:shd w:val="clear" w:color="auto" w:fill="10375C"/>
          </w:tcPr>
          <w:p>
            <w:pPr>
              <w:spacing w:after="50" w:before="50"/>
            </w:pPr>
            <w:r>
              <w:rPr>
                <w:b/>
                <w:color w:val="FFFFFF"/>
                <w:sz w:val="17"/>
              </w:rPr>
              <w:t>Component</w:t>
            </w:r>
          </w:p>
        </w:tc>
        <w:tc>
          <w:tcPr>
            <w:tcW w:type="dxa" w:w="990"/>
            <w:shd w:val="clear" w:color="auto" w:fill="10375C"/>
          </w:tcPr>
          <w:p>
            <w:pPr>
              <w:spacing w:after="50" w:before="50"/>
            </w:pPr>
            <w:r>
              <w:rPr>
                <w:b/>
                <w:color w:val="FFFFFF"/>
                <w:sz w:val="17"/>
              </w:rPr>
              <w:t>Hours</w:t>
            </w:r>
          </w:p>
        </w:tc>
      </w:tr>
      <w:tr>
        <w:tc>
          <w:tcPr>
            <w:tcW w:type="dxa" w:w="8478"/>
          </w:tcPr>
          <w:p>
            <w:pPr>
              <w:spacing w:after="50" w:before="50" w:line="252" w:lineRule="auto"/>
            </w:pPr>
            <w:r>
              <w:rPr>
                <w:sz w:val="17"/>
              </w:rPr>
              <w:t>Lectures and structured input</w:t>
            </w:r>
          </w:p>
        </w:tc>
        <w:tc>
          <w:tcPr>
            <w:tcW w:type="dxa" w:w="990"/>
          </w:tcPr>
          <w:p>
            <w:pPr>
              <w:spacing w:after="50" w:before="50" w:line="252" w:lineRule="auto"/>
            </w:pPr>
            <w:r>
              <w:rPr>
                <w:sz w:val="17"/>
              </w:rPr>
              <w:t>[●]</w:t>
            </w:r>
          </w:p>
        </w:tc>
      </w:tr>
      <w:tr>
        <w:tc>
          <w:tcPr>
            <w:tcW w:type="dxa" w:w="8478"/>
            <w:shd w:val="clear" w:color="auto" w:fill="EAF1F4"/>
          </w:tcPr>
          <w:p>
            <w:pPr>
              <w:spacing w:after="50" w:before="50" w:line="252" w:lineRule="auto"/>
            </w:pPr>
            <w:r>
              <w:rPr>
                <w:sz w:val="17"/>
              </w:rPr>
              <w:t>Simulation, drills and practical work</w:t>
            </w:r>
          </w:p>
        </w:tc>
        <w:tc>
          <w:tcPr>
            <w:tcW w:type="dxa" w:w="990"/>
            <w:shd w:val="clear" w:color="auto" w:fill="EAF1F4"/>
          </w:tcPr>
          <w:p>
            <w:pPr>
              <w:spacing w:after="50" w:before="50" w:line="252" w:lineRule="auto"/>
            </w:pPr>
            <w:r>
              <w:rPr>
                <w:sz w:val="17"/>
              </w:rPr>
              <w:t>[●]</w:t>
            </w:r>
          </w:p>
        </w:tc>
      </w:tr>
      <w:tr>
        <w:tc>
          <w:tcPr>
            <w:tcW w:type="dxa" w:w="8478"/>
          </w:tcPr>
          <w:p>
            <w:pPr>
              <w:spacing w:after="50" w:before="50" w:line="252" w:lineRule="auto"/>
            </w:pPr>
            <w:r>
              <w:rPr>
                <w:sz w:val="17"/>
              </w:rPr>
              <w:t>Supervised observation</w:t>
            </w:r>
          </w:p>
        </w:tc>
        <w:tc>
          <w:tcPr>
            <w:tcW w:type="dxa" w:w="990"/>
          </w:tcPr>
          <w:p>
            <w:pPr>
              <w:spacing w:after="50" w:before="50" w:line="252" w:lineRule="auto"/>
            </w:pPr>
            <w:r>
              <w:rPr>
                <w:sz w:val="17"/>
              </w:rPr>
              <w:t>[●]</w:t>
            </w:r>
          </w:p>
        </w:tc>
      </w:tr>
      <w:tr>
        <w:tc>
          <w:tcPr>
            <w:tcW w:type="dxa" w:w="8478"/>
            <w:shd w:val="clear" w:color="auto" w:fill="EAF1F4"/>
          </w:tcPr>
          <w:p>
            <w:pPr>
              <w:spacing w:after="50" w:before="50" w:line="252" w:lineRule="auto"/>
            </w:pPr>
            <w:r>
              <w:rPr>
                <w:sz w:val="17"/>
              </w:rPr>
              <w:t>Assessment, including preparation</w:t>
            </w:r>
          </w:p>
        </w:tc>
        <w:tc>
          <w:tcPr>
            <w:tcW w:type="dxa" w:w="990"/>
            <w:shd w:val="clear" w:color="auto" w:fill="EAF1F4"/>
          </w:tcPr>
          <w:p>
            <w:pPr>
              <w:spacing w:after="50" w:before="50" w:line="252" w:lineRule="auto"/>
            </w:pPr>
            <w:r>
              <w:rPr>
                <w:sz w:val="17"/>
              </w:rPr>
              <w:t>[●]</w:t>
            </w:r>
          </w:p>
        </w:tc>
      </w:tr>
      <w:tr>
        <w:tc>
          <w:tcPr>
            <w:tcW w:type="dxa" w:w="8478"/>
          </w:tcPr>
          <w:p>
            <w:pPr>
              <w:spacing w:after="50" w:before="50" w:line="252" w:lineRule="auto"/>
            </w:pPr>
            <w:r>
              <w:rPr>
                <w:b/>
                <w:sz w:val="17"/>
              </w:rPr>
              <w:t>Total contact hours</w:t>
            </w:r>
          </w:p>
        </w:tc>
        <w:tc>
          <w:tcPr>
            <w:tcW w:type="dxa" w:w="990"/>
          </w:tcPr>
          <w:p>
            <w:pPr>
              <w:spacing w:after="50" w:before="50" w:line="252" w:lineRule="auto"/>
            </w:pPr>
            <w:r>
              <w:rPr>
                <w:b/>
                <w:sz w:val="17"/>
              </w:rPr>
              <w:t>[●]</w:t>
            </w:r>
          </w:p>
        </w:tc>
      </w:tr>
      <w:tr>
        <w:tc>
          <w:tcPr>
            <w:tcW w:type="dxa" w:w="8478"/>
            <w:shd w:val="clear" w:color="auto" w:fill="EAF1F4"/>
          </w:tcPr>
          <w:p>
            <w:pPr>
              <w:spacing w:after="50" w:before="50" w:line="252" w:lineRule="auto"/>
            </w:pPr>
            <w:r>
              <w:rPr>
                <w:sz w:val="17"/>
              </w:rPr>
              <w:t>Independent study, reading and reflective log</w:t>
            </w:r>
          </w:p>
        </w:tc>
        <w:tc>
          <w:tcPr>
            <w:tcW w:type="dxa" w:w="990"/>
            <w:shd w:val="clear" w:color="auto" w:fill="EAF1F4"/>
          </w:tcPr>
          <w:p>
            <w:pPr>
              <w:spacing w:after="50" w:before="50" w:line="252" w:lineRule="auto"/>
            </w:pPr>
            <w:r>
              <w:rPr>
                <w:sz w:val="17"/>
              </w:rPr>
              <w:t>[●]</w:t>
            </w:r>
          </w:p>
        </w:tc>
      </w:tr>
      <w:tr>
        <w:tc>
          <w:tcPr>
            <w:tcW w:type="dxa" w:w="8478"/>
          </w:tcPr>
          <w:p>
            <w:pPr>
              <w:spacing w:after="50" w:before="50" w:line="252" w:lineRule="auto"/>
            </w:pPr>
            <w:r>
              <w:rPr>
                <w:b/>
                <w:sz w:val="17"/>
              </w:rPr>
              <w:t>Total notional learning hours</w:t>
            </w:r>
          </w:p>
        </w:tc>
        <w:tc>
          <w:tcPr>
            <w:tcW w:type="dxa" w:w="990"/>
          </w:tcPr>
          <w:p>
            <w:pPr>
              <w:spacing w:after="50" w:before="50" w:line="252" w:lineRule="auto"/>
            </w:pPr>
            <w:r>
              <w:rPr>
                <w:b/>
                <w:sz w:val="17"/>
              </w:rPr>
              <w:t>[●]</w:t>
            </w:r>
          </w:p>
        </w:tc>
      </w:tr>
      <w:tr>
        <w:tc>
          <w:tcPr>
            <w:tcW w:type="dxa" w:w="8478"/>
            <w:shd w:val="clear" w:color="auto" w:fill="EAF1F4"/>
          </w:tcPr>
          <w:p>
            <w:pPr>
              <w:spacing w:after="50" w:before="50" w:line="252" w:lineRule="auto"/>
            </w:pPr>
            <w:r>
              <w:rPr>
                <w:b/>
                <w:sz w:val="17"/>
              </w:rPr>
              <w:t>Credits proposed at the institution's conversion ratio of [●] hours per credit</w:t>
            </w:r>
          </w:p>
        </w:tc>
        <w:tc>
          <w:tcPr>
            <w:tcW w:type="dxa" w:w="990"/>
            <w:shd w:val="clear" w:color="auto" w:fill="EAF1F4"/>
          </w:tcPr>
          <w:p>
            <w:pPr>
              <w:spacing w:after="50" w:before="50" w:line="252" w:lineRule="auto"/>
            </w:pPr>
            <w:r>
              <w:rPr>
                <w:b/>
                <w:sz w:val="17"/>
              </w:rPr>
              <w:t>[●]</w:t>
            </w:r>
          </w:p>
        </w:tc>
      </w:tr>
    </w:tbl>
    <w:p>
      <w:pPr>
        <w:spacing w:after="80" w:before="0"/>
      </w:pPr>
    </w:p>
    <w:p>
      <w:r>
        <w:rPr>
          <w:b/>
        </w:rPr>
        <w:t>Note for the Board of Studies.</w:t>
      </w:r>
      <w:r>
        <w:t xml:space="preserve"> Practical and simulation hours are ordinarily weighted differently from lecture hours under an institution's own regulations. The computation above should be adjusted to the institution's convention; Equator will supply the hours in whatever breakdown the institution requires.</w:t>
      </w:r>
    </w:p>
    <w:p>
      <w:pPr>
        <w:spacing w:before="80" w:after="160"/>
        <w:pBdr>
          <w:bottom w:val="single" w:sz="6" w:space="1" w:color="C9D6DE"/>
        </w:pBdr>
      </w:pPr>
    </w:p>
    <w:p>
      <w:pPr>
        <w:pStyle w:val="Heading1"/>
        <w:pBdr>
          <w:bottom w:val="single" w:sz="8" w:space="4" w:color="C9D6DE"/>
        </w:pBdr>
      </w:pPr>
      <w:r>
        <w:t>5. Syllabus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Unit</w:t>
            </w:r>
          </w:p>
        </w:tc>
        <w:tc>
          <w:tcPr>
            <w:tcW w:type="dxa" w:w="3673"/>
            <w:shd w:val="clear" w:color="auto" w:fill="10375C"/>
          </w:tcPr>
          <w:p>
            <w:pPr>
              <w:spacing w:after="50" w:before="50"/>
            </w:pPr>
            <w:r>
              <w:rPr>
                <w:b/>
                <w:color w:val="FFFFFF"/>
                <w:sz w:val="17"/>
              </w:rPr>
              <w:t>Title</w:t>
            </w:r>
          </w:p>
        </w:tc>
        <w:tc>
          <w:tcPr>
            <w:tcW w:type="dxa" w:w="850"/>
            <w:shd w:val="clear" w:color="auto" w:fill="10375C"/>
          </w:tcPr>
          <w:p>
            <w:pPr>
              <w:spacing w:after="50" w:before="50"/>
            </w:pPr>
            <w:r>
              <w:rPr>
                <w:b/>
                <w:color w:val="FFFFFF"/>
                <w:sz w:val="17"/>
              </w:rPr>
              <w:t>Hours</w:t>
            </w:r>
          </w:p>
        </w:tc>
        <w:tc>
          <w:tcPr>
            <w:tcW w:type="dxa" w:w="4392"/>
            <w:shd w:val="clear" w:color="auto" w:fill="10375C"/>
          </w:tcPr>
          <w:p>
            <w:pPr>
              <w:spacing w:after="50" w:before="50"/>
            </w:pPr>
            <w:r>
              <w:rPr>
                <w:b/>
                <w:color w:val="FFFFFF"/>
                <w:sz w:val="17"/>
              </w:rPr>
              <w:t>Content</w:t>
            </w:r>
          </w:p>
        </w:tc>
        <w:tc>
          <w:tcPr>
            <w:tcW w:type="dxa" w:w="850"/>
            <w:shd w:val="clear" w:color="auto" w:fill="10375C"/>
          </w:tcPr>
          <w:p>
            <w:pPr>
              <w:spacing w:after="50" w:before="50"/>
            </w:pPr>
            <w:r>
              <w:rPr>
                <w:b/>
                <w:color w:val="FFFFFF"/>
                <w:sz w:val="17"/>
              </w:rPr>
              <w:t>COs</w:t>
            </w:r>
          </w:p>
        </w:tc>
      </w:tr>
      <w:tr>
        <w:tc>
          <w:tcPr>
            <w:tcW w:type="dxa" w:w="850"/>
          </w:tcPr>
          <w:p>
            <w:pPr>
              <w:spacing w:after="50" w:before="50" w:line="252" w:lineRule="auto"/>
            </w:pPr>
            <w:r>
              <w:rPr>
                <w:sz w:val="17"/>
              </w:rPr>
              <w:t>I</w:t>
            </w:r>
          </w:p>
        </w:tc>
        <w:tc>
          <w:tcPr>
            <w:tcW w:type="dxa" w:w="3673"/>
          </w:tcPr>
          <w:p>
            <w:pPr>
              <w:spacing w:after="50" w:before="50" w:line="252" w:lineRule="auto"/>
            </w:pPr>
            <w:r>
              <w:rPr>
                <w:sz w:val="17"/>
              </w:rPr>
              <w:t>Conflict, dispute resolution and the Indian framework</w:t>
            </w:r>
          </w:p>
        </w:tc>
        <w:tc>
          <w:tcPr>
            <w:tcW w:type="dxa" w:w="850"/>
          </w:tcPr>
          <w:p>
            <w:pPr>
              <w:spacing w:after="50" w:before="50" w:line="252" w:lineRule="auto"/>
            </w:pPr>
            <w:r>
              <w:rPr>
                <w:sz w:val="17"/>
              </w:rPr>
              <w:t>[●]</w:t>
            </w:r>
          </w:p>
        </w:tc>
        <w:tc>
          <w:tcPr>
            <w:tcW w:type="dxa" w:w="4392"/>
          </w:tcPr>
          <w:p>
            <w:pPr>
              <w:spacing w:after="50" w:before="50" w:line="252" w:lineRule="auto"/>
            </w:pPr>
            <w:r>
              <w:rPr>
                <w:sz w:val="17"/>
              </w:rPr>
              <w:t>Conflict and escalation; the dispute resolution spectrum; the Mediation Act, 2023; section 12A of the Commercial Courts Act, 2015; the Arbitration and Conciliation Act, 1996 in outline; legal services authorities and Lok Adalat; community mediation</w:t>
            </w:r>
          </w:p>
        </w:tc>
        <w:tc>
          <w:tcPr>
            <w:tcW w:type="dxa" w:w="850"/>
          </w:tcPr>
          <w:p>
            <w:pPr>
              <w:spacing w:after="50" w:before="50" w:line="252" w:lineRule="auto"/>
            </w:pPr>
            <w:r>
              <w:rPr>
                <w:sz w:val="17"/>
              </w:rPr>
              <w:t>CO1</w:t>
            </w:r>
          </w:p>
        </w:tc>
      </w:tr>
      <w:tr>
        <w:tc>
          <w:tcPr>
            <w:tcW w:type="dxa" w:w="850"/>
            <w:shd w:val="clear" w:color="auto" w:fill="EAF1F4"/>
          </w:tcPr>
          <w:p>
            <w:pPr>
              <w:spacing w:after="50" w:before="50" w:line="252" w:lineRule="auto"/>
            </w:pPr>
            <w:r>
              <w:rPr>
                <w:sz w:val="17"/>
              </w:rPr>
              <w:t>II</w:t>
            </w:r>
          </w:p>
        </w:tc>
        <w:tc>
          <w:tcPr>
            <w:tcW w:type="dxa" w:w="3673"/>
            <w:shd w:val="clear" w:color="auto" w:fill="EAF1F4"/>
          </w:tcPr>
          <w:p>
            <w:pPr>
              <w:spacing w:after="50" w:before="50" w:line="252" w:lineRule="auto"/>
            </w:pPr>
            <w:r>
              <w:rPr>
                <w:sz w:val="17"/>
              </w:rPr>
              <w:t>Confidentiality, ethics and the role of the neutral</w:t>
            </w:r>
          </w:p>
        </w:tc>
        <w:tc>
          <w:tcPr>
            <w:tcW w:type="dxa" w:w="850"/>
            <w:shd w:val="clear" w:color="auto" w:fill="EAF1F4"/>
          </w:tcPr>
          <w:p>
            <w:pPr>
              <w:spacing w:after="50" w:before="50" w:line="252" w:lineRule="auto"/>
            </w:pPr>
            <w:r>
              <w:rPr>
                <w:sz w:val="17"/>
              </w:rPr>
              <w:t>[●]</w:t>
            </w:r>
          </w:p>
        </w:tc>
        <w:tc>
          <w:tcPr>
            <w:tcW w:type="dxa" w:w="4392"/>
            <w:shd w:val="clear" w:color="auto" w:fill="EAF1F4"/>
          </w:tcPr>
          <w:p>
            <w:pPr>
              <w:spacing w:after="50" w:before="50" w:line="252" w:lineRule="auto"/>
            </w:pPr>
            <w:r>
              <w:rPr>
                <w:sz w:val="17"/>
              </w:rPr>
              <w:t>Section 22 and the confidentiality regime; the prohibition on recording; inadmissibility; independence and impartiality; disclosure; conflicts; the limits of the mediator's role</w:t>
            </w:r>
          </w:p>
        </w:tc>
        <w:tc>
          <w:tcPr>
            <w:tcW w:type="dxa" w:w="850"/>
            <w:shd w:val="clear" w:color="auto" w:fill="EAF1F4"/>
          </w:tcPr>
          <w:p>
            <w:pPr>
              <w:spacing w:after="50" w:before="50" w:line="252" w:lineRule="auto"/>
            </w:pPr>
            <w:r>
              <w:rPr>
                <w:sz w:val="17"/>
              </w:rPr>
              <w:t>CO1, CO7</w:t>
            </w:r>
          </w:p>
        </w:tc>
      </w:tr>
      <w:tr>
        <w:tc>
          <w:tcPr>
            <w:tcW w:type="dxa" w:w="850"/>
          </w:tcPr>
          <w:p>
            <w:pPr>
              <w:spacing w:after="50" w:before="50" w:line="252" w:lineRule="auto"/>
            </w:pPr>
            <w:r>
              <w:rPr>
                <w:sz w:val="17"/>
              </w:rPr>
              <w:t>III</w:t>
            </w:r>
          </w:p>
        </w:tc>
        <w:tc>
          <w:tcPr>
            <w:tcW w:type="dxa" w:w="3673"/>
          </w:tcPr>
          <w:p>
            <w:pPr>
              <w:spacing w:after="50" w:before="50" w:line="252" w:lineRule="auto"/>
            </w:pPr>
            <w:r>
              <w:rPr>
                <w:sz w:val="17"/>
              </w:rPr>
              <w:t>Communication for dispute resolution</w:t>
            </w:r>
          </w:p>
        </w:tc>
        <w:tc>
          <w:tcPr>
            <w:tcW w:type="dxa" w:w="850"/>
          </w:tcPr>
          <w:p>
            <w:pPr>
              <w:spacing w:after="50" w:before="50" w:line="252" w:lineRule="auto"/>
            </w:pPr>
            <w:r>
              <w:rPr>
                <w:sz w:val="17"/>
              </w:rPr>
              <w:t>[●]</w:t>
            </w:r>
          </w:p>
        </w:tc>
        <w:tc>
          <w:tcPr>
            <w:tcW w:type="dxa" w:w="4392"/>
          </w:tcPr>
          <w:p>
            <w:pPr>
              <w:spacing w:after="50" w:before="50" w:line="252" w:lineRule="auto"/>
            </w:pPr>
            <w:r>
              <w:rPr>
                <w:sz w:val="17"/>
              </w:rPr>
              <w:t>Active listening; questioning; reframing; summarising; normalising; managing emotion</w:t>
            </w:r>
          </w:p>
        </w:tc>
        <w:tc>
          <w:tcPr>
            <w:tcW w:type="dxa" w:w="850"/>
          </w:tcPr>
          <w:p>
            <w:pPr>
              <w:spacing w:after="50" w:before="50" w:line="252" w:lineRule="auto"/>
            </w:pPr>
            <w:r>
              <w:rPr>
                <w:sz w:val="17"/>
              </w:rPr>
              <w:t>CO4</w:t>
            </w:r>
          </w:p>
        </w:tc>
      </w:tr>
      <w:tr>
        <w:tc>
          <w:tcPr>
            <w:tcW w:type="dxa" w:w="850"/>
            <w:shd w:val="clear" w:color="auto" w:fill="EAF1F4"/>
          </w:tcPr>
          <w:p>
            <w:pPr>
              <w:spacing w:after="50" w:before="50" w:line="252" w:lineRule="auto"/>
            </w:pPr>
            <w:r>
              <w:rPr>
                <w:sz w:val="17"/>
              </w:rPr>
              <w:t>IV</w:t>
            </w:r>
          </w:p>
        </w:tc>
        <w:tc>
          <w:tcPr>
            <w:tcW w:type="dxa" w:w="3673"/>
            <w:shd w:val="clear" w:color="auto" w:fill="EAF1F4"/>
          </w:tcPr>
          <w:p>
            <w:pPr>
              <w:spacing w:after="50" w:before="50" w:line="252" w:lineRule="auto"/>
            </w:pPr>
            <w:r>
              <w:rPr>
                <w:sz w:val="17"/>
              </w:rPr>
              <w:t>Interests, positions and the analysis of disputes</w:t>
            </w:r>
          </w:p>
        </w:tc>
        <w:tc>
          <w:tcPr>
            <w:tcW w:type="dxa" w:w="850"/>
            <w:shd w:val="clear" w:color="auto" w:fill="EAF1F4"/>
          </w:tcPr>
          <w:p>
            <w:pPr>
              <w:spacing w:after="50" w:before="50" w:line="252" w:lineRule="auto"/>
            </w:pPr>
            <w:r>
              <w:rPr>
                <w:sz w:val="17"/>
              </w:rPr>
              <w:t>[●]</w:t>
            </w:r>
          </w:p>
        </w:tc>
        <w:tc>
          <w:tcPr>
            <w:tcW w:type="dxa" w:w="4392"/>
            <w:shd w:val="clear" w:color="auto" w:fill="EAF1F4"/>
          </w:tcPr>
          <w:p>
            <w:pPr>
              <w:spacing w:after="50" w:before="50" w:line="252" w:lineRule="auto"/>
            </w:pPr>
            <w:r>
              <w:rPr>
                <w:sz w:val="17"/>
              </w:rPr>
              <w:t>Positions and interests; the interests grid; information asymmetry; the hidden interest</w:t>
            </w:r>
          </w:p>
        </w:tc>
        <w:tc>
          <w:tcPr>
            <w:tcW w:type="dxa" w:w="850"/>
            <w:shd w:val="clear" w:color="auto" w:fill="EAF1F4"/>
          </w:tcPr>
          <w:p>
            <w:pPr>
              <w:spacing w:after="50" w:before="50" w:line="252" w:lineRule="auto"/>
            </w:pPr>
            <w:r>
              <w:rPr>
                <w:sz w:val="17"/>
              </w:rPr>
              <w:t>CO2</w:t>
            </w:r>
          </w:p>
        </w:tc>
      </w:tr>
      <w:tr>
        <w:tc>
          <w:tcPr>
            <w:tcW w:type="dxa" w:w="850"/>
          </w:tcPr>
          <w:p>
            <w:pPr>
              <w:spacing w:after="50" w:before="50" w:line="252" w:lineRule="auto"/>
            </w:pPr>
            <w:r>
              <w:rPr>
                <w:sz w:val="17"/>
              </w:rPr>
              <w:t>V</w:t>
            </w:r>
          </w:p>
        </w:tc>
        <w:tc>
          <w:tcPr>
            <w:tcW w:type="dxa" w:w="3673"/>
          </w:tcPr>
          <w:p>
            <w:pPr>
              <w:spacing w:after="50" w:before="50" w:line="252" w:lineRule="auto"/>
            </w:pPr>
            <w:r>
              <w:rPr>
                <w:sz w:val="17"/>
              </w:rPr>
              <w:t>The mediation process</w:t>
            </w:r>
          </w:p>
        </w:tc>
        <w:tc>
          <w:tcPr>
            <w:tcW w:type="dxa" w:w="850"/>
          </w:tcPr>
          <w:p>
            <w:pPr>
              <w:spacing w:after="50" w:before="50" w:line="252" w:lineRule="auto"/>
            </w:pPr>
            <w:r>
              <w:rPr>
                <w:sz w:val="17"/>
              </w:rPr>
              <w:t>[●]</w:t>
            </w:r>
          </w:p>
        </w:tc>
        <w:tc>
          <w:tcPr>
            <w:tcW w:type="dxa" w:w="4392"/>
          </w:tcPr>
          <w:p>
            <w:pPr>
              <w:spacing w:after="50" w:before="50" w:line="252" w:lineRule="auto"/>
            </w:pPr>
            <w:r>
              <w:rPr>
                <w:sz w:val="17"/>
              </w:rPr>
              <w:t>Convening; opening; information gathering; interests; options; negotiation; agreement; closure; the caucus</w:t>
            </w:r>
          </w:p>
        </w:tc>
        <w:tc>
          <w:tcPr>
            <w:tcW w:type="dxa" w:w="850"/>
          </w:tcPr>
          <w:p>
            <w:pPr>
              <w:spacing w:after="50" w:before="50" w:line="252" w:lineRule="auto"/>
            </w:pPr>
            <w:r>
              <w:rPr>
                <w:sz w:val="17"/>
              </w:rPr>
              <w:t>CO3</w:t>
            </w:r>
          </w:p>
        </w:tc>
      </w:tr>
      <w:tr>
        <w:tc>
          <w:tcPr>
            <w:tcW w:type="dxa" w:w="850"/>
            <w:shd w:val="clear" w:color="auto" w:fill="EAF1F4"/>
          </w:tcPr>
          <w:p>
            <w:pPr>
              <w:spacing w:after="50" w:before="50" w:line="252" w:lineRule="auto"/>
            </w:pPr>
            <w:r>
              <w:rPr>
                <w:sz w:val="17"/>
              </w:rPr>
              <w:t>VI</w:t>
            </w:r>
          </w:p>
        </w:tc>
        <w:tc>
          <w:tcPr>
            <w:tcW w:type="dxa" w:w="3673"/>
            <w:shd w:val="clear" w:color="auto" w:fill="EAF1F4"/>
          </w:tcPr>
          <w:p>
            <w:pPr>
              <w:spacing w:after="50" w:before="50" w:line="252" w:lineRule="auto"/>
            </w:pPr>
            <w:r>
              <w:rPr>
                <w:sz w:val="17"/>
              </w:rPr>
              <w:t>Negotiation for mediators and advocates</w:t>
            </w:r>
          </w:p>
        </w:tc>
        <w:tc>
          <w:tcPr>
            <w:tcW w:type="dxa" w:w="850"/>
            <w:shd w:val="clear" w:color="auto" w:fill="EAF1F4"/>
          </w:tcPr>
          <w:p>
            <w:pPr>
              <w:spacing w:after="50" w:before="50" w:line="252" w:lineRule="auto"/>
            </w:pPr>
            <w:r>
              <w:rPr>
                <w:sz w:val="17"/>
              </w:rPr>
              <w:t>[●]</w:t>
            </w:r>
          </w:p>
        </w:tc>
        <w:tc>
          <w:tcPr>
            <w:tcW w:type="dxa" w:w="4392"/>
            <w:shd w:val="clear" w:color="auto" w:fill="EAF1F4"/>
          </w:tcPr>
          <w:p>
            <w:pPr>
              <w:spacing w:after="50" w:before="50" w:line="252" w:lineRule="auto"/>
            </w:pPr>
            <w:r>
              <w:rPr>
                <w:sz w:val="17"/>
              </w:rPr>
              <w:t>Distributive and integrative bargaining; BATNA, WATNA, ZOPA; anchoring; concession patterns; option generation; objective criteria</w:t>
            </w:r>
          </w:p>
        </w:tc>
        <w:tc>
          <w:tcPr>
            <w:tcW w:type="dxa" w:w="850"/>
            <w:shd w:val="clear" w:color="auto" w:fill="EAF1F4"/>
          </w:tcPr>
          <w:p>
            <w:pPr>
              <w:spacing w:after="50" w:before="50" w:line="252" w:lineRule="auto"/>
            </w:pPr>
            <w:r>
              <w:rPr>
                <w:sz w:val="17"/>
              </w:rPr>
              <w:t>CO5</w:t>
            </w:r>
          </w:p>
        </w:tc>
      </w:tr>
      <w:tr>
        <w:tc>
          <w:tcPr>
            <w:tcW w:type="dxa" w:w="850"/>
          </w:tcPr>
          <w:p>
            <w:pPr>
              <w:spacing w:after="50" w:before="50" w:line="252" w:lineRule="auto"/>
            </w:pPr>
            <w:r>
              <w:rPr>
                <w:sz w:val="17"/>
              </w:rPr>
              <w:t>VII</w:t>
            </w:r>
          </w:p>
        </w:tc>
        <w:tc>
          <w:tcPr>
            <w:tcW w:type="dxa" w:w="3673"/>
          </w:tcPr>
          <w:p>
            <w:pPr>
              <w:spacing w:after="50" w:before="50" w:line="252" w:lineRule="auto"/>
            </w:pPr>
            <w:r>
              <w:rPr>
                <w:sz w:val="17"/>
              </w:rPr>
              <w:t>Difficulty, impasse and complexity</w:t>
            </w:r>
          </w:p>
        </w:tc>
        <w:tc>
          <w:tcPr>
            <w:tcW w:type="dxa" w:w="850"/>
          </w:tcPr>
          <w:p>
            <w:pPr>
              <w:spacing w:after="50" w:before="50" w:line="252" w:lineRule="auto"/>
            </w:pPr>
            <w:r>
              <w:rPr>
                <w:sz w:val="17"/>
              </w:rPr>
              <w:t>[●]</w:t>
            </w:r>
          </w:p>
        </w:tc>
        <w:tc>
          <w:tcPr>
            <w:tcW w:type="dxa" w:w="4392"/>
          </w:tcPr>
          <w:p>
            <w:pPr>
              <w:spacing w:after="50" w:before="50" w:line="252" w:lineRule="auto"/>
            </w:pPr>
            <w:r>
              <w:rPr>
                <w:sz w:val="17"/>
              </w:rPr>
              <w:t>Diagnosing impasse; interventions; power imbalance; unrepresented parties; multi-party processes; when mediation is inappropriate</w:t>
            </w:r>
          </w:p>
        </w:tc>
        <w:tc>
          <w:tcPr>
            <w:tcW w:type="dxa" w:w="850"/>
          </w:tcPr>
          <w:p>
            <w:pPr>
              <w:spacing w:after="50" w:before="50" w:line="252" w:lineRule="auto"/>
            </w:pPr>
            <w:r>
              <w:rPr>
                <w:sz w:val="17"/>
              </w:rPr>
              <w:t>CO3, CO5</w:t>
            </w:r>
          </w:p>
        </w:tc>
      </w:tr>
      <w:tr>
        <w:tc>
          <w:tcPr>
            <w:tcW w:type="dxa" w:w="850"/>
            <w:shd w:val="clear" w:color="auto" w:fill="EAF1F4"/>
          </w:tcPr>
          <w:p>
            <w:pPr>
              <w:spacing w:after="50" w:before="50" w:line="252" w:lineRule="auto"/>
            </w:pPr>
            <w:r>
              <w:rPr>
                <w:sz w:val="17"/>
              </w:rPr>
              <w:t>VIII</w:t>
            </w:r>
          </w:p>
        </w:tc>
        <w:tc>
          <w:tcPr>
            <w:tcW w:type="dxa" w:w="3673"/>
            <w:shd w:val="clear" w:color="auto" w:fill="EAF1F4"/>
          </w:tcPr>
          <w:p>
            <w:pPr>
              <w:spacing w:after="50" w:before="50" w:line="252" w:lineRule="auto"/>
            </w:pPr>
            <w:r>
              <w:rPr>
                <w:sz w:val="17"/>
              </w:rPr>
              <w:t>Drafting and enforcement</w:t>
            </w:r>
          </w:p>
        </w:tc>
        <w:tc>
          <w:tcPr>
            <w:tcW w:type="dxa" w:w="850"/>
            <w:shd w:val="clear" w:color="auto" w:fill="EAF1F4"/>
          </w:tcPr>
          <w:p>
            <w:pPr>
              <w:spacing w:after="50" w:before="50" w:line="252" w:lineRule="auto"/>
            </w:pPr>
            <w:r>
              <w:rPr>
                <w:sz w:val="17"/>
              </w:rPr>
              <w:t>[●]</w:t>
            </w:r>
          </w:p>
        </w:tc>
        <w:tc>
          <w:tcPr>
            <w:tcW w:type="dxa" w:w="4392"/>
            <w:shd w:val="clear" w:color="auto" w:fill="EAF1F4"/>
          </w:tcPr>
          <w:p>
            <w:pPr>
              <w:spacing w:after="50" w:before="50" w:line="252" w:lineRule="auto"/>
            </w:pPr>
            <w:r>
              <w:rPr>
                <w:sz w:val="17"/>
              </w:rPr>
              <w:t>The mediated settlement agreement; certainty; conditions; confidentiality; enforcement; mediation and multi-tier clauses</w:t>
            </w:r>
          </w:p>
        </w:tc>
        <w:tc>
          <w:tcPr>
            <w:tcW w:type="dxa" w:w="850"/>
            <w:shd w:val="clear" w:color="auto" w:fill="EAF1F4"/>
          </w:tcPr>
          <w:p>
            <w:pPr>
              <w:spacing w:after="50" w:before="50" w:line="252" w:lineRule="auto"/>
            </w:pPr>
            <w:r>
              <w:rPr>
                <w:sz w:val="17"/>
              </w:rPr>
              <w:t>CO6</w:t>
            </w:r>
          </w:p>
        </w:tc>
      </w:tr>
      <w:tr>
        <w:tc>
          <w:tcPr>
            <w:tcW w:type="dxa" w:w="850"/>
          </w:tcPr>
          <w:p>
            <w:pPr>
              <w:spacing w:after="50" w:before="50" w:line="252" w:lineRule="auto"/>
            </w:pPr>
            <w:r>
              <w:rPr>
                <w:sz w:val="17"/>
              </w:rPr>
              <w:t>IX</w:t>
            </w:r>
          </w:p>
        </w:tc>
        <w:tc>
          <w:tcPr>
            <w:tcW w:type="dxa" w:w="3673"/>
          </w:tcPr>
          <w:p>
            <w:pPr>
              <w:spacing w:after="50" w:before="50" w:line="252" w:lineRule="auto"/>
            </w:pPr>
            <w:r>
              <w:rPr>
                <w:sz w:val="17"/>
              </w:rPr>
              <w:t>Sectoral practice</w:t>
            </w:r>
          </w:p>
        </w:tc>
        <w:tc>
          <w:tcPr>
            <w:tcW w:type="dxa" w:w="850"/>
          </w:tcPr>
          <w:p>
            <w:pPr>
              <w:spacing w:after="50" w:before="50" w:line="252" w:lineRule="auto"/>
            </w:pPr>
            <w:r>
              <w:rPr>
                <w:sz w:val="17"/>
              </w:rPr>
              <w:t>[●]</w:t>
            </w:r>
          </w:p>
        </w:tc>
        <w:tc>
          <w:tcPr>
            <w:tcW w:type="dxa" w:w="4392"/>
          </w:tcPr>
          <w:p>
            <w:pPr>
              <w:spacing w:after="50" w:before="50" w:line="252" w:lineRule="auto"/>
            </w:pPr>
            <w:r>
              <w:rPr>
                <w:sz w:val="17"/>
              </w:rPr>
              <w:t>Commercial, financial, workplace, insurance and family contexts; what differs in each</w:t>
            </w:r>
          </w:p>
        </w:tc>
        <w:tc>
          <w:tcPr>
            <w:tcW w:type="dxa" w:w="850"/>
          </w:tcPr>
          <w:p>
            <w:pPr>
              <w:spacing w:after="50" w:before="50" w:line="252" w:lineRule="auto"/>
            </w:pPr>
            <w:r>
              <w:rPr>
                <w:sz w:val="17"/>
              </w:rPr>
              <w:t>CO2, CO3</w:t>
            </w:r>
          </w:p>
        </w:tc>
      </w:tr>
      <w:tr>
        <w:tc>
          <w:tcPr>
            <w:tcW w:type="dxa" w:w="850"/>
            <w:shd w:val="clear" w:color="auto" w:fill="EAF1F4"/>
          </w:tcPr>
          <w:p>
            <w:pPr>
              <w:spacing w:after="50" w:before="50" w:line="252" w:lineRule="auto"/>
            </w:pPr>
            <w:r>
              <w:rPr>
                <w:sz w:val="17"/>
              </w:rPr>
              <w:t>X</w:t>
            </w:r>
          </w:p>
        </w:tc>
        <w:tc>
          <w:tcPr>
            <w:tcW w:type="dxa" w:w="3673"/>
            <w:shd w:val="clear" w:color="auto" w:fill="EAF1F4"/>
          </w:tcPr>
          <w:p>
            <w:pPr>
              <w:spacing w:after="50" w:before="50" w:line="252" w:lineRule="auto"/>
            </w:pPr>
            <w:r>
              <w:rPr>
                <w:sz w:val="17"/>
              </w:rPr>
              <w:t>Reflective practice</w:t>
            </w:r>
          </w:p>
        </w:tc>
        <w:tc>
          <w:tcPr>
            <w:tcW w:type="dxa" w:w="850"/>
            <w:shd w:val="clear" w:color="auto" w:fill="EAF1F4"/>
          </w:tcPr>
          <w:p>
            <w:pPr>
              <w:spacing w:after="50" w:before="50" w:line="252" w:lineRule="auto"/>
            </w:pPr>
            <w:r>
              <w:rPr>
                <w:sz w:val="17"/>
              </w:rPr>
              <w:t>[●]</w:t>
            </w:r>
          </w:p>
        </w:tc>
        <w:tc>
          <w:tcPr>
            <w:tcW w:type="dxa" w:w="4392"/>
            <w:shd w:val="clear" w:color="auto" w:fill="EAF1F4"/>
          </w:tcPr>
          <w:p>
            <w:pPr>
              <w:spacing w:after="50" w:before="50" w:line="252" w:lineRule="auto"/>
            </w:pPr>
            <w:r>
              <w:rPr>
                <w:sz w:val="17"/>
              </w:rPr>
              <w:t>The reflective log; self-assessment; development planning</w:t>
            </w:r>
          </w:p>
        </w:tc>
        <w:tc>
          <w:tcPr>
            <w:tcW w:type="dxa" w:w="850"/>
            <w:shd w:val="clear" w:color="auto" w:fill="EAF1F4"/>
          </w:tcPr>
          <w:p>
            <w:pPr>
              <w:spacing w:after="50" w:before="50" w:line="252" w:lineRule="auto"/>
            </w:pPr>
            <w:r>
              <w:rPr>
                <w:sz w:val="17"/>
              </w:rPr>
              <w:t>CO8</w:t>
            </w:r>
          </w:p>
        </w:tc>
      </w:tr>
    </w:tbl>
    <w:p>
      <w:pPr>
        <w:spacing w:after="80" w:before="0"/>
      </w:pPr>
    </w:p>
    <w:p>
      <w:pPr>
        <w:spacing w:before="80" w:after="160"/>
        <w:pBdr>
          <w:bottom w:val="single" w:sz="6" w:space="1" w:color="C9D6DE"/>
        </w:pBdr>
      </w:pPr>
    </w:p>
    <w:p>
      <w:pPr>
        <w:pStyle w:val="Heading1"/>
        <w:pBdr>
          <w:bottom w:val="single" w:sz="8" w:space="4" w:color="C9D6DE"/>
        </w:pBdr>
      </w:pPr>
      <w:r>
        <w:t>6. Assessment</w:t>
      </w:r>
    </w:p>
    <w:p>
      <w:pPr>
        <w:pStyle w:val="Heading2"/>
      </w:pPr>
      <w:r>
        <w:t>6.1 Scheme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5478"/>
            <w:shd w:val="clear" w:color="auto" w:fill="10375C"/>
          </w:tcPr>
          <w:p>
            <w:pPr>
              <w:spacing w:after="50" w:before="50"/>
            </w:pPr>
            <w:r>
              <w:rPr>
                <w:b/>
                <w:color w:val="FFFFFF"/>
                <w:sz w:val="17"/>
              </w:rPr>
              <w:t>Component</w:t>
            </w:r>
          </w:p>
        </w:tc>
        <w:tc>
          <w:tcPr>
            <w:tcW w:type="dxa" w:w="850"/>
            <w:shd w:val="clear" w:color="auto" w:fill="10375C"/>
          </w:tcPr>
          <w:p>
            <w:pPr>
              <w:spacing w:after="50" w:before="50"/>
            </w:pPr>
            <w:r>
              <w:rPr>
                <w:b/>
                <w:color w:val="FFFFFF"/>
                <w:sz w:val="17"/>
              </w:rPr>
              <w:t>Weight</w:t>
            </w:r>
          </w:p>
        </w:tc>
        <w:tc>
          <w:tcPr>
            <w:tcW w:type="dxa" w:w="1630"/>
            <w:shd w:val="clear" w:color="auto" w:fill="10375C"/>
          </w:tcPr>
          <w:p>
            <w:pPr>
              <w:spacing w:after="50" w:before="50"/>
            </w:pPr>
            <w:r>
              <w:rPr>
                <w:b/>
                <w:color w:val="FFFFFF"/>
                <w:sz w:val="17"/>
              </w:rPr>
              <w:t>Type</w:t>
            </w:r>
          </w:p>
        </w:tc>
        <w:tc>
          <w:tcPr>
            <w:tcW w:type="dxa" w:w="1263"/>
            <w:shd w:val="clear" w:color="auto" w:fill="10375C"/>
          </w:tcPr>
          <w:p>
            <w:pPr>
              <w:spacing w:after="50" w:before="50"/>
            </w:pPr>
            <w:r>
              <w:rPr>
                <w:b/>
                <w:color w:val="FFFFFF"/>
                <w:sz w:val="17"/>
              </w:rPr>
              <w:t>COs assessed</w:t>
            </w:r>
          </w:p>
        </w:tc>
      </w:tr>
      <w:tr>
        <w:tc>
          <w:tcPr>
            <w:tcW w:type="dxa" w:w="850"/>
          </w:tcPr>
          <w:p>
            <w:pPr>
              <w:spacing w:after="50" w:before="50" w:line="252" w:lineRule="auto"/>
            </w:pPr>
            <w:r>
              <w:rPr>
                <w:sz w:val="17"/>
              </w:rPr>
              <w:t>1</w:t>
            </w:r>
          </w:p>
        </w:tc>
        <w:tc>
          <w:tcPr>
            <w:tcW w:type="dxa" w:w="5478"/>
          </w:tcPr>
          <w:p>
            <w:pPr>
              <w:spacing w:after="50" w:before="50" w:line="252" w:lineRule="auto"/>
            </w:pPr>
            <w:r>
              <w:rPr>
                <w:sz w:val="17"/>
              </w:rPr>
              <w:t>Continuous assessment — participation in drills and simulations, observed</w:t>
            </w:r>
          </w:p>
        </w:tc>
        <w:tc>
          <w:tcPr>
            <w:tcW w:type="dxa" w:w="850"/>
          </w:tcPr>
          <w:p>
            <w:pPr>
              <w:spacing w:after="50" w:before="50" w:line="252" w:lineRule="auto"/>
            </w:pPr>
            <w:r>
              <w:rPr>
                <w:sz w:val="17"/>
              </w:rPr>
              <w:t>15%</w:t>
            </w:r>
          </w:p>
        </w:tc>
        <w:tc>
          <w:tcPr>
            <w:tcW w:type="dxa" w:w="1630"/>
          </w:tcPr>
          <w:p>
            <w:pPr>
              <w:spacing w:after="50" w:before="50" w:line="252" w:lineRule="auto"/>
            </w:pPr>
            <w:r>
              <w:rPr>
                <w:sz w:val="17"/>
              </w:rPr>
              <w:t>Internal, continuous</w:t>
            </w:r>
          </w:p>
        </w:tc>
        <w:tc>
          <w:tcPr>
            <w:tcW w:type="dxa" w:w="1263"/>
          </w:tcPr>
          <w:p>
            <w:pPr>
              <w:spacing w:after="50" w:before="50" w:line="252" w:lineRule="auto"/>
            </w:pPr>
            <w:r>
              <w:rPr>
                <w:sz w:val="17"/>
              </w:rPr>
              <w:t>CO3, CO4</w:t>
            </w:r>
          </w:p>
        </w:tc>
      </w:tr>
      <w:tr>
        <w:tc>
          <w:tcPr>
            <w:tcW w:type="dxa" w:w="850"/>
            <w:shd w:val="clear" w:color="auto" w:fill="EAF1F4"/>
          </w:tcPr>
          <w:p>
            <w:pPr>
              <w:spacing w:after="50" w:before="50" w:line="252" w:lineRule="auto"/>
            </w:pPr>
            <w:r>
              <w:rPr>
                <w:sz w:val="17"/>
              </w:rPr>
              <w:t>2</w:t>
            </w:r>
          </w:p>
        </w:tc>
        <w:tc>
          <w:tcPr>
            <w:tcW w:type="dxa" w:w="5478"/>
            <w:shd w:val="clear" w:color="auto" w:fill="EAF1F4"/>
          </w:tcPr>
          <w:p>
            <w:pPr>
              <w:spacing w:after="50" w:before="50" w:line="252" w:lineRule="auto"/>
            </w:pPr>
            <w:r>
              <w:rPr>
                <w:sz w:val="17"/>
              </w:rPr>
              <w:t>Written mid-term — objective and short answer</w:t>
            </w:r>
          </w:p>
        </w:tc>
        <w:tc>
          <w:tcPr>
            <w:tcW w:type="dxa" w:w="850"/>
            <w:shd w:val="clear" w:color="auto" w:fill="EAF1F4"/>
          </w:tcPr>
          <w:p>
            <w:pPr>
              <w:spacing w:after="50" w:before="50" w:line="252" w:lineRule="auto"/>
            </w:pPr>
            <w:r>
              <w:rPr>
                <w:sz w:val="17"/>
              </w:rPr>
              <w:t>15%</w:t>
            </w:r>
          </w:p>
        </w:tc>
        <w:tc>
          <w:tcPr>
            <w:tcW w:type="dxa" w:w="1630"/>
            <w:shd w:val="clear" w:color="auto" w:fill="EAF1F4"/>
          </w:tcPr>
          <w:p>
            <w:pPr>
              <w:spacing w:after="50" w:before="50" w:line="252" w:lineRule="auto"/>
            </w:pPr>
            <w:r>
              <w:rPr>
                <w:sz w:val="17"/>
              </w:rPr>
              <w:t>Internal</w:t>
            </w:r>
          </w:p>
        </w:tc>
        <w:tc>
          <w:tcPr>
            <w:tcW w:type="dxa" w:w="1263"/>
            <w:shd w:val="clear" w:color="auto" w:fill="EAF1F4"/>
          </w:tcPr>
          <w:p>
            <w:pPr>
              <w:spacing w:after="50" w:before="50" w:line="252" w:lineRule="auto"/>
            </w:pPr>
            <w:r>
              <w:rPr>
                <w:sz w:val="17"/>
              </w:rPr>
              <w:t>CO1, CO2, CO7</w:t>
            </w:r>
          </w:p>
        </w:tc>
      </w:tr>
      <w:tr>
        <w:tc>
          <w:tcPr>
            <w:tcW w:type="dxa" w:w="850"/>
          </w:tcPr>
          <w:p>
            <w:pPr>
              <w:spacing w:after="50" w:before="50" w:line="252" w:lineRule="auto"/>
            </w:pPr>
            <w:r>
              <w:rPr>
                <w:sz w:val="17"/>
              </w:rPr>
              <w:t>3</w:t>
            </w:r>
          </w:p>
        </w:tc>
        <w:tc>
          <w:tcPr>
            <w:tcW w:type="dxa" w:w="5478"/>
          </w:tcPr>
          <w:p>
            <w:pPr>
              <w:spacing w:after="50" w:before="50" w:line="252" w:lineRule="auto"/>
            </w:pPr>
            <w:r>
              <w:rPr>
                <w:sz w:val="17"/>
              </w:rPr>
              <w:t>Case analysis assignment — interests analysis of a given fact pattern</w:t>
            </w:r>
          </w:p>
        </w:tc>
        <w:tc>
          <w:tcPr>
            <w:tcW w:type="dxa" w:w="850"/>
          </w:tcPr>
          <w:p>
            <w:pPr>
              <w:spacing w:after="50" w:before="50" w:line="252" w:lineRule="auto"/>
            </w:pPr>
            <w:r>
              <w:rPr>
                <w:sz w:val="17"/>
              </w:rPr>
              <w:t>15%</w:t>
            </w:r>
          </w:p>
        </w:tc>
        <w:tc>
          <w:tcPr>
            <w:tcW w:type="dxa" w:w="1630"/>
          </w:tcPr>
          <w:p>
            <w:pPr>
              <w:spacing w:after="50" w:before="50" w:line="252" w:lineRule="auto"/>
            </w:pPr>
            <w:r>
              <w:rPr>
                <w:sz w:val="17"/>
              </w:rPr>
              <w:t>Internal</w:t>
            </w:r>
          </w:p>
        </w:tc>
        <w:tc>
          <w:tcPr>
            <w:tcW w:type="dxa" w:w="1263"/>
          </w:tcPr>
          <w:p>
            <w:pPr>
              <w:spacing w:after="50" w:before="50" w:line="252" w:lineRule="auto"/>
            </w:pPr>
            <w:r>
              <w:rPr>
                <w:sz w:val="17"/>
              </w:rPr>
              <w:t>CO2, CO5</w:t>
            </w:r>
          </w:p>
        </w:tc>
      </w:tr>
      <w:tr>
        <w:tc>
          <w:tcPr>
            <w:tcW w:type="dxa" w:w="850"/>
            <w:shd w:val="clear" w:color="auto" w:fill="EAF1F4"/>
          </w:tcPr>
          <w:p>
            <w:pPr>
              <w:spacing w:after="50" w:before="50" w:line="252" w:lineRule="auto"/>
            </w:pPr>
            <w:r>
              <w:rPr>
                <w:sz w:val="17"/>
              </w:rPr>
              <w:t>4</w:t>
            </w:r>
          </w:p>
        </w:tc>
        <w:tc>
          <w:tcPr>
            <w:tcW w:type="dxa" w:w="5478"/>
            <w:shd w:val="clear" w:color="auto" w:fill="EAF1F4"/>
          </w:tcPr>
          <w:p>
            <w:pPr>
              <w:spacing w:after="50" w:before="50" w:line="252" w:lineRule="auto"/>
            </w:pPr>
            <w:r>
              <w:rPr>
                <w:b/>
                <w:sz w:val="17"/>
              </w:rPr>
              <w:t>Assessed simulation</w:t>
            </w:r>
            <w:r>
              <w:rPr>
                <w:sz w:val="17"/>
              </w:rPr>
              <w:t xml:space="preserve"> — 90-minute mediation, scored against the rubric</w:t>
            </w:r>
          </w:p>
        </w:tc>
        <w:tc>
          <w:tcPr>
            <w:tcW w:type="dxa" w:w="850"/>
            <w:shd w:val="clear" w:color="auto" w:fill="EAF1F4"/>
          </w:tcPr>
          <w:p>
            <w:pPr>
              <w:spacing w:after="50" w:before="50" w:line="252" w:lineRule="auto"/>
            </w:pPr>
            <w:r>
              <w:rPr>
                <w:sz w:val="17"/>
              </w:rPr>
              <w:t>30%</w:t>
            </w:r>
          </w:p>
        </w:tc>
        <w:tc>
          <w:tcPr>
            <w:tcW w:type="dxa" w:w="1630"/>
            <w:shd w:val="clear" w:color="auto" w:fill="EAF1F4"/>
          </w:tcPr>
          <w:p>
            <w:pPr>
              <w:spacing w:after="50" w:before="50" w:line="252" w:lineRule="auto"/>
            </w:pPr>
            <w:r>
              <w:rPr>
                <w:sz w:val="17"/>
              </w:rPr>
              <w:t>Practical</w:t>
            </w:r>
          </w:p>
        </w:tc>
        <w:tc>
          <w:tcPr>
            <w:tcW w:type="dxa" w:w="1263"/>
            <w:shd w:val="clear" w:color="auto" w:fill="EAF1F4"/>
          </w:tcPr>
          <w:p>
            <w:pPr>
              <w:spacing w:after="50" w:before="50" w:line="252" w:lineRule="auto"/>
            </w:pPr>
            <w:r>
              <w:rPr>
                <w:sz w:val="17"/>
              </w:rPr>
              <w:t>CO3, CO4, CO5</w:t>
            </w:r>
          </w:p>
        </w:tc>
      </w:tr>
      <w:tr>
        <w:tc>
          <w:tcPr>
            <w:tcW w:type="dxa" w:w="850"/>
          </w:tcPr>
          <w:p>
            <w:pPr>
              <w:spacing w:after="50" w:before="50" w:line="252" w:lineRule="auto"/>
            </w:pPr>
            <w:r>
              <w:rPr>
                <w:sz w:val="17"/>
              </w:rPr>
              <w:t>5</w:t>
            </w:r>
          </w:p>
        </w:tc>
        <w:tc>
          <w:tcPr>
            <w:tcW w:type="dxa" w:w="5478"/>
          </w:tcPr>
          <w:p>
            <w:pPr>
              <w:spacing w:after="50" w:before="50" w:line="252" w:lineRule="auto"/>
            </w:pPr>
            <w:r>
              <w:rPr>
                <w:sz w:val="17"/>
              </w:rPr>
              <w:t>Drafting assessment — settlement agreement from a given outcome</w:t>
            </w:r>
          </w:p>
        </w:tc>
        <w:tc>
          <w:tcPr>
            <w:tcW w:type="dxa" w:w="850"/>
          </w:tcPr>
          <w:p>
            <w:pPr>
              <w:spacing w:after="50" w:before="50" w:line="252" w:lineRule="auto"/>
            </w:pPr>
            <w:r>
              <w:rPr>
                <w:sz w:val="17"/>
              </w:rPr>
              <w:t>15%</w:t>
            </w:r>
          </w:p>
        </w:tc>
        <w:tc>
          <w:tcPr>
            <w:tcW w:type="dxa" w:w="1630"/>
          </w:tcPr>
          <w:p>
            <w:pPr>
              <w:spacing w:after="50" w:before="50" w:line="252" w:lineRule="auto"/>
            </w:pPr>
            <w:r>
              <w:rPr>
                <w:sz w:val="17"/>
              </w:rPr>
              <w:t>Practical</w:t>
            </w:r>
          </w:p>
        </w:tc>
        <w:tc>
          <w:tcPr>
            <w:tcW w:type="dxa" w:w="1263"/>
          </w:tcPr>
          <w:p>
            <w:pPr>
              <w:spacing w:after="50" w:before="50" w:line="252" w:lineRule="auto"/>
            </w:pPr>
            <w:r>
              <w:rPr>
                <w:sz w:val="17"/>
              </w:rPr>
              <w:t>CO6</w:t>
            </w:r>
          </w:p>
        </w:tc>
      </w:tr>
      <w:tr>
        <w:tc>
          <w:tcPr>
            <w:tcW w:type="dxa" w:w="850"/>
            <w:shd w:val="clear" w:color="auto" w:fill="EAF1F4"/>
          </w:tcPr>
          <w:p>
            <w:pPr>
              <w:spacing w:after="50" w:before="50" w:line="252" w:lineRule="auto"/>
            </w:pPr>
            <w:r>
              <w:rPr>
                <w:sz w:val="17"/>
              </w:rPr>
              <w:t>6</w:t>
            </w:r>
          </w:p>
        </w:tc>
        <w:tc>
          <w:tcPr>
            <w:tcW w:type="dxa" w:w="5478"/>
            <w:shd w:val="clear" w:color="auto" w:fill="EAF1F4"/>
          </w:tcPr>
          <w:p>
            <w:pPr>
              <w:spacing w:after="50" w:before="50" w:line="252" w:lineRule="auto"/>
            </w:pPr>
            <w:r>
              <w:rPr>
                <w:sz w:val="17"/>
              </w:rPr>
              <w:t>Reflective log and viva</w:t>
            </w:r>
          </w:p>
        </w:tc>
        <w:tc>
          <w:tcPr>
            <w:tcW w:type="dxa" w:w="850"/>
            <w:shd w:val="clear" w:color="auto" w:fill="EAF1F4"/>
          </w:tcPr>
          <w:p>
            <w:pPr>
              <w:spacing w:after="50" w:before="50" w:line="252" w:lineRule="auto"/>
            </w:pPr>
            <w:r>
              <w:rPr>
                <w:sz w:val="17"/>
              </w:rPr>
              <w:t>10%</w:t>
            </w:r>
          </w:p>
        </w:tc>
        <w:tc>
          <w:tcPr>
            <w:tcW w:type="dxa" w:w="1630"/>
            <w:shd w:val="clear" w:color="auto" w:fill="EAF1F4"/>
          </w:tcPr>
          <w:p>
            <w:pPr>
              <w:spacing w:after="50" w:before="50" w:line="252" w:lineRule="auto"/>
            </w:pPr>
            <w:r>
              <w:rPr>
                <w:sz w:val="17"/>
              </w:rPr>
              <w:t>Oral and portfolio</w:t>
            </w:r>
          </w:p>
        </w:tc>
        <w:tc>
          <w:tcPr>
            <w:tcW w:type="dxa" w:w="1263"/>
            <w:shd w:val="clear" w:color="auto" w:fill="EAF1F4"/>
          </w:tcPr>
          <w:p>
            <w:pPr>
              <w:spacing w:after="50" w:before="50" w:line="252" w:lineRule="auto"/>
            </w:pPr>
            <w:r>
              <w:rPr>
                <w:sz w:val="17"/>
              </w:rPr>
              <w:t>CO7, CO8</w:t>
            </w:r>
          </w:p>
        </w:tc>
      </w:tr>
    </w:tbl>
    <w:p>
      <w:pPr>
        <w:spacing w:after="80" w:before="0"/>
      </w:pPr>
    </w:p>
    <w:p>
      <w:r>
        <w:rPr>
          <w:b/>
        </w:rPr>
        <w:t>Pass:</w:t>
      </w:r>
      <w:r>
        <w:t xml:space="preserve"> 50% aggregate </w:t>
      </w:r>
      <w:r>
        <w:rPr>
          <w:b/>
        </w:rPr>
        <w:t>and</w:t>
      </w:r>
      <w:r>
        <w:t xml:space="preserve"> not less than 50% in component 4. </w:t>
      </w:r>
      <w:r>
        <w:rPr>
          <w:b/>
        </w:rPr>
        <w:t>Attendance:</w:t>
      </w:r>
      <w:r>
        <w:t xml:space="preserve"> not less than 90% of contact hours, as a condition of assessment.</w:t>
      </w:r>
    </w:p>
    <w:p>
      <w:pPr>
        <w:pStyle w:val="Heading2"/>
      </w:pPr>
      <w:r>
        <w:t>6.2 Who assesses — to be agreed before approval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549"/>
            <w:shd w:val="clear" w:color="auto" w:fill="10375C"/>
          </w:tcPr>
          <w:p>
            <w:pPr>
              <w:spacing w:after="50" w:before="50"/>
            </w:pPr>
            <w:r>
              <w:rPr>
                <w:b/>
                <w:color w:val="FFFFFF"/>
                <w:sz w:val="17"/>
              </w:rPr>
              <w:t>Model</w:t>
            </w:r>
          </w:p>
        </w:tc>
        <w:tc>
          <w:tcPr>
            <w:tcW w:type="dxa" w:w="3460"/>
            <w:shd w:val="clear" w:color="auto" w:fill="10375C"/>
          </w:tcPr>
          <w:p>
            <w:pPr>
              <w:spacing w:after="50" w:before="50"/>
            </w:pPr>
            <w:r>
              <w:rPr>
                <w:b/>
                <w:color w:val="FFFFFF"/>
                <w:sz w:val="17"/>
              </w:rPr>
              <w:t>Description</w:t>
            </w:r>
          </w:p>
        </w:tc>
        <w:tc>
          <w:tcPr>
            <w:tcW w:type="dxa" w:w="3460"/>
            <w:shd w:val="clear" w:color="auto" w:fill="10375C"/>
          </w:tcPr>
          <w:p>
            <w:pPr>
              <w:spacing w:after="50" w:before="50"/>
            </w:pPr>
            <w:r>
              <w:rPr>
                <w:b/>
                <w:color w:val="FFFFFF"/>
                <w:sz w:val="17"/>
              </w:rPr>
              <w:t>Suits</w:t>
            </w:r>
          </w:p>
        </w:tc>
      </w:tr>
      <w:tr>
        <w:tc>
          <w:tcPr>
            <w:tcW w:type="dxa" w:w="2549"/>
          </w:tcPr>
          <w:p>
            <w:pPr>
              <w:spacing w:after="50" w:before="50" w:line="252" w:lineRule="auto"/>
            </w:pPr>
            <w:r>
              <w:rPr>
                <w:b/>
                <w:sz w:val="17"/>
              </w:rPr>
              <w:t>A. Equator assesses</w:t>
            </w:r>
          </w:p>
        </w:tc>
        <w:tc>
          <w:tcPr>
            <w:tcW w:type="dxa" w:w="3460"/>
          </w:tcPr>
          <w:p>
            <w:pPr>
              <w:spacing w:after="50" w:before="50" w:line="252" w:lineRule="auto"/>
            </w:pPr>
            <w:r>
              <w:rPr>
                <w:sz w:val="17"/>
              </w:rPr>
              <w:t>Equator conducts and marks all assessment and supplies marks to the institution</w:t>
            </w:r>
          </w:p>
        </w:tc>
        <w:tc>
          <w:tcPr>
            <w:tcW w:type="dxa" w:w="3460"/>
          </w:tcPr>
          <w:p>
            <w:pPr>
              <w:spacing w:after="50" w:before="50" w:line="252" w:lineRule="auto"/>
            </w:pPr>
            <w:r>
              <w:rPr>
                <w:sz w:val="17"/>
              </w:rPr>
              <w:t>Institutions willing to accept external assessment</w:t>
            </w:r>
          </w:p>
        </w:tc>
      </w:tr>
      <w:tr>
        <w:tc>
          <w:tcPr>
            <w:tcW w:type="dxa" w:w="2549"/>
            <w:shd w:val="clear" w:color="auto" w:fill="EAF1F4"/>
          </w:tcPr>
          <w:p>
            <w:pPr>
              <w:spacing w:after="50" w:before="50" w:line="252" w:lineRule="auto"/>
            </w:pPr>
            <w:r>
              <w:rPr>
                <w:b/>
                <w:sz w:val="17"/>
              </w:rPr>
              <w:t>B. Institution assesses, Equator supplies instruments</w:t>
            </w:r>
          </w:p>
        </w:tc>
        <w:tc>
          <w:tcPr>
            <w:tcW w:type="dxa" w:w="3460"/>
            <w:shd w:val="clear" w:color="auto" w:fill="EAF1F4"/>
          </w:tcPr>
          <w:p>
            <w:pPr>
              <w:spacing w:after="50" w:before="50" w:line="252" w:lineRule="auto"/>
            </w:pPr>
            <w:r>
              <w:rPr>
                <w:sz w:val="17"/>
              </w:rPr>
              <w:t>Institution conducts, marks and records; Equator supplies rubrics, question banks and moderation</w:t>
            </w:r>
          </w:p>
        </w:tc>
        <w:tc>
          <w:tcPr>
            <w:tcW w:type="dxa" w:w="3460"/>
            <w:shd w:val="clear" w:color="auto" w:fill="EAF1F4"/>
          </w:tcPr>
          <w:p>
            <w:pPr>
              <w:spacing w:after="50" w:before="50" w:line="252" w:lineRule="auto"/>
            </w:pPr>
            <w:r>
              <w:rPr>
                <w:sz w:val="17"/>
              </w:rPr>
              <w:t>Institutions whose regulations require internal assessment</w:t>
            </w:r>
          </w:p>
        </w:tc>
      </w:tr>
      <w:tr>
        <w:tc>
          <w:tcPr>
            <w:tcW w:type="dxa" w:w="2549"/>
          </w:tcPr>
          <w:p>
            <w:pPr>
              <w:spacing w:after="50" w:before="50" w:line="252" w:lineRule="auto"/>
            </w:pPr>
            <w:r>
              <w:rPr>
                <w:b/>
                <w:sz w:val="17"/>
              </w:rPr>
              <w:t>C. Joint</w:t>
            </w:r>
          </w:p>
        </w:tc>
        <w:tc>
          <w:tcPr>
            <w:tcW w:type="dxa" w:w="3460"/>
          </w:tcPr>
          <w:p>
            <w:pPr>
              <w:spacing w:after="50" w:before="50" w:line="252" w:lineRule="auto"/>
            </w:pPr>
            <w:r>
              <w:rPr>
                <w:sz w:val="17"/>
              </w:rPr>
              <w:t>Practical components assessed jointly, one Equator and one institutional assessor; written components by the institution</w:t>
            </w:r>
          </w:p>
        </w:tc>
        <w:tc>
          <w:tcPr>
            <w:tcW w:type="dxa" w:w="3460"/>
          </w:tcPr>
          <w:p>
            <w:pPr>
              <w:spacing w:after="50" w:before="50" w:line="252" w:lineRule="auto"/>
            </w:pPr>
            <w:r>
              <w:rPr>
                <w:b/>
                <w:sz w:val="17"/>
              </w:rPr>
              <w:t>Recommended.</w:t>
            </w:r>
            <w:r>
              <w:rPr>
                <w:sz w:val="17"/>
              </w:rPr>
              <w:t xml:space="preserve"> Preserves institutional control while ensuring practitioner standards</w:t>
            </w:r>
          </w:p>
        </w:tc>
      </w:tr>
    </w:tbl>
    <w:p>
      <w:pPr>
        <w:spacing w:after="80" w:before="0"/>
      </w:pPr>
    </w:p>
    <w:p>
      <w:r>
        <w:t>The model chosen must be recorded in Schedule B before the course commences, together with the arrangements for record-keeping and examination integrity.</w:t>
      </w:r>
    </w:p>
    <w:p>
      <w:pPr>
        <w:spacing w:before="80" w:after="160"/>
        <w:pBdr>
          <w:bottom w:val="single" w:sz="6" w:space="1" w:color="C9D6DE"/>
        </w:pBdr>
      </w:pPr>
    </w:p>
    <w:p>
      <w:pPr>
        <w:pStyle w:val="Heading1"/>
        <w:pBdr>
          <w:bottom w:val="single" w:sz="8" w:space="4" w:color="C9D6DE"/>
        </w:pBdr>
      </w:pPr>
      <w:r>
        <w:t>7. Resources required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111"/>
            <w:shd w:val="clear" w:color="auto" w:fill="10375C"/>
          </w:tcPr>
          <w:p>
            <w:pPr>
              <w:spacing w:after="50" w:before="50"/>
            </w:pPr>
            <w:r>
              <w:rPr>
                <w:b/>
                <w:color w:val="FFFFFF"/>
                <w:sz w:val="17"/>
              </w:rPr>
              <w:t>Requirement</w:t>
            </w:r>
          </w:p>
        </w:tc>
        <w:tc>
          <w:tcPr>
            <w:tcW w:type="dxa" w:w="3356"/>
            <w:shd w:val="clear" w:color="auto" w:fill="10375C"/>
          </w:tcPr>
          <w:p>
            <w:pPr>
              <w:spacing w:after="50" w:before="50"/>
            </w:pPr>
            <w:r>
              <w:rPr>
                <w:b/>
                <w:color w:val="FFFFFF"/>
                <w:sz w:val="17"/>
              </w:rPr>
              <w:t>Provided by</w:t>
            </w:r>
          </w:p>
        </w:tc>
      </w:tr>
      <w:tr>
        <w:tc>
          <w:tcPr>
            <w:tcW w:type="dxa" w:w="6111"/>
          </w:tcPr>
          <w:p>
            <w:pPr>
              <w:spacing w:after="50" w:before="50" w:line="252" w:lineRule="auto"/>
            </w:pPr>
            <w:r>
              <w:rPr>
                <w:sz w:val="17"/>
              </w:rPr>
              <w:t>Plenary room with movable furniture, seating 40</w:t>
            </w:r>
          </w:p>
        </w:tc>
        <w:tc>
          <w:tcPr>
            <w:tcW w:type="dxa" w:w="3356"/>
          </w:tcPr>
          <w:p>
            <w:pPr>
              <w:spacing w:after="50" w:before="50" w:line="252" w:lineRule="auto"/>
            </w:pPr>
            <w:r>
              <w:rPr>
                <w:sz w:val="17"/>
              </w:rPr>
              <w:t>Institution</w:t>
            </w:r>
          </w:p>
        </w:tc>
      </w:tr>
      <w:tr>
        <w:tc>
          <w:tcPr>
            <w:tcW w:type="dxa" w:w="6111"/>
            <w:shd w:val="clear" w:color="auto" w:fill="EAF1F4"/>
          </w:tcPr>
          <w:p>
            <w:pPr>
              <w:spacing w:after="50" w:before="50" w:line="252" w:lineRule="auto"/>
            </w:pPr>
            <w:r>
              <w:rPr>
                <w:sz w:val="17"/>
              </w:rPr>
              <w:t>Three breakout rooms</w:t>
            </w:r>
          </w:p>
        </w:tc>
        <w:tc>
          <w:tcPr>
            <w:tcW w:type="dxa" w:w="3356"/>
            <w:shd w:val="clear" w:color="auto" w:fill="EAF1F4"/>
          </w:tcPr>
          <w:p>
            <w:pPr>
              <w:spacing w:after="50" w:before="50" w:line="252" w:lineRule="auto"/>
            </w:pPr>
            <w:r>
              <w:rPr>
                <w:sz w:val="17"/>
              </w:rPr>
              <w:t>Institution</w:t>
            </w:r>
          </w:p>
        </w:tc>
      </w:tr>
      <w:tr>
        <w:tc>
          <w:tcPr>
            <w:tcW w:type="dxa" w:w="6111"/>
          </w:tcPr>
          <w:p>
            <w:pPr>
              <w:spacing w:after="50" w:before="50" w:line="252" w:lineRule="auto"/>
            </w:pPr>
            <w:r>
              <w:rPr>
                <w:sz w:val="17"/>
              </w:rPr>
              <w:t>Projector, board, flip charts</w:t>
            </w:r>
          </w:p>
        </w:tc>
        <w:tc>
          <w:tcPr>
            <w:tcW w:type="dxa" w:w="3356"/>
          </w:tcPr>
          <w:p>
            <w:pPr>
              <w:spacing w:after="50" w:before="50" w:line="252" w:lineRule="auto"/>
            </w:pPr>
            <w:r>
              <w:rPr>
                <w:sz w:val="17"/>
              </w:rPr>
              <w:t>Institution</w:t>
            </w:r>
          </w:p>
        </w:tc>
      </w:tr>
      <w:tr>
        <w:tc>
          <w:tcPr>
            <w:tcW w:type="dxa" w:w="6111"/>
            <w:shd w:val="clear" w:color="auto" w:fill="EAF1F4"/>
          </w:tcPr>
          <w:p>
            <w:pPr>
              <w:spacing w:after="50" w:before="50" w:line="252" w:lineRule="auto"/>
            </w:pPr>
            <w:r>
              <w:rPr>
                <w:sz w:val="17"/>
              </w:rPr>
              <w:t>Curriculum, session plans, simulation materials</w:t>
            </w:r>
          </w:p>
        </w:tc>
        <w:tc>
          <w:tcPr>
            <w:tcW w:type="dxa" w:w="3356"/>
            <w:shd w:val="clear" w:color="auto" w:fill="EAF1F4"/>
          </w:tcPr>
          <w:p>
            <w:pPr>
              <w:spacing w:after="50" w:before="50" w:line="252" w:lineRule="auto"/>
            </w:pPr>
            <w:r>
              <w:rPr>
                <w:sz w:val="17"/>
              </w:rPr>
              <w:t>Equator</w:t>
            </w:r>
          </w:p>
        </w:tc>
      </w:tr>
      <w:tr>
        <w:tc>
          <w:tcPr>
            <w:tcW w:type="dxa" w:w="6111"/>
          </w:tcPr>
          <w:p>
            <w:pPr>
              <w:spacing w:after="50" w:before="50" w:line="252" w:lineRule="auto"/>
            </w:pPr>
            <w:r>
              <w:rPr>
                <w:sz w:val="17"/>
              </w:rPr>
              <w:t>Participant workbook and digital resource pack</w:t>
            </w:r>
          </w:p>
        </w:tc>
        <w:tc>
          <w:tcPr>
            <w:tcW w:type="dxa" w:w="3356"/>
          </w:tcPr>
          <w:p>
            <w:pPr>
              <w:spacing w:after="50" w:before="50" w:line="252" w:lineRule="auto"/>
            </w:pPr>
            <w:r>
              <w:rPr>
                <w:sz w:val="17"/>
              </w:rPr>
              <w:t>Equator</w:t>
            </w:r>
          </w:p>
        </w:tc>
      </w:tr>
      <w:tr>
        <w:tc>
          <w:tcPr>
            <w:tcW w:type="dxa" w:w="6111"/>
            <w:shd w:val="clear" w:color="auto" w:fill="EAF1F4"/>
          </w:tcPr>
          <w:p>
            <w:pPr>
              <w:spacing w:after="50" w:before="50" w:line="252" w:lineRule="auto"/>
            </w:pPr>
            <w:r>
              <w:rPr>
                <w:sz w:val="17"/>
              </w:rPr>
              <w:t>Assessment instruments and rubrics</w:t>
            </w:r>
          </w:p>
        </w:tc>
        <w:tc>
          <w:tcPr>
            <w:tcW w:type="dxa" w:w="3356"/>
            <w:shd w:val="clear" w:color="auto" w:fill="EAF1F4"/>
          </w:tcPr>
          <w:p>
            <w:pPr>
              <w:spacing w:after="50" w:before="50" w:line="252" w:lineRule="auto"/>
            </w:pPr>
            <w:r>
              <w:rPr>
                <w:sz w:val="17"/>
              </w:rPr>
              <w:t>Equator</w:t>
            </w:r>
          </w:p>
        </w:tc>
      </w:tr>
      <w:tr>
        <w:tc>
          <w:tcPr>
            <w:tcW w:type="dxa" w:w="6111"/>
          </w:tcPr>
          <w:p>
            <w:pPr>
              <w:spacing w:after="50" w:before="50" w:line="252" w:lineRule="auto"/>
            </w:pPr>
            <w:r>
              <w:rPr>
                <w:sz w:val="17"/>
              </w:rPr>
              <w:t>Lead trainer and associate</w:t>
            </w:r>
          </w:p>
        </w:tc>
        <w:tc>
          <w:tcPr>
            <w:tcW w:type="dxa" w:w="3356"/>
          </w:tcPr>
          <w:p>
            <w:pPr>
              <w:spacing w:after="50" w:before="50" w:line="252" w:lineRule="auto"/>
            </w:pPr>
            <w:r>
              <w:rPr>
                <w:sz w:val="17"/>
              </w:rPr>
              <w:t>Equator</w:t>
            </w:r>
          </w:p>
        </w:tc>
      </w:tr>
      <w:tr>
        <w:tc>
          <w:tcPr>
            <w:tcW w:type="dxa" w:w="6111"/>
            <w:shd w:val="clear" w:color="auto" w:fill="EAF1F4"/>
          </w:tcPr>
          <w:p>
            <w:pPr>
              <w:spacing w:after="50" w:before="50" w:line="252" w:lineRule="auto"/>
            </w:pPr>
            <w:r>
              <w:rPr>
                <w:sz w:val="17"/>
              </w:rPr>
              <w:t>Assessors</w:t>
            </w:r>
          </w:p>
        </w:tc>
        <w:tc>
          <w:tcPr>
            <w:tcW w:type="dxa" w:w="3356"/>
            <w:shd w:val="clear" w:color="auto" w:fill="EAF1F4"/>
          </w:tcPr>
          <w:p>
            <w:pPr>
              <w:spacing w:after="50" w:before="50" w:line="252" w:lineRule="auto"/>
            </w:pPr>
            <w:r>
              <w:rPr>
                <w:sz w:val="17"/>
              </w:rPr>
              <w:t>Per the model chosen</w:t>
            </w:r>
          </w:p>
        </w:tc>
      </w:tr>
      <w:tr>
        <w:tc>
          <w:tcPr>
            <w:tcW w:type="dxa" w:w="6111"/>
          </w:tcPr>
          <w:p>
            <w:pPr>
              <w:spacing w:after="50" w:before="50" w:line="252" w:lineRule="auto"/>
            </w:pPr>
            <w:r>
              <w:rPr>
                <w:sz w:val="17"/>
              </w:rPr>
              <w:t>Attendance and records system</w:t>
            </w:r>
          </w:p>
        </w:tc>
        <w:tc>
          <w:tcPr>
            <w:tcW w:type="dxa" w:w="3356"/>
          </w:tcPr>
          <w:p>
            <w:pPr>
              <w:spacing w:after="50" w:before="50" w:line="252" w:lineRule="auto"/>
            </w:pPr>
            <w:r>
              <w:rPr>
                <w:sz w:val="17"/>
              </w:rPr>
              <w:t>Equator, shared with the institution</w:t>
            </w:r>
          </w:p>
        </w:tc>
      </w:tr>
    </w:tbl>
    <w:p>
      <w:pPr>
        <w:spacing w:after="80" w:before="0"/>
      </w:pPr>
    </w:p>
    <w:p>
      <w:pPr>
        <w:spacing w:before="80" w:after="160"/>
        <w:pBdr>
          <w:bottom w:val="single" w:sz="6" w:space="1" w:color="C9D6DE"/>
        </w:pBdr>
      </w:pPr>
    </w:p>
    <w:p>
      <w:pPr>
        <w:pStyle w:val="Heading1"/>
        <w:pBdr>
          <w:bottom w:val="single" w:sz="8" w:space="4" w:color="C9D6DE"/>
        </w:pBdr>
      </w:pPr>
      <w:r>
        <w:t>8. Reading 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10"/>
            <w:shd w:val="clear" w:color="auto" w:fill="10375C"/>
          </w:tcPr>
          <w:p>
            <w:pPr>
              <w:spacing w:after="50" w:before="50"/>
            </w:pPr>
            <w:r>
              <w:rPr>
                <w:b/>
                <w:color w:val="FFFFFF"/>
                <w:sz w:val="17"/>
              </w:rPr>
              <w:t>Category</w:t>
            </w:r>
          </w:p>
        </w:tc>
        <w:tc>
          <w:tcPr>
            <w:tcW w:type="dxa" w:w="7157"/>
            <w:shd w:val="clear" w:color="auto" w:fill="10375C"/>
          </w:tcPr>
          <w:p>
            <w:pPr>
              <w:spacing w:after="50" w:before="50"/>
            </w:pPr>
            <w:r>
              <w:rPr>
                <w:b/>
                <w:color w:val="FFFFFF"/>
                <w:sz w:val="17"/>
              </w:rPr>
              <w:t>Items</w:t>
            </w:r>
          </w:p>
        </w:tc>
      </w:tr>
      <w:tr>
        <w:tc>
          <w:tcPr>
            <w:tcW w:type="dxa" w:w="2310"/>
          </w:tcPr>
          <w:p>
            <w:pPr>
              <w:spacing w:after="50" w:before="50" w:line="252" w:lineRule="auto"/>
            </w:pPr>
            <w:r>
              <w:rPr>
                <w:sz w:val="17"/>
              </w:rPr>
              <w:t>Statute</w:t>
            </w:r>
          </w:p>
        </w:tc>
        <w:tc>
          <w:tcPr>
            <w:tcW w:type="dxa" w:w="7157"/>
          </w:tcPr>
          <w:p>
            <w:pPr>
              <w:spacing w:after="50" w:before="50" w:line="252" w:lineRule="auto"/>
            </w:pPr>
            <w:r>
              <w:rPr>
                <w:sz w:val="17"/>
              </w:rPr>
              <w:t>The Mediation Act, 2023; Commercial Courts Act, 2015, section 12A; Arbitration and Conciliation Act, 1996; Legal Services Authorities Act, 1987</w:t>
            </w:r>
          </w:p>
        </w:tc>
      </w:tr>
      <w:tr>
        <w:tc>
          <w:tcPr>
            <w:tcW w:type="dxa" w:w="2310"/>
            <w:shd w:val="clear" w:color="auto" w:fill="EAF1F4"/>
          </w:tcPr>
          <w:p>
            <w:pPr>
              <w:spacing w:after="50" w:before="50" w:line="252" w:lineRule="auto"/>
            </w:pPr>
            <w:r>
              <w:rPr>
                <w:sz w:val="17"/>
              </w:rPr>
              <w:t>Case law</w:t>
            </w:r>
          </w:p>
        </w:tc>
        <w:tc>
          <w:tcPr>
            <w:tcW w:type="dxa" w:w="7157"/>
            <w:shd w:val="clear" w:color="auto" w:fill="EAF1F4"/>
          </w:tcPr>
          <w:p>
            <w:pPr>
              <w:spacing w:after="50" w:before="50" w:line="252" w:lineRule="auto"/>
            </w:pPr>
            <w:r>
              <w:rPr>
                <w:i/>
                <w:sz w:val="17"/>
              </w:rPr>
              <w:t>Patil Automation Pvt. Ltd. v. Rakheja Engineers Pvt. Ltd.</w:t>
            </w:r>
            <w:r>
              <w:rPr>
                <w:sz w:val="17"/>
              </w:rPr>
              <w:t xml:space="preserve"> and subsequent authority on section 12A </w:t>
            </w:r>
            <w:r>
              <w:rPr>
                <w:b/>
                <w:sz w:val="17"/>
              </w:rPr>
              <w:t>[verify — update the list before each delivery]</w:t>
            </w:r>
          </w:p>
        </w:tc>
      </w:tr>
      <w:tr>
        <w:tc>
          <w:tcPr>
            <w:tcW w:type="dxa" w:w="2310"/>
          </w:tcPr>
          <w:p>
            <w:pPr>
              <w:spacing w:after="50" w:before="50" w:line="252" w:lineRule="auto"/>
            </w:pPr>
            <w:r>
              <w:rPr>
                <w:sz w:val="17"/>
              </w:rPr>
              <w:t>Core texts</w:t>
            </w:r>
          </w:p>
        </w:tc>
        <w:tc>
          <w:tcPr>
            <w:tcW w:type="dxa" w:w="7157"/>
          </w:tcPr>
          <w:p>
            <w:pPr>
              <w:spacing w:after="50" w:before="50" w:line="252" w:lineRule="auto"/>
            </w:pPr>
            <w:r>
              <w:rPr>
                <w:sz w:val="17"/>
              </w:rPr>
              <w:t>[●]</w:t>
            </w:r>
          </w:p>
        </w:tc>
      </w:tr>
      <w:tr>
        <w:tc>
          <w:tcPr>
            <w:tcW w:type="dxa" w:w="2310"/>
            <w:shd w:val="clear" w:color="auto" w:fill="EAF1F4"/>
          </w:tcPr>
          <w:p>
            <w:pPr>
              <w:spacing w:after="50" w:before="50" w:line="252" w:lineRule="auto"/>
            </w:pPr>
            <w:r>
              <w:rPr>
                <w:sz w:val="17"/>
              </w:rPr>
              <w:t>Practitioner materials</w:t>
            </w:r>
          </w:p>
        </w:tc>
        <w:tc>
          <w:tcPr>
            <w:tcW w:type="dxa" w:w="7157"/>
            <w:shd w:val="clear" w:color="auto" w:fill="EAF1F4"/>
          </w:tcPr>
          <w:p>
            <w:pPr>
              <w:spacing w:after="50" w:before="50" w:line="252" w:lineRule="auto"/>
            </w:pPr>
            <w:r>
              <w:rPr>
                <w:sz w:val="17"/>
              </w:rPr>
              <w:t>Equator participant workbook; simulation packs; drafting precedents</w:t>
            </w:r>
          </w:p>
        </w:tc>
      </w:tr>
      <w:tr>
        <w:tc>
          <w:tcPr>
            <w:tcW w:type="dxa" w:w="2310"/>
          </w:tcPr>
          <w:p>
            <w:pPr>
              <w:spacing w:after="50" w:before="50" w:line="252" w:lineRule="auto"/>
            </w:pPr>
            <w:r>
              <w:rPr>
                <w:sz w:val="17"/>
              </w:rPr>
              <w:t>Further reading</w:t>
            </w:r>
          </w:p>
        </w:tc>
        <w:tc>
          <w:tcPr>
            <w:tcW w:type="dxa" w:w="7157"/>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9. Note for the Academic Council</w:t>
      </w:r>
    </w:p>
    <w:p>
      <w:r>
        <w:t>Three matters are ordinarily raised at approval, and it assists to address them in advance.</w:t>
      </w:r>
    </w:p>
    <w:p>
      <w:r>
        <w:rPr>
          <w:b/>
        </w:rPr>
        <w:t>Certification.</w:t>
      </w:r>
      <w:r>
        <w:t xml:space="preserve"> The certificate evidences completion of training and assessment. It is not a degree or diploma and is not a statutory qualification. Where the institution wishes to issue jointly, the form of certificate must be approved by both parties and must comply with the institution's own regulations. </w:t>
      </w:r>
      <w:r>
        <w:rPr>
          <w:b/>
        </w:rPr>
        <w:t>[verify — U2.]</w:t>
      </w:r>
    </w:p>
    <w:p>
      <w:r>
        <w:rPr>
          <w:b/>
        </w:rPr>
        <w:t>External delivery.</w:t>
      </w:r>
      <w:r>
        <w:t xml:space="preserve"> Delivery by an external organisation under a Memorandum of Understanding is contemplated by University Grants Commission guidance on internship and apprenticeship embedded degree programmes, which requires institutions to enter into such arrangements with discipline-specific organisations.</w:t>
      </w:r>
    </w:p>
    <w:p>
      <w:r>
        <w:rPr>
          <w:b/>
        </w:rPr>
        <w:t>Quality assurance.</w:t>
      </w:r>
      <w:r>
        <w:t xml:space="preserve"> Equator maintains an internal trainer standard with annual observation, moderates all assessment, double-marks borderline scripts, calibrates assessors before each assessed cohort, and operates a published appeals procedure. Records are available to the institution on request.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Credit-Bearing Certificate Course — Academic Design</w:t>
    </w:r>
    <w:r>
      <w:rPr>
        <w:rFonts w:ascii="Calibri" w:hAnsi="Calibri"/>
        <w:color w:val="595959"/>
        <w:sz w:val="16"/>
      </w:rPr>
      <w:tab/>
      <w:t>Confidential — Internal; supplied to partner institutions 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550CFC-FB02-4320-8F50-AB236ED36649}"/>
</file>

<file path=customXml/itemProps3.xml><?xml version="1.0" encoding="utf-8"?>
<ds:datastoreItem xmlns:ds="http://schemas.openxmlformats.org/officeDocument/2006/customXml" ds:itemID="{19BA9374-9B11-43FF-9154-B73A254DDF22}"/>
</file>

<file path=customXml/itemProps4.xml><?xml version="1.0" encoding="utf-8"?>
<ds:datastoreItem xmlns:ds="http://schemas.openxmlformats.org/officeDocument/2006/customXml" ds:itemID="{514958FC-F310-4BF1-AD67-246B1846DCE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