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Assessment, Evaluation &amp; Certification Policy</w:t>
      </w:r>
    </w:p>
    <w:p>
      <w:pPr>
        <w:spacing w:after="280" w:line="276" w:lineRule="auto"/>
      </w:pPr>
      <w:r>
        <w:rPr>
          <w:rFonts w:ascii="Calibri" w:hAnsi="Calibri"/>
          <w:i/>
          <w:color w:val="3E6B8A"/>
          <w:sz w:val="25"/>
        </w:rPr>
        <w:t>Standards, rubrics, moderation, calibration, appeals, malpractice and the certification register</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EQ-UAP-057</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Principles</w:t>
      </w:r>
    </w:p>
    <w:p>
      <w:pPr>
        <w:pStyle w:val="ListNumber"/>
      </w:pPr>
      <w:r>
        <w:rPr>
          <w:b/>
          <w:sz w:val="21"/>
        </w:rPr>
        <w:t>Assess what matters.</w:t>
      </w:r>
      <w:r>
        <w:rPr>
          <w:sz w:val="21"/>
        </w:rPr>
        <w:t xml:space="preserve"> Mediation competence is demonstrated in a room, not on a paper. Practical components therefore carry the greater weight, and a candidate cannot pass on written work alone.</w:t>
      </w:r>
    </w:p>
    <w:p>
      <w:pPr>
        <w:pStyle w:val="ListNumber"/>
      </w:pPr>
      <w:r>
        <w:rPr>
          <w:b/>
          <w:sz w:val="21"/>
        </w:rPr>
        <w:t>A credential nobody fails is worth nothing.</w:t>
      </w:r>
      <w:r>
        <w:rPr>
          <w:sz w:val="21"/>
        </w:rPr>
        <w:t xml:space="preserve"> Pass rates are not managed toward a target. Trainers and assessors are instructed accordingly.</w:t>
      </w:r>
    </w:p>
    <w:p>
      <w:pPr>
        <w:pStyle w:val="ListNumber"/>
      </w:pPr>
      <w:r>
        <w:rPr>
          <w:b/>
          <w:sz w:val="21"/>
        </w:rPr>
        <w:t>Transparency.</w:t>
      </w:r>
      <w:r>
        <w:rPr>
          <w:sz w:val="21"/>
        </w:rPr>
        <w:t xml:space="preserve"> Rubrics, weightings and appeal routes are published to candidates before assessment begins.</w:t>
      </w:r>
    </w:p>
    <w:p>
      <w:pPr>
        <w:pStyle w:val="ListNumber"/>
      </w:pPr>
      <w:r>
        <w:rPr>
          <w:b/>
          <w:sz w:val="21"/>
        </w:rPr>
        <w:t>Consistency.</w:t>
      </w:r>
      <w:r>
        <w:rPr>
          <w:sz w:val="21"/>
        </w:rPr>
        <w:t xml:space="preserve"> Assessors are calibrated before every assessed cohort, and variance is monitored.</w:t>
      </w:r>
    </w:p>
    <w:p>
      <w:pPr>
        <w:pStyle w:val="ListNumber"/>
      </w:pPr>
      <w:r>
        <w:rPr>
          <w:b/>
          <w:sz w:val="21"/>
        </w:rPr>
        <w:t>Separation.</w:t>
      </w:r>
      <w:r>
        <w:rPr>
          <w:sz w:val="21"/>
        </w:rPr>
        <w:t xml:space="preserve"> So far as numbers permit, a candidate is not assessed by the trainer who taught them.</w:t>
      </w:r>
    </w:p>
    <w:p>
      <w:pPr>
        <w:pStyle w:val="ListNumber"/>
      </w:pPr>
      <w:r>
        <w:rPr>
          <w:b/>
          <w:sz w:val="21"/>
        </w:rPr>
        <w:t>Records.</w:t>
      </w:r>
      <w:r>
        <w:rPr>
          <w:sz w:val="21"/>
        </w:rPr>
        <w:t xml:space="preserve"> Every mark, moderation and appeal is recorded and retained.</w:t>
      </w:r>
    </w:p>
    <w:p>
      <w:pPr>
        <w:spacing w:before="80" w:after="160"/>
        <w:pBdr>
          <w:bottom w:val="single" w:sz="6" w:space="1" w:color="C9D6DE"/>
        </w:pBdr>
      </w:pPr>
    </w:p>
    <w:p>
      <w:pPr>
        <w:pStyle w:val="Heading1"/>
        <w:pBdr>
          <w:bottom w:val="single" w:sz="8" w:space="4" w:color="C9D6DE"/>
        </w:pBdr>
      </w:pPr>
      <w:r>
        <w:t>2. Assessment framework by programme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613"/>
            <w:shd w:val="clear" w:color="auto" w:fill="10375C"/>
          </w:tcPr>
          <w:p>
            <w:pPr>
              <w:spacing w:after="50" w:before="50"/>
            </w:pPr>
            <w:r>
              <w:rPr>
                <w:b/>
                <w:color w:val="FFFFFF"/>
                <w:sz w:val="17"/>
              </w:rPr>
              <w:t>Programme</w:t>
            </w:r>
          </w:p>
        </w:tc>
        <w:tc>
          <w:tcPr>
            <w:tcW w:type="dxa" w:w="3245"/>
            <w:shd w:val="clear" w:color="auto" w:fill="10375C"/>
          </w:tcPr>
          <w:p>
            <w:pPr>
              <w:spacing w:after="50" w:before="50"/>
            </w:pPr>
            <w:r>
              <w:rPr>
                <w:b/>
                <w:color w:val="FFFFFF"/>
                <w:sz w:val="17"/>
              </w:rPr>
              <w:t>Components</w:t>
            </w:r>
          </w:p>
        </w:tc>
        <w:tc>
          <w:tcPr>
            <w:tcW w:type="dxa" w:w="1166"/>
            <w:shd w:val="clear" w:color="auto" w:fill="10375C"/>
          </w:tcPr>
          <w:p>
            <w:pPr>
              <w:spacing w:after="50" w:before="50"/>
            </w:pPr>
            <w:r>
              <w:rPr>
                <w:b/>
                <w:color w:val="FFFFFF"/>
                <w:sz w:val="17"/>
              </w:rPr>
              <w:t>Weights</w:t>
            </w:r>
          </w:p>
        </w:tc>
        <w:tc>
          <w:tcPr>
            <w:tcW w:type="dxa" w:w="3443"/>
            <w:shd w:val="clear" w:color="auto" w:fill="10375C"/>
          </w:tcPr>
          <w:p>
            <w:pPr>
              <w:spacing w:after="50" w:before="50"/>
            </w:pPr>
            <w:r>
              <w:rPr>
                <w:b/>
                <w:color w:val="FFFFFF"/>
                <w:sz w:val="17"/>
              </w:rPr>
              <w:t>Pass</w:t>
            </w:r>
          </w:p>
        </w:tc>
      </w:tr>
      <w:tr>
        <w:tc>
          <w:tcPr>
            <w:tcW w:type="dxa" w:w="1613"/>
          </w:tcPr>
          <w:p>
            <w:pPr>
              <w:spacing w:after="50" w:before="50" w:line="252" w:lineRule="auto"/>
            </w:pPr>
            <w:r>
              <w:rPr>
                <w:sz w:val="17"/>
              </w:rPr>
              <w:t>T-40 Basic</w:t>
            </w:r>
          </w:p>
        </w:tc>
        <w:tc>
          <w:tcPr>
            <w:tcW w:type="dxa" w:w="3245"/>
          </w:tcPr>
          <w:p>
            <w:pPr>
              <w:spacing w:after="50" w:before="50" w:line="252" w:lineRule="auto"/>
            </w:pPr>
            <w:r>
              <w:rPr>
                <w:sz w:val="17"/>
              </w:rPr>
              <w:t>Written; assessed simulation; viva</w:t>
            </w:r>
          </w:p>
        </w:tc>
        <w:tc>
          <w:tcPr>
            <w:tcW w:type="dxa" w:w="1166"/>
          </w:tcPr>
          <w:p>
            <w:pPr>
              <w:spacing w:after="50" w:before="50" w:line="252" w:lineRule="auto"/>
            </w:pPr>
            <w:r>
              <w:rPr>
                <w:sz w:val="17"/>
              </w:rPr>
              <w:t>30 / 50 / 20</w:t>
            </w:r>
          </w:p>
        </w:tc>
        <w:tc>
          <w:tcPr>
            <w:tcW w:type="dxa" w:w="3443"/>
          </w:tcPr>
          <w:p>
            <w:pPr>
              <w:spacing w:after="50" w:before="50" w:line="252" w:lineRule="auto"/>
            </w:pPr>
            <w:r>
              <w:rPr>
                <w:sz w:val="17"/>
              </w:rPr>
              <w:t>50% aggregate and ≥50% in simulation</w:t>
            </w:r>
          </w:p>
        </w:tc>
      </w:tr>
      <w:tr>
        <w:tc>
          <w:tcPr>
            <w:tcW w:type="dxa" w:w="1613"/>
            <w:shd w:val="clear" w:color="auto" w:fill="EAF1F4"/>
          </w:tcPr>
          <w:p>
            <w:pPr>
              <w:spacing w:after="50" w:before="50" w:line="252" w:lineRule="auto"/>
            </w:pPr>
            <w:r>
              <w:rPr>
                <w:sz w:val="17"/>
              </w:rPr>
              <w:t>T-20 Advanced</w:t>
            </w:r>
          </w:p>
        </w:tc>
        <w:tc>
          <w:tcPr>
            <w:tcW w:type="dxa" w:w="3245"/>
            <w:shd w:val="clear" w:color="auto" w:fill="EAF1F4"/>
          </w:tcPr>
          <w:p>
            <w:pPr>
              <w:spacing w:after="50" w:before="50" w:line="252" w:lineRule="auto"/>
            </w:pPr>
            <w:r>
              <w:rPr>
                <w:sz w:val="17"/>
              </w:rPr>
              <w:t>Portfolio; assessed simulation; viva</w:t>
            </w:r>
          </w:p>
        </w:tc>
        <w:tc>
          <w:tcPr>
            <w:tcW w:type="dxa" w:w="1166"/>
            <w:shd w:val="clear" w:color="auto" w:fill="EAF1F4"/>
          </w:tcPr>
          <w:p>
            <w:pPr>
              <w:spacing w:after="50" w:before="50" w:line="252" w:lineRule="auto"/>
            </w:pPr>
            <w:r>
              <w:rPr>
                <w:sz w:val="17"/>
              </w:rPr>
              <w:t>25 / 60 / 15</w:t>
            </w:r>
          </w:p>
        </w:tc>
        <w:tc>
          <w:tcPr>
            <w:tcW w:type="dxa" w:w="3443"/>
            <w:shd w:val="clear" w:color="auto" w:fill="EAF1F4"/>
          </w:tcPr>
          <w:p>
            <w:pPr>
              <w:spacing w:after="50" w:before="50" w:line="252" w:lineRule="auto"/>
            </w:pPr>
            <w:r>
              <w:rPr>
                <w:sz w:val="17"/>
              </w:rPr>
              <w:t>55% aggregate and ≥55% in simulation</w:t>
            </w:r>
          </w:p>
        </w:tc>
      </w:tr>
      <w:tr>
        <w:tc>
          <w:tcPr>
            <w:tcW w:type="dxa" w:w="1613"/>
          </w:tcPr>
          <w:p>
            <w:pPr>
              <w:spacing w:after="50" w:before="50" w:line="252" w:lineRule="auto"/>
            </w:pPr>
            <w:r>
              <w:rPr>
                <w:sz w:val="17"/>
              </w:rPr>
              <w:t>C-CERT credit-bearing</w:t>
            </w:r>
          </w:p>
        </w:tc>
        <w:tc>
          <w:tcPr>
            <w:tcW w:type="dxa" w:w="3245"/>
          </w:tcPr>
          <w:p>
            <w:pPr>
              <w:spacing w:after="50" w:before="50" w:line="252" w:lineRule="auto"/>
            </w:pPr>
            <w:r>
              <w:rPr>
                <w:sz w:val="17"/>
              </w:rPr>
              <w:t>Six components per 05.6</w:t>
            </w:r>
          </w:p>
        </w:tc>
        <w:tc>
          <w:tcPr>
            <w:tcW w:type="dxa" w:w="1166"/>
          </w:tcPr>
          <w:p>
            <w:pPr>
              <w:spacing w:after="50" w:before="50" w:line="252" w:lineRule="auto"/>
            </w:pPr>
            <w:r>
              <w:rPr>
                <w:sz w:val="17"/>
              </w:rPr>
              <w:t>Per 05.6</w:t>
            </w:r>
          </w:p>
        </w:tc>
        <w:tc>
          <w:tcPr>
            <w:tcW w:type="dxa" w:w="3443"/>
          </w:tcPr>
          <w:p>
            <w:pPr>
              <w:spacing w:after="50" w:before="50" w:line="252" w:lineRule="auto"/>
            </w:pPr>
            <w:r>
              <w:rPr>
                <w:sz w:val="17"/>
              </w:rPr>
              <w:t>50% aggregate and ≥50% in the assessed simulation</w:t>
            </w:r>
          </w:p>
        </w:tc>
      </w:tr>
      <w:tr>
        <w:tc>
          <w:tcPr>
            <w:tcW w:type="dxa" w:w="1613"/>
            <w:shd w:val="clear" w:color="auto" w:fill="EAF1F4"/>
          </w:tcPr>
          <w:p>
            <w:pPr>
              <w:spacing w:after="50" w:before="50" w:line="252" w:lineRule="auto"/>
            </w:pPr>
            <w:r>
              <w:rPr>
                <w:sz w:val="17"/>
              </w:rPr>
              <w:t>T-TTT Train the Trainer</w:t>
            </w:r>
          </w:p>
        </w:tc>
        <w:tc>
          <w:tcPr>
            <w:tcW w:type="dxa" w:w="3245"/>
            <w:shd w:val="clear" w:color="auto" w:fill="EAF1F4"/>
          </w:tcPr>
          <w:p>
            <w:pPr>
              <w:spacing w:after="50" w:before="50" w:line="252" w:lineRule="auto"/>
            </w:pPr>
            <w:r>
              <w:rPr>
                <w:sz w:val="17"/>
              </w:rPr>
              <w:t>Observed teaching; session design; debrief practical</w:t>
            </w:r>
          </w:p>
        </w:tc>
        <w:tc>
          <w:tcPr>
            <w:tcW w:type="dxa" w:w="1166"/>
            <w:shd w:val="clear" w:color="auto" w:fill="EAF1F4"/>
          </w:tcPr>
          <w:p>
            <w:pPr>
              <w:spacing w:after="50" w:before="50" w:line="252" w:lineRule="auto"/>
            </w:pPr>
            <w:r>
              <w:rPr>
                <w:sz w:val="17"/>
              </w:rPr>
              <w:t>40 / 30 / 30</w:t>
            </w:r>
          </w:p>
        </w:tc>
        <w:tc>
          <w:tcPr>
            <w:tcW w:type="dxa" w:w="3443"/>
            <w:shd w:val="clear" w:color="auto" w:fill="EAF1F4"/>
          </w:tcPr>
          <w:p>
            <w:pPr>
              <w:spacing w:after="50" w:before="50" w:line="252" w:lineRule="auto"/>
            </w:pPr>
            <w:r>
              <w:rPr>
                <w:sz w:val="17"/>
              </w:rPr>
              <w:t>60% aggregate</w:t>
            </w:r>
          </w:p>
        </w:tc>
      </w:tr>
      <w:tr>
        <w:tc>
          <w:tcPr>
            <w:tcW w:type="dxa" w:w="1613"/>
          </w:tcPr>
          <w:p>
            <w:pPr>
              <w:spacing w:after="50" w:before="50" w:line="252" w:lineRule="auto"/>
            </w:pPr>
            <w:r>
              <w:rPr>
                <w:sz w:val="17"/>
              </w:rPr>
              <w:t>T-ASSESS Assessor certification</w:t>
            </w:r>
          </w:p>
        </w:tc>
        <w:tc>
          <w:tcPr>
            <w:tcW w:type="dxa" w:w="3245"/>
          </w:tcPr>
          <w:p>
            <w:pPr>
              <w:spacing w:after="50" w:before="50" w:line="252" w:lineRule="auto"/>
            </w:pPr>
            <w:r>
              <w:rPr>
                <w:sz w:val="17"/>
              </w:rPr>
              <w:t>Calibration exercise; scored observation against a benchmark</w:t>
            </w:r>
          </w:p>
        </w:tc>
        <w:tc>
          <w:tcPr>
            <w:tcW w:type="dxa" w:w="1166"/>
          </w:tcPr>
          <w:p>
            <w:pPr>
              <w:spacing w:after="50" w:before="50" w:line="252" w:lineRule="auto"/>
            </w:pPr>
            <w:r>
              <w:rPr>
                <w:sz w:val="17"/>
              </w:rPr>
              <w:t>50 / 50</w:t>
            </w:r>
          </w:p>
        </w:tc>
        <w:tc>
          <w:tcPr>
            <w:tcW w:type="dxa" w:w="3443"/>
          </w:tcPr>
          <w:p>
            <w:pPr>
              <w:spacing w:after="50" w:before="50" w:line="252" w:lineRule="auto"/>
            </w:pPr>
            <w:r>
              <w:rPr>
                <w:sz w:val="17"/>
              </w:rPr>
              <w:t>70% aggregate, and variance from the benchmark within tolerance</w:t>
            </w:r>
          </w:p>
        </w:tc>
      </w:tr>
      <w:tr>
        <w:tc>
          <w:tcPr>
            <w:tcW w:type="dxa" w:w="1613"/>
            <w:shd w:val="clear" w:color="auto" w:fill="EAF1F4"/>
          </w:tcPr>
          <w:p>
            <w:pPr>
              <w:spacing w:after="50" w:before="50" w:line="252" w:lineRule="auto"/>
            </w:pPr>
            <w:r>
              <w:rPr>
                <w:sz w:val="17"/>
              </w:rPr>
              <w:t>T-FDP</w:t>
            </w:r>
          </w:p>
        </w:tc>
        <w:tc>
          <w:tcPr>
            <w:tcW w:type="dxa" w:w="3245"/>
            <w:shd w:val="clear" w:color="auto" w:fill="EAF1F4"/>
          </w:tcPr>
          <w:p>
            <w:pPr>
              <w:spacing w:after="50" w:before="50" w:line="252" w:lineRule="auto"/>
            </w:pPr>
            <w:r>
              <w:rPr>
                <w:sz w:val="17"/>
              </w:rPr>
              <w:t>Attendance and outputs</w:t>
            </w:r>
          </w:p>
        </w:tc>
        <w:tc>
          <w:tcPr>
            <w:tcW w:type="dxa" w:w="1166"/>
            <w:shd w:val="clear" w:color="auto" w:fill="EAF1F4"/>
          </w:tcPr>
          <w:p>
            <w:pPr>
              <w:spacing w:after="50" w:before="50" w:line="252" w:lineRule="auto"/>
            </w:pPr>
            <w:r>
              <w:rPr>
                <w:sz w:val="17"/>
              </w:rPr>
              <w:t>Complete or not complete</w:t>
            </w:r>
          </w:p>
        </w:tc>
        <w:tc>
          <w:tcPr>
            <w:tcW w:type="dxa" w:w="3443"/>
            <w:shd w:val="clear" w:color="auto" w:fill="EAF1F4"/>
          </w:tcPr>
          <w:p>
            <w:pPr>
              <w:spacing w:after="50" w:before="50" w:line="252" w:lineRule="auto"/>
            </w:pPr>
            <w:r>
              <w:rPr>
                <w:sz w:val="17"/>
              </w:rPr>
              <w:t>All outputs submitted</w:t>
            </w:r>
          </w:p>
        </w:tc>
      </w:tr>
      <w:tr>
        <w:tc>
          <w:tcPr>
            <w:tcW w:type="dxa" w:w="1613"/>
          </w:tcPr>
          <w:p>
            <w:pPr>
              <w:spacing w:after="50" w:before="50" w:line="252" w:lineRule="auto"/>
            </w:pPr>
            <w:r>
              <w:rPr>
                <w:sz w:val="17"/>
              </w:rPr>
              <w:t>Workshops</w:t>
            </w:r>
          </w:p>
        </w:tc>
        <w:tc>
          <w:tcPr>
            <w:tcW w:type="dxa" w:w="3245"/>
          </w:tcPr>
          <w:p>
            <w:pPr>
              <w:spacing w:after="50" w:before="50" w:line="252" w:lineRule="auto"/>
            </w:pPr>
            <w:r>
              <w:rPr>
                <w:sz w:val="17"/>
              </w:rPr>
              <w:t>Participation</w:t>
            </w:r>
          </w:p>
        </w:tc>
        <w:tc>
          <w:tcPr>
            <w:tcW w:type="dxa" w:w="1166"/>
          </w:tcPr>
          <w:p>
            <w:pPr>
              <w:spacing w:after="50" w:before="50" w:line="252" w:lineRule="auto"/>
            </w:pPr>
            <w:r>
              <w:rPr>
                <w:sz w:val="17"/>
              </w:rPr>
              <w:t>—</w:t>
            </w:r>
          </w:p>
        </w:tc>
        <w:tc>
          <w:tcPr>
            <w:tcW w:type="dxa" w:w="3443"/>
          </w:tcPr>
          <w:p>
            <w:pPr>
              <w:spacing w:after="50" w:before="50" w:line="252" w:lineRule="auto"/>
            </w:pPr>
            <w:r>
              <w:rPr>
                <w:sz w:val="17"/>
              </w:rPr>
              <w:t>Attendance; certificate of participation only</w:t>
            </w:r>
          </w:p>
        </w:tc>
      </w:tr>
    </w:tbl>
    <w:p>
      <w:pPr>
        <w:spacing w:after="80" w:before="0"/>
      </w:pPr>
    </w:p>
    <w:p>
      <w:r>
        <w:rPr>
          <w:b/>
        </w:rPr>
        <w:t>Attendance gates.</w:t>
      </w:r>
      <w:r>
        <w:t xml:space="preserve"> T-40 requires 90%. T-20 requires 100%. C-CERT requires 90%. These are gates, not marks, and </w:t>
      </w:r>
      <w:r>
        <w:rPr>
          <w:b/>
        </w:rPr>
        <w:t>there is no discretion to waive them.</w:t>
      </w:r>
      <w:r>
        <w:t xml:space="preserve"> A candidate below the gate is not assessed and may transfer to a later cohort.</w:t>
      </w:r>
    </w:p>
    <w:p>
      <w:pPr>
        <w:spacing w:before="80" w:after="160"/>
        <w:pBdr>
          <w:bottom w:val="single" w:sz="6" w:space="1" w:color="C9D6DE"/>
        </w:pBdr>
      </w:pPr>
    </w:p>
    <w:p>
      <w:pPr>
        <w:pStyle w:val="Heading1"/>
        <w:pBdr>
          <w:bottom w:val="single" w:sz="8" w:space="4" w:color="C9D6DE"/>
        </w:pBdr>
      </w:pPr>
      <w:r>
        <w:t>3. The assessed simulation rubric</w:t>
      </w:r>
    </w:p>
    <w:p>
      <w:r>
        <w:t>Applied to a 90-minute mediation in which the candidate acts as mediator. Total 100 marks.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w:t>
            </w:r>
          </w:p>
        </w:tc>
        <w:tc>
          <w:tcPr>
            <w:tcW w:type="dxa" w:w="1513"/>
            <w:shd w:val="clear" w:color="auto" w:fill="10375C"/>
          </w:tcPr>
          <w:p>
            <w:pPr>
              <w:spacing w:after="50" w:before="50"/>
            </w:pPr>
            <w:r>
              <w:rPr>
                <w:b/>
                <w:color w:val="FFFFFF"/>
                <w:sz w:val="17"/>
              </w:rPr>
              <w:t>Criterion</w:t>
            </w:r>
          </w:p>
        </w:tc>
        <w:tc>
          <w:tcPr>
            <w:tcW w:type="dxa" w:w="850"/>
            <w:shd w:val="clear" w:color="auto" w:fill="10375C"/>
          </w:tcPr>
          <w:p>
            <w:pPr>
              <w:spacing w:after="50" w:before="50"/>
            </w:pPr>
            <w:r>
              <w:rPr>
                <w:b/>
                <w:color w:val="FFFFFF"/>
                <w:sz w:val="17"/>
              </w:rPr>
              <w:t>Marks</w:t>
            </w:r>
          </w:p>
        </w:tc>
        <w:tc>
          <w:tcPr>
            <w:tcW w:type="dxa" w:w="2486"/>
            <w:shd w:val="clear" w:color="auto" w:fill="10375C"/>
          </w:tcPr>
          <w:p>
            <w:pPr>
              <w:spacing w:after="50" w:before="50"/>
            </w:pPr>
            <w:r>
              <w:rPr>
                <w:b/>
                <w:color w:val="FFFFFF"/>
                <w:sz w:val="17"/>
              </w:rPr>
              <w:t>Excellent (85–100%)</w:t>
            </w:r>
          </w:p>
        </w:tc>
        <w:tc>
          <w:tcPr>
            <w:tcW w:type="dxa" w:w="2486"/>
            <w:shd w:val="clear" w:color="auto" w:fill="10375C"/>
          </w:tcPr>
          <w:p>
            <w:pPr>
              <w:spacing w:after="50" w:before="50"/>
            </w:pPr>
            <w:r>
              <w:rPr>
                <w:b/>
                <w:color w:val="FFFFFF"/>
                <w:sz w:val="17"/>
              </w:rPr>
              <w:t>Competent (50–70%)</w:t>
            </w:r>
          </w:p>
        </w:tc>
        <w:tc>
          <w:tcPr>
            <w:tcW w:type="dxa" w:w="2486"/>
            <w:shd w:val="clear" w:color="auto" w:fill="10375C"/>
          </w:tcPr>
          <w:p>
            <w:pPr>
              <w:spacing w:after="50" w:before="50"/>
            </w:pPr>
            <w:r>
              <w:rPr>
                <w:b/>
                <w:color w:val="FFFFFF"/>
                <w:sz w:val="17"/>
              </w:rPr>
              <w:t>Not yet competent (below 50%)</w:t>
            </w:r>
          </w:p>
        </w:tc>
      </w:tr>
      <w:tr>
        <w:tc>
          <w:tcPr>
            <w:tcW w:type="dxa" w:w="850"/>
          </w:tcPr>
          <w:p>
            <w:pPr>
              <w:spacing w:after="50" w:before="50" w:line="252" w:lineRule="auto"/>
            </w:pPr>
            <w:r>
              <w:rPr>
                <w:sz w:val="17"/>
              </w:rPr>
              <w:t>1</w:t>
            </w:r>
          </w:p>
        </w:tc>
        <w:tc>
          <w:tcPr>
            <w:tcW w:type="dxa" w:w="1513"/>
          </w:tcPr>
          <w:p>
            <w:pPr>
              <w:spacing w:after="50" w:before="50" w:line="252" w:lineRule="auto"/>
            </w:pPr>
            <w:r>
              <w:rPr>
                <w:b/>
                <w:sz w:val="17"/>
              </w:rPr>
              <w:t>Opening and process establishment</w:t>
            </w:r>
          </w:p>
        </w:tc>
        <w:tc>
          <w:tcPr>
            <w:tcW w:type="dxa" w:w="850"/>
          </w:tcPr>
          <w:p>
            <w:pPr>
              <w:spacing w:after="50" w:before="50" w:line="252" w:lineRule="auto"/>
            </w:pPr>
            <w:r>
              <w:rPr>
                <w:sz w:val="17"/>
              </w:rPr>
              <w:t>12</w:t>
            </w:r>
          </w:p>
        </w:tc>
        <w:tc>
          <w:tcPr>
            <w:tcW w:type="dxa" w:w="2486"/>
          </w:tcPr>
          <w:p>
            <w:pPr>
              <w:spacing w:after="50" w:before="50" w:line="252" w:lineRule="auto"/>
            </w:pPr>
            <w:r>
              <w:rPr>
                <w:sz w:val="17"/>
              </w:rPr>
              <w:t>Establishes process, role, confidentiality and authority clearly and briefly; builds safety without reciting a script</w:t>
            </w:r>
          </w:p>
        </w:tc>
        <w:tc>
          <w:tcPr>
            <w:tcW w:type="dxa" w:w="2486"/>
          </w:tcPr>
          <w:p>
            <w:pPr>
              <w:spacing w:after="50" w:before="50" w:line="252" w:lineRule="auto"/>
            </w:pPr>
            <w:r>
              <w:rPr>
                <w:sz w:val="17"/>
              </w:rPr>
              <w:t>Covers the essentials; somewhat mechanical</w:t>
            </w:r>
          </w:p>
        </w:tc>
        <w:tc>
          <w:tcPr>
            <w:tcW w:type="dxa" w:w="2486"/>
          </w:tcPr>
          <w:p>
            <w:pPr>
              <w:spacing w:after="50" w:before="50" w:line="252" w:lineRule="auto"/>
            </w:pPr>
            <w:r>
              <w:rPr>
                <w:sz w:val="17"/>
              </w:rPr>
              <w:t>Omits confidentiality or authority; unclear; excessively long</w:t>
            </w:r>
          </w:p>
        </w:tc>
      </w:tr>
      <w:tr>
        <w:tc>
          <w:tcPr>
            <w:tcW w:type="dxa" w:w="850"/>
            <w:shd w:val="clear" w:color="auto" w:fill="EAF1F4"/>
          </w:tcPr>
          <w:p>
            <w:pPr>
              <w:spacing w:after="50" w:before="50" w:line="252" w:lineRule="auto"/>
            </w:pPr>
            <w:r>
              <w:rPr>
                <w:sz w:val="17"/>
              </w:rPr>
              <w:t>2</w:t>
            </w:r>
          </w:p>
        </w:tc>
        <w:tc>
          <w:tcPr>
            <w:tcW w:type="dxa" w:w="1513"/>
            <w:shd w:val="clear" w:color="auto" w:fill="EAF1F4"/>
          </w:tcPr>
          <w:p>
            <w:pPr>
              <w:spacing w:after="50" w:before="50" w:line="252" w:lineRule="auto"/>
            </w:pPr>
            <w:r>
              <w:rPr>
                <w:b/>
                <w:sz w:val="17"/>
              </w:rPr>
              <w:t>Listening and acknowledgement</w:t>
            </w:r>
          </w:p>
        </w:tc>
        <w:tc>
          <w:tcPr>
            <w:tcW w:type="dxa" w:w="850"/>
            <w:shd w:val="clear" w:color="auto" w:fill="EAF1F4"/>
          </w:tcPr>
          <w:p>
            <w:pPr>
              <w:spacing w:after="50" w:before="50" w:line="252" w:lineRule="auto"/>
            </w:pPr>
            <w:r>
              <w:rPr>
                <w:sz w:val="17"/>
              </w:rPr>
              <w:t>14</w:t>
            </w:r>
          </w:p>
        </w:tc>
        <w:tc>
          <w:tcPr>
            <w:tcW w:type="dxa" w:w="2486"/>
            <w:shd w:val="clear" w:color="auto" w:fill="EAF1F4"/>
          </w:tcPr>
          <w:p>
            <w:pPr>
              <w:spacing w:after="50" w:before="50" w:line="252" w:lineRule="auto"/>
            </w:pPr>
            <w:r>
              <w:rPr>
                <w:sz w:val="17"/>
              </w:rPr>
              <w:t>Demonstrably hears both parties; acknowledges without endorsing; parties visibly feel heard</w:t>
            </w:r>
          </w:p>
        </w:tc>
        <w:tc>
          <w:tcPr>
            <w:tcW w:type="dxa" w:w="2486"/>
            <w:shd w:val="clear" w:color="auto" w:fill="EAF1F4"/>
          </w:tcPr>
          <w:p>
            <w:pPr>
              <w:spacing w:after="50" w:before="50" w:line="252" w:lineRule="auto"/>
            </w:pPr>
            <w:r>
              <w:rPr>
                <w:sz w:val="17"/>
              </w:rPr>
              <w:t>Listens adequately; some acknowledgement</w:t>
            </w:r>
          </w:p>
        </w:tc>
        <w:tc>
          <w:tcPr>
            <w:tcW w:type="dxa" w:w="2486"/>
            <w:shd w:val="clear" w:color="auto" w:fill="EAF1F4"/>
          </w:tcPr>
          <w:p>
            <w:pPr>
              <w:spacing w:after="50" w:before="50" w:line="252" w:lineRule="auto"/>
            </w:pPr>
            <w:r>
              <w:rPr>
                <w:sz w:val="17"/>
              </w:rPr>
              <w:t>Interrupts; moves to solutions before hearing; parties repeat themselves because they were not heard</w:t>
            </w:r>
          </w:p>
        </w:tc>
      </w:tr>
      <w:tr>
        <w:tc>
          <w:tcPr>
            <w:tcW w:type="dxa" w:w="850"/>
          </w:tcPr>
          <w:p>
            <w:pPr>
              <w:spacing w:after="50" w:before="50" w:line="252" w:lineRule="auto"/>
            </w:pPr>
            <w:r>
              <w:rPr>
                <w:sz w:val="17"/>
              </w:rPr>
              <w:t>3</w:t>
            </w:r>
          </w:p>
        </w:tc>
        <w:tc>
          <w:tcPr>
            <w:tcW w:type="dxa" w:w="1513"/>
          </w:tcPr>
          <w:p>
            <w:pPr>
              <w:spacing w:after="50" w:before="50" w:line="252" w:lineRule="auto"/>
            </w:pPr>
            <w:r>
              <w:rPr>
                <w:b/>
                <w:sz w:val="17"/>
              </w:rPr>
              <w:t>Questioning</w:t>
            </w:r>
          </w:p>
        </w:tc>
        <w:tc>
          <w:tcPr>
            <w:tcW w:type="dxa" w:w="850"/>
          </w:tcPr>
          <w:p>
            <w:pPr>
              <w:spacing w:after="50" w:before="50" w:line="252" w:lineRule="auto"/>
            </w:pPr>
            <w:r>
              <w:rPr>
                <w:sz w:val="17"/>
              </w:rPr>
              <w:t>14</w:t>
            </w:r>
          </w:p>
        </w:tc>
        <w:tc>
          <w:tcPr>
            <w:tcW w:type="dxa" w:w="2486"/>
          </w:tcPr>
          <w:p>
            <w:pPr>
              <w:spacing w:after="50" w:before="50" w:line="252" w:lineRule="auto"/>
            </w:pPr>
            <w:r>
              <w:rPr>
                <w:sz w:val="17"/>
              </w:rPr>
              <w:t>Deliberate sequence; opens up what mattered; uses silence</w:t>
            </w:r>
          </w:p>
        </w:tc>
        <w:tc>
          <w:tcPr>
            <w:tcW w:type="dxa" w:w="2486"/>
          </w:tcPr>
          <w:p>
            <w:pPr>
              <w:spacing w:after="50" w:before="50" w:line="252" w:lineRule="auto"/>
            </w:pPr>
            <w:r>
              <w:rPr>
                <w:sz w:val="17"/>
              </w:rPr>
              <w:t>Adequate questions; some leading</w:t>
            </w:r>
          </w:p>
        </w:tc>
        <w:tc>
          <w:tcPr>
            <w:tcW w:type="dxa" w:w="2486"/>
          </w:tcPr>
          <w:p>
            <w:pPr>
              <w:spacing w:after="50" w:before="50" w:line="252" w:lineRule="auto"/>
            </w:pPr>
            <w:r>
              <w:rPr>
                <w:sz w:val="17"/>
              </w:rPr>
              <w:t>Closed, leading or interrogative; misses the substance</w:t>
            </w:r>
          </w:p>
        </w:tc>
      </w:tr>
      <w:tr>
        <w:tc>
          <w:tcPr>
            <w:tcW w:type="dxa" w:w="850"/>
            <w:shd w:val="clear" w:color="auto" w:fill="EAF1F4"/>
          </w:tcPr>
          <w:p>
            <w:pPr>
              <w:spacing w:after="50" w:before="50" w:line="252" w:lineRule="auto"/>
            </w:pPr>
            <w:r>
              <w:rPr>
                <w:sz w:val="17"/>
              </w:rPr>
              <w:t>4</w:t>
            </w:r>
          </w:p>
        </w:tc>
        <w:tc>
          <w:tcPr>
            <w:tcW w:type="dxa" w:w="1513"/>
            <w:shd w:val="clear" w:color="auto" w:fill="EAF1F4"/>
          </w:tcPr>
          <w:p>
            <w:pPr>
              <w:spacing w:after="50" w:before="50" w:line="252" w:lineRule="auto"/>
            </w:pPr>
            <w:r>
              <w:rPr>
                <w:b/>
                <w:sz w:val="17"/>
              </w:rPr>
              <w:t>Identifying interests</w:t>
            </w:r>
          </w:p>
        </w:tc>
        <w:tc>
          <w:tcPr>
            <w:tcW w:type="dxa" w:w="850"/>
            <w:shd w:val="clear" w:color="auto" w:fill="EAF1F4"/>
          </w:tcPr>
          <w:p>
            <w:pPr>
              <w:spacing w:after="50" w:before="50" w:line="252" w:lineRule="auto"/>
            </w:pPr>
            <w:r>
              <w:rPr>
                <w:sz w:val="17"/>
              </w:rPr>
              <w:t>14</w:t>
            </w:r>
          </w:p>
        </w:tc>
        <w:tc>
          <w:tcPr>
            <w:tcW w:type="dxa" w:w="2486"/>
            <w:shd w:val="clear" w:color="auto" w:fill="EAF1F4"/>
          </w:tcPr>
          <w:p>
            <w:pPr>
              <w:spacing w:after="50" w:before="50" w:line="252" w:lineRule="auto"/>
            </w:pPr>
            <w:r>
              <w:rPr>
                <w:sz w:val="17"/>
              </w:rPr>
              <w:t>Surfaces interests not apparent from positions, including at least one hidden interest</w:t>
            </w:r>
          </w:p>
        </w:tc>
        <w:tc>
          <w:tcPr>
            <w:tcW w:type="dxa" w:w="2486"/>
            <w:shd w:val="clear" w:color="auto" w:fill="EAF1F4"/>
          </w:tcPr>
          <w:p>
            <w:pPr>
              <w:spacing w:after="50" w:before="50" w:line="252" w:lineRule="auto"/>
            </w:pPr>
            <w:r>
              <w:rPr>
                <w:sz w:val="17"/>
              </w:rPr>
              <w:t>Identifies obvious interests</w:t>
            </w:r>
          </w:p>
        </w:tc>
        <w:tc>
          <w:tcPr>
            <w:tcW w:type="dxa" w:w="2486"/>
            <w:shd w:val="clear" w:color="auto" w:fill="EAF1F4"/>
          </w:tcPr>
          <w:p>
            <w:pPr>
              <w:spacing w:after="50" w:before="50" w:line="252" w:lineRule="auto"/>
            </w:pPr>
            <w:r>
              <w:rPr>
                <w:sz w:val="17"/>
              </w:rPr>
              <w:t>Works only with stated positions</w:t>
            </w:r>
          </w:p>
        </w:tc>
      </w:tr>
      <w:tr>
        <w:tc>
          <w:tcPr>
            <w:tcW w:type="dxa" w:w="850"/>
          </w:tcPr>
          <w:p>
            <w:pPr>
              <w:spacing w:after="50" w:before="50" w:line="252" w:lineRule="auto"/>
            </w:pPr>
            <w:r>
              <w:rPr>
                <w:sz w:val="17"/>
              </w:rPr>
              <w:t>5</w:t>
            </w:r>
          </w:p>
        </w:tc>
        <w:tc>
          <w:tcPr>
            <w:tcW w:type="dxa" w:w="1513"/>
          </w:tcPr>
          <w:p>
            <w:pPr>
              <w:spacing w:after="50" w:before="50" w:line="252" w:lineRule="auto"/>
            </w:pPr>
            <w:r>
              <w:rPr>
                <w:b/>
                <w:sz w:val="17"/>
              </w:rPr>
              <w:t>Process management</w:t>
            </w:r>
          </w:p>
        </w:tc>
        <w:tc>
          <w:tcPr>
            <w:tcW w:type="dxa" w:w="850"/>
          </w:tcPr>
          <w:p>
            <w:pPr>
              <w:spacing w:after="50" w:before="50" w:line="252" w:lineRule="auto"/>
            </w:pPr>
            <w:r>
              <w:rPr>
                <w:sz w:val="17"/>
              </w:rPr>
              <w:t>12</w:t>
            </w:r>
          </w:p>
        </w:tc>
        <w:tc>
          <w:tcPr>
            <w:tcW w:type="dxa" w:w="2486"/>
          </w:tcPr>
          <w:p>
            <w:pPr>
              <w:spacing w:after="50" w:before="50" w:line="252" w:lineRule="auto"/>
            </w:pPr>
            <w:r>
              <w:rPr>
                <w:sz w:val="17"/>
              </w:rPr>
              <w:t>Controls pace, sequence and time; caucus used purposefully and even-handedly; adapts when the plan fails</w:t>
            </w:r>
          </w:p>
        </w:tc>
        <w:tc>
          <w:tcPr>
            <w:tcW w:type="dxa" w:w="2486"/>
          </w:tcPr>
          <w:p>
            <w:pPr>
              <w:spacing w:after="50" w:before="50" w:line="252" w:lineRule="auto"/>
            </w:pPr>
            <w:r>
              <w:rPr>
                <w:sz w:val="17"/>
              </w:rPr>
              <w:t>Keeps the process moving; caucus used but not clearly reasoned</w:t>
            </w:r>
          </w:p>
        </w:tc>
        <w:tc>
          <w:tcPr>
            <w:tcW w:type="dxa" w:w="2486"/>
          </w:tcPr>
          <w:p>
            <w:pPr>
              <w:spacing w:after="50" w:before="50" w:line="252" w:lineRule="auto"/>
            </w:pPr>
            <w:r>
              <w:rPr>
                <w:sz w:val="17"/>
              </w:rPr>
              <w:t>Loses control; unequal caucus time; runs out of time</w:t>
            </w:r>
          </w:p>
        </w:tc>
      </w:tr>
      <w:tr>
        <w:tc>
          <w:tcPr>
            <w:tcW w:type="dxa" w:w="850"/>
            <w:shd w:val="clear" w:color="auto" w:fill="EAF1F4"/>
          </w:tcPr>
          <w:p>
            <w:pPr>
              <w:spacing w:after="50" w:before="50" w:line="252" w:lineRule="auto"/>
            </w:pPr>
            <w:r>
              <w:rPr>
                <w:sz w:val="17"/>
              </w:rPr>
              <w:t>6</w:t>
            </w:r>
          </w:p>
        </w:tc>
        <w:tc>
          <w:tcPr>
            <w:tcW w:type="dxa" w:w="1513"/>
            <w:shd w:val="clear" w:color="auto" w:fill="EAF1F4"/>
          </w:tcPr>
          <w:p>
            <w:pPr>
              <w:spacing w:after="50" w:before="50" w:line="252" w:lineRule="auto"/>
            </w:pPr>
            <w:r>
              <w:rPr>
                <w:b/>
                <w:sz w:val="17"/>
              </w:rPr>
              <w:t>Option generation and testing</w:t>
            </w:r>
          </w:p>
        </w:tc>
        <w:tc>
          <w:tcPr>
            <w:tcW w:type="dxa" w:w="850"/>
            <w:shd w:val="clear" w:color="auto" w:fill="EAF1F4"/>
          </w:tcPr>
          <w:p>
            <w:pPr>
              <w:spacing w:after="50" w:before="50" w:line="252" w:lineRule="auto"/>
            </w:pPr>
            <w:r>
              <w:rPr>
                <w:sz w:val="17"/>
              </w:rPr>
              <w:t>12</w:t>
            </w:r>
          </w:p>
        </w:tc>
        <w:tc>
          <w:tcPr>
            <w:tcW w:type="dxa" w:w="2486"/>
            <w:shd w:val="clear" w:color="auto" w:fill="EAF1F4"/>
          </w:tcPr>
          <w:p>
            <w:pPr>
              <w:spacing w:after="50" w:before="50" w:line="252" w:lineRule="auto"/>
            </w:pPr>
            <w:r>
              <w:rPr>
                <w:sz w:val="17"/>
              </w:rPr>
              <w:t>Generates a genuine range; separates invention from evaluation; tests against alternatives without directing</w:t>
            </w:r>
          </w:p>
        </w:tc>
        <w:tc>
          <w:tcPr>
            <w:tcW w:type="dxa" w:w="2486"/>
            <w:shd w:val="clear" w:color="auto" w:fill="EAF1F4"/>
          </w:tcPr>
          <w:p>
            <w:pPr>
              <w:spacing w:after="50" w:before="50" w:line="252" w:lineRule="auto"/>
            </w:pPr>
            <w:r>
              <w:rPr>
                <w:sz w:val="17"/>
              </w:rPr>
              <w:t>Some options generated; evaluation somewhat premature</w:t>
            </w:r>
          </w:p>
        </w:tc>
        <w:tc>
          <w:tcPr>
            <w:tcW w:type="dxa" w:w="2486"/>
            <w:shd w:val="clear" w:color="auto" w:fill="EAF1F4"/>
          </w:tcPr>
          <w:p>
            <w:pPr>
              <w:spacing w:after="50" w:before="50" w:line="252" w:lineRule="auto"/>
            </w:pPr>
            <w:r>
              <w:rPr>
                <w:sz w:val="17"/>
              </w:rPr>
              <w:t>Proposes the mediator's own solution; no option generation</w:t>
            </w:r>
          </w:p>
        </w:tc>
      </w:tr>
      <w:tr>
        <w:tc>
          <w:tcPr>
            <w:tcW w:type="dxa" w:w="850"/>
          </w:tcPr>
          <w:p>
            <w:pPr>
              <w:spacing w:after="50" w:before="50" w:line="252" w:lineRule="auto"/>
            </w:pPr>
            <w:r>
              <w:rPr>
                <w:sz w:val="17"/>
              </w:rPr>
              <w:t>7</w:t>
            </w:r>
          </w:p>
        </w:tc>
        <w:tc>
          <w:tcPr>
            <w:tcW w:type="dxa" w:w="1513"/>
          </w:tcPr>
          <w:p>
            <w:pPr>
              <w:spacing w:after="50" w:before="50" w:line="252" w:lineRule="auto"/>
            </w:pPr>
            <w:r>
              <w:rPr>
                <w:b/>
                <w:sz w:val="17"/>
              </w:rPr>
              <w:t>Impartiality and ethics</w:t>
            </w:r>
          </w:p>
        </w:tc>
        <w:tc>
          <w:tcPr>
            <w:tcW w:type="dxa" w:w="850"/>
          </w:tcPr>
          <w:p>
            <w:pPr>
              <w:spacing w:after="50" w:before="50" w:line="252" w:lineRule="auto"/>
            </w:pPr>
            <w:r>
              <w:rPr>
                <w:sz w:val="17"/>
              </w:rPr>
              <w:t>12</w:t>
            </w:r>
          </w:p>
        </w:tc>
        <w:tc>
          <w:tcPr>
            <w:tcW w:type="dxa" w:w="2486"/>
          </w:tcPr>
          <w:p>
            <w:pPr>
              <w:spacing w:after="50" w:before="50" w:line="252" w:lineRule="auto"/>
            </w:pPr>
            <w:r>
              <w:rPr>
                <w:sz w:val="17"/>
              </w:rPr>
              <w:t>Scrupulously even-handed; recognises and handles an ethical issue in the room</w:t>
            </w:r>
          </w:p>
        </w:tc>
        <w:tc>
          <w:tcPr>
            <w:tcW w:type="dxa" w:w="2486"/>
          </w:tcPr>
          <w:p>
            <w:pPr>
              <w:spacing w:after="50" w:before="50" w:line="252" w:lineRule="auto"/>
            </w:pPr>
            <w:r>
              <w:rPr>
                <w:sz w:val="17"/>
              </w:rPr>
              <w:t>Impartial; no ethical issue identified where one existed</w:t>
            </w:r>
          </w:p>
        </w:tc>
        <w:tc>
          <w:tcPr>
            <w:tcW w:type="dxa" w:w="2486"/>
          </w:tcPr>
          <w:p>
            <w:pPr>
              <w:spacing w:after="50" w:before="50" w:line="252" w:lineRule="auto"/>
            </w:pPr>
            <w:r>
              <w:rPr>
                <w:sz w:val="17"/>
              </w:rPr>
              <w:t>Aligns with a party; expresses a view on the merits; breaches confidentiality between caucuses</w:t>
            </w:r>
          </w:p>
        </w:tc>
      </w:tr>
      <w:tr>
        <w:tc>
          <w:tcPr>
            <w:tcW w:type="dxa" w:w="850"/>
            <w:shd w:val="clear" w:color="auto" w:fill="EAF1F4"/>
          </w:tcPr>
          <w:p>
            <w:pPr>
              <w:spacing w:after="50" w:before="50" w:line="252" w:lineRule="auto"/>
            </w:pPr>
            <w:r>
              <w:rPr>
                <w:sz w:val="17"/>
              </w:rPr>
              <w:t>8</w:t>
            </w:r>
          </w:p>
        </w:tc>
        <w:tc>
          <w:tcPr>
            <w:tcW w:type="dxa" w:w="1513"/>
            <w:shd w:val="clear" w:color="auto" w:fill="EAF1F4"/>
          </w:tcPr>
          <w:p>
            <w:pPr>
              <w:spacing w:after="50" w:before="50" w:line="252" w:lineRule="auto"/>
            </w:pPr>
            <w:r>
              <w:rPr>
                <w:b/>
                <w:sz w:val="17"/>
              </w:rPr>
              <w:t>Closure</w:t>
            </w:r>
          </w:p>
        </w:tc>
        <w:tc>
          <w:tcPr>
            <w:tcW w:type="dxa" w:w="850"/>
            <w:shd w:val="clear" w:color="auto" w:fill="EAF1F4"/>
          </w:tcPr>
          <w:p>
            <w:pPr>
              <w:spacing w:after="50" w:before="50" w:line="252" w:lineRule="auto"/>
            </w:pPr>
            <w:r>
              <w:rPr>
                <w:sz w:val="17"/>
              </w:rPr>
              <w:t>10</w:t>
            </w:r>
          </w:p>
        </w:tc>
        <w:tc>
          <w:tcPr>
            <w:tcW w:type="dxa" w:w="2486"/>
            <w:shd w:val="clear" w:color="auto" w:fill="EAF1F4"/>
          </w:tcPr>
          <w:p>
            <w:pPr>
              <w:spacing w:after="50" w:before="50" w:line="252" w:lineRule="auto"/>
            </w:pPr>
            <w:r>
              <w:rPr>
                <w:sz w:val="17"/>
              </w:rPr>
              <w:t>Clear summary of what is agreed and what is not; terms captured accurately; next steps stated</w:t>
            </w:r>
          </w:p>
        </w:tc>
        <w:tc>
          <w:tcPr>
            <w:tcW w:type="dxa" w:w="2486"/>
            <w:shd w:val="clear" w:color="auto" w:fill="EAF1F4"/>
          </w:tcPr>
          <w:p>
            <w:pPr>
              <w:spacing w:after="50" w:before="50" w:line="252" w:lineRule="auto"/>
            </w:pPr>
            <w:r>
              <w:rPr>
                <w:sz w:val="17"/>
              </w:rPr>
              <w:t>Adequate closure</w:t>
            </w:r>
          </w:p>
        </w:tc>
        <w:tc>
          <w:tcPr>
            <w:tcW w:type="dxa" w:w="2486"/>
            <w:shd w:val="clear" w:color="auto" w:fill="EAF1F4"/>
          </w:tcPr>
          <w:p>
            <w:pPr>
              <w:spacing w:after="50" w:before="50" w:line="252" w:lineRule="auto"/>
            </w:pPr>
            <w:r>
              <w:rPr>
                <w:sz w:val="17"/>
              </w:rPr>
              <w:t>No summary; unclear what was agreed</w:t>
            </w:r>
          </w:p>
        </w:tc>
      </w:tr>
    </w:tbl>
    <w:p>
      <w:pPr>
        <w:spacing w:after="80" w:before="0"/>
      </w:pPr>
    </w:p>
    <w:p>
      <w:r>
        <w:rPr>
          <w:b/>
        </w:rPr>
        <w:t>Assessor discipline.</w:t>
      </w:r>
      <w:r>
        <w:t xml:space="preserve"> Marks are awarded against the descriptors, not against an overall impression formed in the first ten minutes. Assessors record at least three specific behavioural observations per criterion. </w:t>
      </w:r>
      <w:r>
        <w:rPr>
          <w:b/>
        </w:rPr>
        <w:t>A settlement reached is not itself evidence of competence, and no settlement reached is not itself evidence of incompetence.</w:t>
      </w:r>
    </w:p>
    <w:p>
      <w:pPr>
        <w:spacing w:before="80" w:after="160"/>
        <w:pBdr>
          <w:bottom w:val="single" w:sz="6" w:space="1" w:color="C9D6DE"/>
        </w:pBdr>
      </w:pPr>
    </w:p>
    <w:p>
      <w:pPr>
        <w:pStyle w:val="Heading1"/>
        <w:pBdr>
          <w:bottom w:val="single" w:sz="8" w:space="4" w:color="C9D6DE"/>
        </w:pBdr>
      </w:pPr>
      <w:r>
        <w:t>4. Moderation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64"/>
            <w:shd w:val="clear" w:color="auto" w:fill="10375C"/>
          </w:tcPr>
          <w:p>
            <w:pPr>
              <w:spacing w:after="50" w:before="50"/>
            </w:pPr>
            <w:r>
              <w:rPr>
                <w:b/>
                <w:color w:val="FFFFFF"/>
                <w:sz w:val="17"/>
              </w:rPr>
              <w:t>Requirement</w:t>
            </w:r>
          </w:p>
        </w:tc>
        <w:tc>
          <w:tcPr>
            <w:tcW w:type="dxa" w:w="7104"/>
            <w:shd w:val="clear" w:color="auto" w:fill="10375C"/>
          </w:tcPr>
          <w:p>
            <w:pPr>
              <w:spacing w:after="50" w:before="50"/>
            </w:pPr>
            <w:r>
              <w:rPr>
                <w:b/>
                <w:color w:val="FFFFFF"/>
                <w:sz w:val="17"/>
              </w:rPr>
              <w:t>Detail</w:t>
            </w:r>
          </w:p>
        </w:tc>
      </w:tr>
      <w:tr>
        <w:tc>
          <w:tcPr>
            <w:tcW w:type="dxa" w:w="2364"/>
          </w:tcPr>
          <w:p>
            <w:pPr>
              <w:spacing w:after="50" w:before="50" w:line="252" w:lineRule="auto"/>
            </w:pPr>
            <w:r>
              <w:rPr>
                <w:sz w:val="17"/>
              </w:rPr>
              <w:t>Double marking</w:t>
            </w:r>
          </w:p>
        </w:tc>
        <w:tc>
          <w:tcPr>
            <w:tcW w:type="dxa" w:w="7104"/>
          </w:tcPr>
          <w:p>
            <w:pPr>
              <w:spacing w:after="50" w:before="50" w:line="252" w:lineRule="auto"/>
            </w:pPr>
            <w:r>
              <w:rPr>
                <w:sz w:val="17"/>
              </w:rPr>
              <w:t>All scripts and simulations within 5 marks of a boundary; a 10% random sample of all others; every fail</w:t>
            </w:r>
          </w:p>
        </w:tc>
      </w:tr>
      <w:tr>
        <w:tc>
          <w:tcPr>
            <w:tcW w:type="dxa" w:w="2364"/>
            <w:shd w:val="clear" w:color="auto" w:fill="EAF1F4"/>
          </w:tcPr>
          <w:p>
            <w:pPr>
              <w:spacing w:after="50" w:before="50" w:line="252" w:lineRule="auto"/>
            </w:pPr>
            <w:r>
              <w:rPr>
                <w:sz w:val="17"/>
              </w:rPr>
              <w:t>Moderation meeting</w:t>
            </w:r>
          </w:p>
        </w:tc>
        <w:tc>
          <w:tcPr>
            <w:tcW w:type="dxa" w:w="7104"/>
            <w:shd w:val="clear" w:color="auto" w:fill="EAF1F4"/>
          </w:tcPr>
          <w:p>
            <w:pPr>
              <w:spacing w:after="50" w:before="50" w:line="252" w:lineRule="auto"/>
            </w:pPr>
            <w:r>
              <w:rPr>
                <w:sz w:val="17"/>
              </w:rPr>
              <w:t>Held before marks are released, chaired by the Head of Curriculum</w:t>
            </w:r>
          </w:p>
        </w:tc>
      </w:tr>
      <w:tr>
        <w:tc>
          <w:tcPr>
            <w:tcW w:type="dxa" w:w="2364"/>
          </w:tcPr>
          <w:p>
            <w:pPr>
              <w:spacing w:after="50" w:before="50" w:line="252" w:lineRule="auto"/>
            </w:pPr>
            <w:r>
              <w:rPr>
                <w:sz w:val="17"/>
              </w:rPr>
              <w:t>Variance tolerance</w:t>
            </w:r>
          </w:p>
        </w:tc>
        <w:tc>
          <w:tcPr>
            <w:tcW w:type="dxa" w:w="7104"/>
          </w:tcPr>
          <w:p>
            <w:pPr>
              <w:spacing w:after="50" w:before="50" w:line="252" w:lineRule="auto"/>
            </w:pPr>
            <w:r>
              <w:rPr>
                <w:sz w:val="17"/>
              </w:rPr>
              <w:t>Where two assessors differ by more than 10 marks, a third assessment is obtained and the mean of the two closest is taken</w:t>
            </w:r>
          </w:p>
        </w:tc>
      </w:tr>
      <w:tr>
        <w:tc>
          <w:tcPr>
            <w:tcW w:type="dxa" w:w="2364"/>
            <w:shd w:val="clear" w:color="auto" w:fill="EAF1F4"/>
          </w:tcPr>
          <w:p>
            <w:pPr>
              <w:spacing w:after="50" w:before="50" w:line="252" w:lineRule="auto"/>
            </w:pPr>
            <w:r>
              <w:rPr>
                <w:sz w:val="17"/>
              </w:rPr>
              <w:t>Cohort review</w:t>
            </w:r>
          </w:p>
        </w:tc>
        <w:tc>
          <w:tcPr>
            <w:tcW w:type="dxa" w:w="7104"/>
            <w:shd w:val="clear" w:color="auto" w:fill="EAF1F4"/>
          </w:tcPr>
          <w:p>
            <w:pPr>
              <w:spacing w:after="50" w:before="50" w:line="252" w:lineRule="auto"/>
            </w:pPr>
            <w:r>
              <w:rPr>
                <w:sz w:val="17"/>
              </w:rPr>
              <w:t>Distribution reviewed against historic norms; an anomalous distribution triggers review of the assessment event, not adjustment of individual marks</w:t>
            </w:r>
          </w:p>
        </w:tc>
      </w:tr>
      <w:tr>
        <w:tc>
          <w:tcPr>
            <w:tcW w:type="dxa" w:w="2364"/>
          </w:tcPr>
          <w:p>
            <w:pPr>
              <w:spacing w:after="50" w:before="50" w:line="252" w:lineRule="auto"/>
            </w:pPr>
            <w:r>
              <w:rPr>
                <w:sz w:val="17"/>
              </w:rPr>
              <w:t>Sign-off</w:t>
            </w:r>
          </w:p>
        </w:tc>
        <w:tc>
          <w:tcPr>
            <w:tcW w:type="dxa" w:w="7104"/>
          </w:tcPr>
          <w:p>
            <w:pPr>
              <w:spacing w:after="50" w:before="50" w:line="252" w:lineRule="auto"/>
            </w:pPr>
            <w:r>
              <w:rPr>
                <w:sz w:val="17"/>
              </w:rPr>
              <w:t>Marks are released only on the Head of Curriculum's signature</w:t>
            </w:r>
          </w:p>
        </w:tc>
      </w:tr>
    </w:tbl>
    <w:p>
      <w:pPr>
        <w:spacing w:after="80" w:before="0"/>
      </w:pPr>
    </w:p>
    <w:p>
      <w:pPr>
        <w:spacing w:before="80" w:after="160"/>
        <w:pBdr>
          <w:bottom w:val="single" w:sz="6" w:space="1" w:color="C9D6DE"/>
        </w:pBdr>
      </w:pPr>
    </w:p>
    <w:p>
      <w:pPr>
        <w:pStyle w:val="Heading1"/>
        <w:pBdr>
          <w:bottom w:val="single" w:sz="8" w:space="4" w:color="C9D6DE"/>
        </w:pBdr>
      </w:pPr>
      <w:r>
        <w:t>5. Assessor calibration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179"/>
            <w:shd w:val="clear" w:color="auto" w:fill="10375C"/>
          </w:tcPr>
          <w:p>
            <w:pPr>
              <w:spacing w:after="50" w:before="50"/>
            </w:pPr>
            <w:r>
              <w:rPr>
                <w:b/>
                <w:color w:val="FFFFFF"/>
                <w:sz w:val="17"/>
              </w:rPr>
              <w:t>Requirement</w:t>
            </w:r>
          </w:p>
        </w:tc>
        <w:tc>
          <w:tcPr>
            <w:tcW w:type="dxa" w:w="6289"/>
            <w:shd w:val="clear" w:color="auto" w:fill="10375C"/>
          </w:tcPr>
          <w:p>
            <w:pPr>
              <w:spacing w:after="50" w:before="50"/>
            </w:pPr>
            <w:r>
              <w:rPr>
                <w:b/>
                <w:color w:val="FFFFFF"/>
                <w:sz w:val="17"/>
              </w:rPr>
              <w:t>Detail</w:t>
            </w:r>
          </w:p>
        </w:tc>
      </w:tr>
      <w:tr>
        <w:tc>
          <w:tcPr>
            <w:tcW w:type="dxa" w:w="3179"/>
          </w:tcPr>
          <w:p>
            <w:pPr>
              <w:spacing w:after="50" w:before="50" w:line="252" w:lineRule="auto"/>
            </w:pPr>
            <w:r>
              <w:rPr>
                <w:sz w:val="17"/>
              </w:rPr>
              <w:t>Certification</w:t>
            </w:r>
          </w:p>
        </w:tc>
        <w:tc>
          <w:tcPr>
            <w:tcW w:type="dxa" w:w="6289"/>
          </w:tcPr>
          <w:p>
            <w:pPr>
              <w:spacing w:after="50" w:before="50" w:line="252" w:lineRule="auto"/>
            </w:pPr>
            <w:r>
              <w:rPr>
                <w:sz w:val="17"/>
              </w:rPr>
              <w:t>T-ASSESS completed before assessing any programme</w:t>
            </w:r>
          </w:p>
        </w:tc>
      </w:tr>
      <w:tr>
        <w:tc>
          <w:tcPr>
            <w:tcW w:type="dxa" w:w="3179"/>
            <w:shd w:val="clear" w:color="auto" w:fill="EAF1F4"/>
          </w:tcPr>
          <w:p>
            <w:pPr>
              <w:spacing w:after="50" w:before="50" w:line="252" w:lineRule="auto"/>
            </w:pPr>
            <w:r>
              <w:rPr>
                <w:sz w:val="17"/>
              </w:rPr>
              <w:t>Calibration before every assessed cohort</w:t>
            </w:r>
          </w:p>
        </w:tc>
        <w:tc>
          <w:tcPr>
            <w:tcW w:type="dxa" w:w="6289"/>
            <w:shd w:val="clear" w:color="auto" w:fill="EAF1F4"/>
          </w:tcPr>
          <w:p>
            <w:pPr>
              <w:spacing w:after="50" w:before="50" w:line="252" w:lineRule="auto"/>
            </w:pPr>
            <w:r>
              <w:rPr>
                <w:sz w:val="17"/>
              </w:rPr>
              <w:t>Assessors score a common recorded or live benchmark simulation and reconcile differences</w:t>
            </w:r>
          </w:p>
        </w:tc>
      </w:tr>
      <w:tr>
        <w:tc>
          <w:tcPr>
            <w:tcW w:type="dxa" w:w="3179"/>
          </w:tcPr>
          <w:p>
            <w:pPr>
              <w:spacing w:after="50" w:before="50" w:line="252" w:lineRule="auto"/>
            </w:pPr>
            <w:r>
              <w:rPr>
                <w:sz w:val="17"/>
              </w:rPr>
              <w:t>Tolerance</w:t>
            </w:r>
          </w:p>
        </w:tc>
        <w:tc>
          <w:tcPr>
            <w:tcW w:type="dxa" w:w="6289"/>
          </w:tcPr>
          <w:p>
            <w:pPr>
              <w:spacing w:after="50" w:before="50" w:line="252" w:lineRule="auto"/>
            </w:pPr>
            <w:r>
              <w:rPr>
                <w:sz w:val="17"/>
              </w:rPr>
              <w:t>An assessor scoring consistently more than 8 marks from the benchmark mean is retrained before assessing</w:t>
            </w:r>
          </w:p>
        </w:tc>
      </w:tr>
      <w:tr>
        <w:tc>
          <w:tcPr>
            <w:tcW w:type="dxa" w:w="3179"/>
            <w:shd w:val="clear" w:color="auto" w:fill="EAF1F4"/>
          </w:tcPr>
          <w:p>
            <w:pPr>
              <w:spacing w:after="50" w:before="50" w:line="252" w:lineRule="auto"/>
            </w:pPr>
            <w:r>
              <w:rPr>
                <w:sz w:val="17"/>
              </w:rPr>
              <w:t>Annual observation</w:t>
            </w:r>
          </w:p>
        </w:tc>
        <w:tc>
          <w:tcPr>
            <w:tcW w:type="dxa" w:w="6289"/>
            <w:shd w:val="clear" w:color="auto" w:fill="EAF1F4"/>
          </w:tcPr>
          <w:p>
            <w:pPr>
              <w:spacing w:after="50" w:before="50" w:line="252" w:lineRule="auto"/>
            </w:pPr>
            <w:r>
              <w:rPr>
                <w:sz w:val="17"/>
              </w:rPr>
              <w:t>Every assessor is observed once a year</w:t>
            </w:r>
          </w:p>
        </w:tc>
      </w:tr>
      <w:tr>
        <w:tc>
          <w:tcPr>
            <w:tcW w:type="dxa" w:w="3179"/>
          </w:tcPr>
          <w:p>
            <w:pPr>
              <w:spacing w:after="50" w:before="50" w:line="252" w:lineRule="auto"/>
            </w:pPr>
            <w:r>
              <w:rPr>
                <w:sz w:val="17"/>
              </w:rPr>
              <w:t>Records</w:t>
            </w:r>
          </w:p>
        </w:tc>
        <w:tc>
          <w:tcPr>
            <w:tcW w:type="dxa" w:w="6289"/>
          </w:tcPr>
          <w:p>
            <w:pPr>
              <w:spacing w:after="50" w:before="50" w:line="252" w:lineRule="auto"/>
            </w:pPr>
            <w:r>
              <w:rPr>
                <w:sz w:val="17"/>
              </w:rPr>
              <w:t>Calibration scores retained for three years</w:t>
            </w:r>
          </w:p>
        </w:tc>
      </w:tr>
    </w:tbl>
    <w:p>
      <w:pPr>
        <w:spacing w:after="80" w:before="0"/>
      </w:pPr>
    </w:p>
    <w:p>
      <w:pPr>
        <w:spacing w:before="80" w:after="160"/>
        <w:pBdr>
          <w:bottom w:val="single" w:sz="6" w:space="1" w:color="C9D6DE"/>
        </w:pBdr>
      </w:pPr>
    </w:p>
    <w:p>
      <w:pPr>
        <w:pStyle w:val="Heading1"/>
        <w:pBdr>
          <w:bottom w:val="single" w:sz="8" w:space="4" w:color="C9D6DE"/>
        </w:pBdr>
      </w:pPr>
      <w:r>
        <w:t>6. Certification</w:t>
      </w:r>
    </w:p>
    <w:p>
      <w:pPr>
        <w:pStyle w:val="Heading2"/>
      </w:pPr>
      <w:r>
        <w:t>6.1 What is issued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282"/>
            <w:shd w:val="clear" w:color="auto" w:fill="10375C"/>
          </w:tcPr>
          <w:p>
            <w:pPr>
              <w:spacing w:after="50" w:before="50"/>
            </w:pPr>
            <w:r>
              <w:rPr>
                <w:b/>
                <w:color w:val="FFFFFF"/>
                <w:sz w:val="17"/>
              </w:rPr>
              <w:t>Programme</w:t>
            </w:r>
          </w:p>
        </w:tc>
        <w:tc>
          <w:tcPr>
            <w:tcW w:type="dxa" w:w="8185"/>
            <w:shd w:val="clear" w:color="auto" w:fill="10375C"/>
          </w:tcPr>
          <w:p>
            <w:pPr>
              <w:spacing w:after="50" w:before="50"/>
            </w:pPr>
            <w:r>
              <w:rPr>
                <w:b/>
                <w:color w:val="FFFFFF"/>
                <w:sz w:val="17"/>
              </w:rPr>
              <w:t>Certificate</w:t>
            </w:r>
          </w:p>
        </w:tc>
      </w:tr>
      <w:tr>
        <w:tc>
          <w:tcPr>
            <w:tcW w:type="dxa" w:w="1282"/>
          </w:tcPr>
          <w:p>
            <w:pPr>
              <w:spacing w:after="50" w:before="50" w:line="252" w:lineRule="auto"/>
            </w:pPr>
            <w:r>
              <w:rPr>
                <w:sz w:val="17"/>
              </w:rPr>
              <w:t>T-40</w:t>
            </w:r>
          </w:p>
        </w:tc>
        <w:tc>
          <w:tcPr>
            <w:tcW w:type="dxa" w:w="8185"/>
          </w:tcPr>
          <w:p>
            <w:pPr>
              <w:spacing w:after="50" w:before="50" w:line="252" w:lineRule="auto"/>
            </w:pPr>
            <w:r>
              <w:rPr>
                <w:sz w:val="17"/>
              </w:rPr>
              <w:t>Certificate of Completion — Basic Mediation Training (40 hours)</w:t>
            </w:r>
          </w:p>
        </w:tc>
      </w:tr>
      <w:tr>
        <w:tc>
          <w:tcPr>
            <w:tcW w:type="dxa" w:w="1282"/>
            <w:shd w:val="clear" w:color="auto" w:fill="EAF1F4"/>
          </w:tcPr>
          <w:p>
            <w:pPr>
              <w:spacing w:after="50" w:before="50" w:line="252" w:lineRule="auto"/>
            </w:pPr>
            <w:r>
              <w:rPr>
                <w:sz w:val="17"/>
              </w:rPr>
              <w:t>T-20</w:t>
            </w:r>
          </w:p>
        </w:tc>
        <w:tc>
          <w:tcPr>
            <w:tcW w:type="dxa" w:w="8185"/>
            <w:shd w:val="clear" w:color="auto" w:fill="EAF1F4"/>
          </w:tcPr>
          <w:p>
            <w:pPr>
              <w:spacing w:after="50" w:before="50" w:line="252" w:lineRule="auto"/>
            </w:pPr>
            <w:r>
              <w:rPr>
                <w:sz w:val="17"/>
              </w:rPr>
              <w:t>Certificate of Advanced Practice — Mediation (20 hours)</w:t>
            </w:r>
          </w:p>
        </w:tc>
      </w:tr>
      <w:tr>
        <w:tc>
          <w:tcPr>
            <w:tcW w:type="dxa" w:w="1282"/>
          </w:tcPr>
          <w:p>
            <w:pPr>
              <w:spacing w:after="50" w:before="50" w:line="252" w:lineRule="auto"/>
            </w:pPr>
            <w:r>
              <w:rPr>
                <w:sz w:val="17"/>
              </w:rPr>
              <w:t>C-CERT</w:t>
            </w:r>
          </w:p>
        </w:tc>
        <w:tc>
          <w:tcPr>
            <w:tcW w:type="dxa" w:w="8185"/>
          </w:tcPr>
          <w:p>
            <w:pPr>
              <w:spacing w:after="50" w:before="50" w:line="252" w:lineRule="auto"/>
            </w:pPr>
            <w:r>
              <w:rPr>
                <w:sz w:val="17"/>
              </w:rPr>
              <w:t>Certificate in Mediation and Dispute Resolution [jointly with the institution, where agreed]</w:t>
            </w:r>
          </w:p>
        </w:tc>
      </w:tr>
      <w:tr>
        <w:tc>
          <w:tcPr>
            <w:tcW w:type="dxa" w:w="1282"/>
            <w:shd w:val="clear" w:color="auto" w:fill="EAF1F4"/>
          </w:tcPr>
          <w:p>
            <w:pPr>
              <w:spacing w:after="50" w:before="50" w:line="252" w:lineRule="auto"/>
            </w:pPr>
            <w:r>
              <w:rPr>
                <w:sz w:val="17"/>
              </w:rPr>
              <w:t>T-TTT</w:t>
            </w:r>
          </w:p>
        </w:tc>
        <w:tc>
          <w:tcPr>
            <w:tcW w:type="dxa" w:w="8185"/>
            <w:shd w:val="clear" w:color="auto" w:fill="EAF1F4"/>
          </w:tcPr>
          <w:p>
            <w:pPr>
              <w:spacing w:after="50" w:before="50" w:line="252" w:lineRule="auto"/>
            </w:pPr>
            <w:r>
              <w:rPr>
                <w:sz w:val="17"/>
              </w:rPr>
              <w:t>Certificate of Trainer Accreditation — Equator ADR Institute</w:t>
            </w:r>
          </w:p>
        </w:tc>
      </w:tr>
      <w:tr>
        <w:tc>
          <w:tcPr>
            <w:tcW w:type="dxa" w:w="1282"/>
          </w:tcPr>
          <w:p>
            <w:pPr>
              <w:spacing w:after="50" w:before="50" w:line="252" w:lineRule="auto"/>
            </w:pPr>
            <w:r>
              <w:rPr>
                <w:sz w:val="17"/>
              </w:rPr>
              <w:t>T-ASSESS</w:t>
            </w:r>
          </w:p>
        </w:tc>
        <w:tc>
          <w:tcPr>
            <w:tcW w:type="dxa" w:w="8185"/>
          </w:tcPr>
          <w:p>
            <w:pPr>
              <w:spacing w:after="50" w:before="50" w:line="252" w:lineRule="auto"/>
            </w:pPr>
            <w:r>
              <w:rPr>
                <w:sz w:val="17"/>
              </w:rPr>
              <w:t>Certificate of Assessor Accreditation</w:t>
            </w:r>
          </w:p>
        </w:tc>
      </w:tr>
      <w:tr>
        <w:tc>
          <w:tcPr>
            <w:tcW w:type="dxa" w:w="1282"/>
            <w:shd w:val="clear" w:color="auto" w:fill="EAF1F4"/>
          </w:tcPr>
          <w:p>
            <w:pPr>
              <w:spacing w:after="50" w:before="50" w:line="252" w:lineRule="auto"/>
            </w:pPr>
            <w:r>
              <w:rPr>
                <w:sz w:val="17"/>
              </w:rPr>
              <w:t>T-FDP</w:t>
            </w:r>
          </w:p>
        </w:tc>
        <w:tc>
          <w:tcPr>
            <w:tcW w:type="dxa" w:w="8185"/>
            <w:shd w:val="clear" w:color="auto" w:fill="EAF1F4"/>
          </w:tcPr>
          <w:p>
            <w:pPr>
              <w:spacing w:after="50" w:before="50" w:line="252" w:lineRule="auto"/>
            </w:pPr>
            <w:r>
              <w:rPr>
                <w:sz w:val="17"/>
              </w:rPr>
              <w:t>Certificate of Faculty Development in ADR</w:t>
            </w:r>
          </w:p>
        </w:tc>
      </w:tr>
      <w:tr>
        <w:tc>
          <w:tcPr>
            <w:tcW w:type="dxa" w:w="1282"/>
          </w:tcPr>
          <w:p>
            <w:pPr>
              <w:spacing w:after="50" w:before="50" w:line="252" w:lineRule="auto"/>
            </w:pPr>
            <w:r>
              <w:rPr>
                <w:sz w:val="17"/>
              </w:rPr>
              <w:t>Workshops</w:t>
            </w:r>
          </w:p>
        </w:tc>
        <w:tc>
          <w:tcPr>
            <w:tcW w:type="dxa" w:w="8185"/>
          </w:tcPr>
          <w:p>
            <w:pPr>
              <w:spacing w:after="50" w:before="50" w:line="252" w:lineRule="auto"/>
            </w:pPr>
            <w:r>
              <w:rPr>
                <w:sz w:val="17"/>
              </w:rPr>
              <w:t>Certificate of Participation</w:t>
            </w:r>
          </w:p>
        </w:tc>
      </w:tr>
    </w:tbl>
    <w:p>
      <w:pPr>
        <w:spacing w:after="80" w:before="0"/>
      </w:pPr>
    </w:p>
    <w:p>
      <w:pPr>
        <w:pStyle w:val="Heading2"/>
      </w:pPr>
      <w:r>
        <w:t>6.2 What every certificate must carry</w:t>
      </w:r>
    </w:p>
    <w:p>
      <w:r>
        <w:t>Holder's name as recorded on the institution's roll; programme title and contact hours; dates and venue; certificate number from the controlled series; date of issue; signature of the Head of Curriculum; verification reference; and the mandatory statement:</w:t>
      </w:r>
    </w:p>
    <w:p>
      <w:pPr>
        <w:spacing w:before="140" w:after="140"/>
        <w:ind w:left="198" w:right="113"/>
        <w:shd w:val="clear" w:color="auto" w:fill="EAF1F4"/>
        <w:pBdr>
          <w:left w:val="single" w:sz="18" w:space="6" w:color="0E7C7B"/>
        </w:pBdr>
      </w:pPr>
      <w:r>
        <w:rPr>
          <w:i/>
          <w:sz w:val="19"/>
        </w:rPr>
        <w:t>This certificate evidences completion of training and assessment conducted by Equator ADR Institute. It is not a degree or diploma and is not a statutory qualification. It is not accredited, recognised or approved by the Mediation Council of India or by any Government authority.</w:t>
      </w:r>
    </w:p>
    <w:p>
      <w:r>
        <w:rPr>
          <w:b/>
        </w:rPr>
        <w:t>[verify — U2 and U6 before the first certificate is issued.]</w:t>
      </w:r>
    </w:p>
    <w:p>
      <w:pPr>
        <w:pStyle w:val="Heading2"/>
      </w:pPr>
      <w:r>
        <w:t>6.3 The certification register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07"/>
            <w:shd w:val="clear" w:color="auto" w:fill="10375C"/>
          </w:tcPr>
          <w:p>
            <w:pPr>
              <w:spacing w:after="50" w:before="50"/>
            </w:pPr>
            <w:r>
              <w:rPr>
                <w:b/>
                <w:color w:val="FFFFFF"/>
                <w:sz w:val="17"/>
              </w:rPr>
              <w:t>Field</w:t>
            </w:r>
          </w:p>
        </w:tc>
        <w:tc>
          <w:tcPr>
            <w:tcW w:type="dxa" w:w="7760"/>
            <w:shd w:val="clear" w:color="auto" w:fill="10375C"/>
          </w:tcPr>
          <w:p>
            <w:pPr>
              <w:spacing w:after="50" w:before="50"/>
            </w:pPr>
            <w:r>
              <w:rPr>
                <w:b/>
                <w:color w:val="FFFFFF"/>
                <w:sz w:val="17"/>
              </w:rPr>
              <w:t>Detail</w:t>
            </w:r>
          </w:p>
        </w:tc>
      </w:tr>
      <w:tr>
        <w:tc>
          <w:tcPr>
            <w:tcW w:type="dxa" w:w="1707"/>
          </w:tcPr>
          <w:p>
            <w:pPr>
              <w:spacing w:after="50" w:before="50" w:line="252" w:lineRule="auto"/>
            </w:pPr>
            <w:r>
              <w:rPr>
                <w:sz w:val="17"/>
              </w:rPr>
              <w:t>Contents</w:t>
            </w:r>
          </w:p>
        </w:tc>
        <w:tc>
          <w:tcPr>
            <w:tcW w:type="dxa" w:w="7760"/>
          </w:tcPr>
          <w:p>
            <w:pPr>
              <w:spacing w:after="50" w:before="50" w:line="252" w:lineRule="auto"/>
            </w:pPr>
            <w:r>
              <w:rPr>
                <w:sz w:val="17"/>
              </w:rPr>
              <w:t>Certificate number, name, programme, hours, dates, venue, institution, assessment outcome, date of issue, issuing officer</w:t>
            </w:r>
          </w:p>
        </w:tc>
      </w:tr>
      <w:tr>
        <w:tc>
          <w:tcPr>
            <w:tcW w:type="dxa" w:w="1707"/>
            <w:shd w:val="clear" w:color="auto" w:fill="EAF1F4"/>
          </w:tcPr>
          <w:p>
            <w:pPr>
              <w:spacing w:after="50" w:before="50" w:line="252" w:lineRule="auto"/>
            </w:pPr>
            <w:r>
              <w:rPr>
                <w:sz w:val="17"/>
              </w:rPr>
              <w:t>Retention</w:t>
            </w:r>
          </w:p>
        </w:tc>
        <w:tc>
          <w:tcPr>
            <w:tcW w:type="dxa" w:w="7760"/>
            <w:shd w:val="clear" w:color="auto" w:fill="EAF1F4"/>
          </w:tcPr>
          <w:p>
            <w:pPr>
              <w:spacing w:after="50" w:before="50" w:line="252" w:lineRule="auto"/>
            </w:pPr>
            <w:r>
              <w:rPr>
                <w:sz w:val="17"/>
              </w:rPr>
              <w:t>Permanent, in the minimum data set necessary for verification</w:t>
            </w:r>
          </w:p>
        </w:tc>
      </w:tr>
      <w:tr>
        <w:tc>
          <w:tcPr>
            <w:tcW w:type="dxa" w:w="1707"/>
          </w:tcPr>
          <w:p>
            <w:pPr>
              <w:spacing w:after="50" w:before="50" w:line="252" w:lineRule="auto"/>
            </w:pPr>
            <w:r>
              <w:rPr>
                <w:sz w:val="17"/>
              </w:rPr>
              <w:t>Verification</w:t>
            </w:r>
          </w:p>
        </w:tc>
        <w:tc>
          <w:tcPr>
            <w:tcW w:type="dxa" w:w="7760"/>
          </w:tcPr>
          <w:p>
            <w:pPr>
              <w:spacing w:after="50" w:before="50" w:line="252" w:lineRule="auto"/>
            </w:pPr>
            <w:r>
              <w:rPr>
                <w:sz w:val="17"/>
              </w:rPr>
              <w:t>On written request, Equator confirms whether a certificate of the number given was issued to the named person, and nothing further</w:t>
            </w:r>
          </w:p>
        </w:tc>
      </w:tr>
      <w:tr>
        <w:tc>
          <w:tcPr>
            <w:tcW w:type="dxa" w:w="1707"/>
            <w:shd w:val="clear" w:color="auto" w:fill="EAF1F4"/>
          </w:tcPr>
          <w:p>
            <w:pPr>
              <w:spacing w:after="50" w:before="50" w:line="252" w:lineRule="auto"/>
            </w:pPr>
            <w:r>
              <w:rPr>
                <w:sz w:val="17"/>
              </w:rPr>
              <w:t>Duplicates</w:t>
            </w:r>
          </w:p>
        </w:tc>
        <w:tc>
          <w:tcPr>
            <w:tcW w:type="dxa" w:w="7760"/>
            <w:shd w:val="clear" w:color="auto" w:fill="EAF1F4"/>
          </w:tcPr>
          <w:p>
            <w:pPr>
              <w:spacing w:after="50" w:before="50" w:line="252" w:lineRule="auto"/>
            </w:pPr>
            <w:r>
              <w:rPr>
                <w:sz w:val="17"/>
              </w:rPr>
              <w:t>Issued on written application with identity verification, marked DUPLICATE, and recorded</w:t>
            </w:r>
          </w:p>
        </w:tc>
      </w:tr>
      <w:tr>
        <w:tc>
          <w:tcPr>
            <w:tcW w:type="dxa" w:w="1707"/>
          </w:tcPr>
          <w:p>
            <w:pPr>
              <w:spacing w:after="50" w:before="50" w:line="252" w:lineRule="auto"/>
            </w:pPr>
            <w:r>
              <w:rPr>
                <w:sz w:val="17"/>
              </w:rPr>
              <w:t>Revocation</w:t>
            </w:r>
          </w:p>
        </w:tc>
        <w:tc>
          <w:tcPr>
            <w:tcW w:type="dxa" w:w="7760"/>
          </w:tcPr>
          <w:p>
            <w:pPr>
              <w:spacing w:after="50" w:before="50" w:line="252" w:lineRule="auto"/>
            </w:pPr>
            <w:r>
              <w:rPr>
                <w:sz w:val="17"/>
              </w:rPr>
              <w:t>Recorded with the reason and the date</w:t>
            </w:r>
          </w:p>
        </w:tc>
      </w:tr>
    </w:tbl>
    <w:p>
      <w:pPr>
        <w:spacing w:after="80" w:before="0"/>
      </w:pPr>
    </w:p>
    <w:p>
      <w:pPr>
        <w:spacing w:before="80" w:after="160"/>
        <w:pBdr>
          <w:bottom w:val="single" w:sz="6" w:space="1" w:color="C9D6DE"/>
        </w:pBdr>
      </w:pPr>
    </w:p>
    <w:p>
      <w:pPr>
        <w:pStyle w:val="Heading1"/>
        <w:pBdr>
          <w:bottom w:val="single" w:sz="8" w:space="4" w:color="C9D6DE"/>
        </w:pBdr>
      </w:pPr>
      <w:r>
        <w:t>7. Appeals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360"/>
            <w:shd w:val="clear" w:color="auto" w:fill="10375C"/>
          </w:tcPr>
          <w:p>
            <w:pPr>
              <w:spacing w:after="50" w:before="50"/>
            </w:pPr>
            <w:r>
              <w:rPr>
                <w:b/>
                <w:color w:val="FFFFFF"/>
                <w:sz w:val="17"/>
              </w:rPr>
              <w:t>Ground</w:t>
            </w:r>
          </w:p>
        </w:tc>
        <w:tc>
          <w:tcPr>
            <w:tcW w:type="dxa" w:w="1108"/>
            <w:shd w:val="clear" w:color="auto" w:fill="10375C"/>
          </w:tcPr>
          <w:p>
            <w:pPr>
              <w:spacing w:after="50" w:before="50"/>
            </w:pPr>
            <w:r>
              <w:rPr>
                <w:b/>
                <w:color w:val="FFFFFF"/>
                <w:sz w:val="17"/>
              </w:rPr>
              <w:t>Available</w:t>
            </w:r>
          </w:p>
        </w:tc>
      </w:tr>
      <w:tr>
        <w:tc>
          <w:tcPr>
            <w:tcW w:type="dxa" w:w="8360"/>
          </w:tcPr>
          <w:p>
            <w:pPr>
              <w:spacing w:after="50" w:before="50" w:line="252" w:lineRule="auto"/>
            </w:pPr>
            <w:r>
              <w:rPr>
                <w:sz w:val="17"/>
              </w:rPr>
              <w:t>Procedural irregularity in the conduct of the assessment</w:t>
            </w:r>
          </w:p>
        </w:tc>
        <w:tc>
          <w:tcPr>
            <w:tcW w:type="dxa" w:w="1108"/>
          </w:tcPr>
          <w:p>
            <w:pPr>
              <w:spacing w:after="50" w:before="50" w:line="252" w:lineRule="auto"/>
            </w:pPr>
            <w:r>
              <w:rPr>
                <w:sz w:val="17"/>
              </w:rPr>
              <w:t>Yes</w:t>
            </w:r>
          </w:p>
        </w:tc>
      </w:tr>
      <w:tr>
        <w:tc>
          <w:tcPr>
            <w:tcW w:type="dxa" w:w="8360"/>
            <w:shd w:val="clear" w:color="auto" w:fill="EAF1F4"/>
          </w:tcPr>
          <w:p>
            <w:pPr>
              <w:spacing w:after="50" w:before="50" w:line="252" w:lineRule="auto"/>
            </w:pPr>
            <w:r>
              <w:rPr>
                <w:sz w:val="17"/>
              </w:rPr>
              <w:t>Assessment not conducted in accordance with the published rubric</w:t>
            </w:r>
          </w:p>
        </w:tc>
        <w:tc>
          <w:tcPr>
            <w:tcW w:type="dxa" w:w="1108"/>
            <w:shd w:val="clear" w:color="auto" w:fill="EAF1F4"/>
          </w:tcPr>
          <w:p>
            <w:pPr>
              <w:spacing w:after="50" w:before="50" w:line="252" w:lineRule="auto"/>
            </w:pPr>
            <w:r>
              <w:rPr>
                <w:sz w:val="17"/>
              </w:rPr>
              <w:t>Yes</w:t>
            </w:r>
          </w:p>
        </w:tc>
      </w:tr>
      <w:tr>
        <w:tc>
          <w:tcPr>
            <w:tcW w:type="dxa" w:w="8360"/>
          </w:tcPr>
          <w:p>
            <w:pPr>
              <w:spacing w:after="50" w:before="50" w:line="252" w:lineRule="auto"/>
            </w:pPr>
            <w:r>
              <w:rPr>
                <w:sz w:val="17"/>
              </w:rPr>
              <w:t>Mitigating circumstances not previously disclosed, with evidence</w:t>
            </w:r>
          </w:p>
        </w:tc>
        <w:tc>
          <w:tcPr>
            <w:tcW w:type="dxa" w:w="1108"/>
          </w:tcPr>
          <w:p>
            <w:pPr>
              <w:spacing w:after="50" w:before="50" w:line="252" w:lineRule="auto"/>
            </w:pPr>
            <w:r>
              <w:rPr>
                <w:sz w:val="17"/>
              </w:rPr>
              <w:t>Yes</w:t>
            </w:r>
          </w:p>
        </w:tc>
      </w:tr>
      <w:tr>
        <w:tc>
          <w:tcPr>
            <w:tcW w:type="dxa" w:w="8360"/>
            <w:shd w:val="clear" w:color="auto" w:fill="EAF1F4"/>
          </w:tcPr>
          <w:p>
            <w:pPr>
              <w:spacing w:after="50" w:before="50" w:line="252" w:lineRule="auto"/>
            </w:pPr>
            <w:r>
              <w:rPr>
                <w:sz w:val="17"/>
              </w:rPr>
              <w:t>Disagreement with the academic judgement of the assessor</w:t>
            </w:r>
          </w:p>
        </w:tc>
        <w:tc>
          <w:tcPr>
            <w:tcW w:type="dxa" w:w="1108"/>
            <w:shd w:val="clear" w:color="auto" w:fill="EAF1F4"/>
          </w:tcPr>
          <w:p>
            <w:pPr>
              <w:spacing w:after="50" w:before="50" w:line="252" w:lineRule="auto"/>
            </w:pPr>
            <w:r>
              <w:rPr>
                <w:b/>
                <w:sz w:val="17"/>
              </w:rPr>
              <w:t>No</w:t>
            </w:r>
          </w:p>
        </w:tc>
      </w:tr>
    </w:tbl>
    <w:p>
      <w:pPr>
        <w:spacing w:after="80" w:before="0"/>
      </w:pP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Stage</w:t>
            </w:r>
          </w:p>
        </w:tc>
        <w:tc>
          <w:tcPr>
            <w:tcW w:type="dxa" w:w="6121"/>
            <w:shd w:val="clear" w:color="auto" w:fill="10375C"/>
          </w:tcPr>
          <w:p>
            <w:pPr>
              <w:spacing w:after="50" w:before="50"/>
            </w:pPr>
            <w:r>
              <w:rPr>
                <w:b/>
                <w:color w:val="FFFFFF"/>
                <w:sz w:val="17"/>
              </w:rPr>
              <w:t>Process</w:t>
            </w:r>
          </w:p>
        </w:tc>
        <w:tc>
          <w:tcPr>
            <w:tcW w:type="dxa" w:w="2734"/>
            <w:shd w:val="clear" w:color="auto" w:fill="10375C"/>
          </w:tcPr>
          <w:p>
            <w:pPr>
              <w:spacing w:after="50" w:before="50"/>
            </w:pPr>
            <w:r>
              <w:rPr>
                <w:b/>
                <w:color w:val="FFFFFF"/>
                <w:sz w:val="17"/>
              </w:rPr>
              <w:t>Time</w:t>
            </w:r>
          </w:p>
        </w:tc>
      </w:tr>
      <w:tr>
        <w:tc>
          <w:tcPr>
            <w:tcW w:type="dxa" w:w="850"/>
          </w:tcPr>
          <w:p>
            <w:pPr>
              <w:spacing w:after="50" w:before="50" w:line="252" w:lineRule="auto"/>
            </w:pPr>
            <w:r>
              <w:rPr>
                <w:sz w:val="17"/>
              </w:rPr>
              <w:t>1</w:t>
            </w:r>
          </w:p>
        </w:tc>
        <w:tc>
          <w:tcPr>
            <w:tcW w:type="dxa" w:w="6121"/>
          </w:tcPr>
          <w:p>
            <w:pPr>
              <w:spacing w:after="50" w:before="50" w:line="252" w:lineRule="auto"/>
            </w:pPr>
            <w:r>
              <w:rPr>
                <w:sz w:val="17"/>
              </w:rPr>
              <w:t>Written appeal to the Head of Curriculum, stating the ground and the evidence</w:t>
            </w:r>
          </w:p>
        </w:tc>
        <w:tc>
          <w:tcPr>
            <w:tcW w:type="dxa" w:w="2734"/>
          </w:tcPr>
          <w:p>
            <w:pPr>
              <w:spacing w:after="50" w:before="50" w:line="252" w:lineRule="auto"/>
            </w:pPr>
            <w:r>
              <w:rPr>
                <w:sz w:val="17"/>
              </w:rPr>
              <w:t>Within 14 days of the result</w:t>
            </w:r>
          </w:p>
        </w:tc>
      </w:tr>
      <w:tr>
        <w:tc>
          <w:tcPr>
            <w:tcW w:type="dxa" w:w="850"/>
            <w:shd w:val="clear" w:color="auto" w:fill="EAF1F4"/>
          </w:tcPr>
          <w:p>
            <w:pPr>
              <w:spacing w:after="50" w:before="50" w:line="252" w:lineRule="auto"/>
            </w:pPr>
            <w:r>
              <w:rPr>
                <w:sz w:val="17"/>
              </w:rPr>
              <w:t>2</w:t>
            </w:r>
          </w:p>
        </w:tc>
        <w:tc>
          <w:tcPr>
            <w:tcW w:type="dxa" w:w="6121"/>
            <w:shd w:val="clear" w:color="auto" w:fill="EAF1F4"/>
          </w:tcPr>
          <w:p>
            <w:pPr>
              <w:spacing w:after="50" w:before="50" w:line="252" w:lineRule="auto"/>
            </w:pPr>
            <w:r>
              <w:rPr>
                <w:sz w:val="17"/>
              </w:rPr>
              <w:t>Review by a person not involved in the original assessment</w:t>
            </w:r>
          </w:p>
        </w:tc>
        <w:tc>
          <w:tcPr>
            <w:tcW w:type="dxa" w:w="2734"/>
            <w:shd w:val="clear" w:color="auto" w:fill="EAF1F4"/>
          </w:tcPr>
          <w:p>
            <w:pPr>
              <w:spacing w:after="50" w:before="50" w:line="252" w:lineRule="auto"/>
            </w:pPr>
            <w:r>
              <w:rPr>
                <w:sz w:val="17"/>
              </w:rPr>
              <w:t>Within 21 days</w:t>
            </w:r>
          </w:p>
        </w:tc>
      </w:tr>
      <w:tr>
        <w:tc>
          <w:tcPr>
            <w:tcW w:type="dxa" w:w="850"/>
          </w:tcPr>
          <w:p>
            <w:pPr>
              <w:spacing w:after="50" w:before="50" w:line="252" w:lineRule="auto"/>
            </w:pPr>
            <w:r>
              <w:rPr>
                <w:sz w:val="17"/>
              </w:rPr>
              <w:t>3</w:t>
            </w:r>
          </w:p>
        </w:tc>
        <w:tc>
          <w:tcPr>
            <w:tcW w:type="dxa" w:w="6121"/>
          </w:tcPr>
          <w:p>
            <w:pPr>
              <w:spacing w:after="50" w:before="50" w:line="252" w:lineRule="auto"/>
            </w:pPr>
            <w:r>
              <w:rPr>
                <w:sz w:val="17"/>
              </w:rPr>
              <w:t>Appeal to the Curriculum and Certification Committee</w:t>
            </w:r>
          </w:p>
        </w:tc>
        <w:tc>
          <w:tcPr>
            <w:tcW w:type="dxa" w:w="2734"/>
          </w:tcPr>
          <w:p>
            <w:pPr>
              <w:spacing w:after="50" w:before="50" w:line="252" w:lineRule="auto"/>
            </w:pPr>
            <w:r>
              <w:rPr>
                <w:sz w:val="17"/>
              </w:rPr>
              <w:t>Within 14 days of stage 2</w:t>
            </w:r>
          </w:p>
        </w:tc>
      </w:tr>
      <w:tr>
        <w:tc>
          <w:tcPr>
            <w:tcW w:type="dxa" w:w="850"/>
            <w:shd w:val="clear" w:color="auto" w:fill="EAF1F4"/>
          </w:tcPr>
          <w:p>
            <w:pPr>
              <w:spacing w:after="50" w:before="50" w:line="252" w:lineRule="auto"/>
            </w:pPr>
            <w:r>
              <w:rPr>
                <w:sz w:val="17"/>
              </w:rPr>
              <w:t>4</w:t>
            </w:r>
          </w:p>
        </w:tc>
        <w:tc>
          <w:tcPr>
            <w:tcW w:type="dxa" w:w="6121"/>
            <w:shd w:val="clear" w:color="auto" w:fill="EAF1F4"/>
          </w:tcPr>
          <w:p>
            <w:pPr>
              <w:spacing w:after="50" w:before="50" w:line="252" w:lineRule="auto"/>
            </w:pPr>
            <w:r>
              <w:rPr>
                <w:sz w:val="17"/>
              </w:rPr>
              <w:t>Decision of the Committee, which is final</w:t>
            </w:r>
          </w:p>
        </w:tc>
        <w:tc>
          <w:tcPr>
            <w:tcW w:type="dxa" w:w="2734"/>
            <w:shd w:val="clear" w:color="auto" w:fill="EAF1F4"/>
          </w:tcPr>
          <w:p>
            <w:pPr>
              <w:spacing w:after="50" w:before="50" w:line="252" w:lineRule="auto"/>
            </w:pPr>
            <w:r>
              <w:rPr>
                <w:sz w:val="17"/>
              </w:rPr>
              <w:t>Within 30 days</w:t>
            </w:r>
          </w:p>
        </w:tc>
      </w:tr>
    </w:tbl>
    <w:p>
      <w:pPr>
        <w:spacing w:after="80" w:before="0"/>
      </w:pPr>
    </w:p>
    <w:p>
      <w:r>
        <w:t xml:space="preserve">A fee of ₹[●] is payable at stage 3, refunded if the appeal succeeds. Marks may be raised, confirmed or </w:t>
      </w:r>
      <w:r>
        <w:rPr>
          <w:b/>
        </w:rPr>
        <w:t>lowered</w:t>
      </w:r>
      <w:r>
        <w:t xml:space="preserve"> on appeal, and the appellant is told this before proceeding.</w:t>
      </w:r>
    </w:p>
    <w:p>
      <w:pPr>
        <w:spacing w:before="80" w:after="160"/>
        <w:pBdr>
          <w:bottom w:val="single" w:sz="6" w:space="1" w:color="C9D6DE"/>
        </w:pBdr>
      </w:pPr>
    </w:p>
    <w:p>
      <w:pPr>
        <w:pStyle w:val="Heading1"/>
        <w:pBdr>
          <w:bottom w:val="single" w:sz="8" w:space="4" w:color="C9D6DE"/>
        </w:pBdr>
      </w:pPr>
      <w:r>
        <w:t>8. Reassessment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223"/>
            <w:shd w:val="clear" w:color="auto" w:fill="10375C"/>
          </w:tcPr>
          <w:p>
            <w:pPr>
              <w:spacing w:after="50" w:before="50"/>
            </w:pPr>
            <w:r>
              <w:rPr>
                <w:b/>
                <w:color w:val="FFFFFF"/>
                <w:sz w:val="17"/>
              </w:rPr>
              <w:t>Programme</w:t>
            </w:r>
          </w:p>
        </w:tc>
        <w:tc>
          <w:tcPr>
            <w:tcW w:type="dxa" w:w="8245"/>
            <w:shd w:val="clear" w:color="auto" w:fill="10375C"/>
          </w:tcPr>
          <w:p>
            <w:pPr>
              <w:spacing w:after="50" w:before="50"/>
            </w:pPr>
            <w:r>
              <w:rPr>
                <w:b/>
                <w:color w:val="FFFFFF"/>
                <w:sz w:val="17"/>
              </w:rPr>
              <w:t>Reassessment</w:t>
            </w:r>
          </w:p>
        </w:tc>
      </w:tr>
      <w:tr>
        <w:tc>
          <w:tcPr>
            <w:tcW w:type="dxa" w:w="1223"/>
          </w:tcPr>
          <w:p>
            <w:pPr>
              <w:spacing w:after="50" w:before="50" w:line="252" w:lineRule="auto"/>
            </w:pPr>
            <w:r>
              <w:rPr>
                <w:sz w:val="17"/>
              </w:rPr>
              <w:t>T-40</w:t>
            </w:r>
          </w:p>
        </w:tc>
        <w:tc>
          <w:tcPr>
            <w:tcW w:type="dxa" w:w="8245"/>
          </w:tcPr>
          <w:p>
            <w:pPr>
              <w:spacing w:after="50" w:before="50" w:line="252" w:lineRule="auto"/>
            </w:pPr>
            <w:r>
              <w:rPr>
                <w:sz w:val="17"/>
              </w:rPr>
              <w:t>One reassessment of the failed component within six months, on payment of ₹[●]. A second failure requires the programme to be repeated</w:t>
            </w:r>
          </w:p>
        </w:tc>
      </w:tr>
      <w:tr>
        <w:tc>
          <w:tcPr>
            <w:tcW w:type="dxa" w:w="1223"/>
            <w:shd w:val="clear" w:color="auto" w:fill="EAF1F4"/>
          </w:tcPr>
          <w:p>
            <w:pPr>
              <w:spacing w:after="50" w:before="50" w:line="252" w:lineRule="auto"/>
            </w:pPr>
            <w:r>
              <w:rPr>
                <w:sz w:val="17"/>
              </w:rPr>
              <w:t>T-20</w:t>
            </w:r>
          </w:p>
        </w:tc>
        <w:tc>
          <w:tcPr>
            <w:tcW w:type="dxa" w:w="8245"/>
            <w:shd w:val="clear" w:color="auto" w:fill="EAF1F4"/>
          </w:tcPr>
          <w:p>
            <w:pPr>
              <w:spacing w:after="50" w:before="50" w:line="252" w:lineRule="auto"/>
            </w:pPr>
            <w:r>
              <w:rPr>
                <w:sz w:val="17"/>
              </w:rPr>
              <w:t>One reassessment of the simulation not earlier than three months later, after a further [●] supervised mediations</w:t>
            </w:r>
          </w:p>
        </w:tc>
      </w:tr>
      <w:tr>
        <w:tc>
          <w:tcPr>
            <w:tcW w:type="dxa" w:w="1223"/>
          </w:tcPr>
          <w:p>
            <w:pPr>
              <w:spacing w:after="50" w:before="50" w:line="252" w:lineRule="auto"/>
            </w:pPr>
            <w:r>
              <w:rPr>
                <w:sz w:val="17"/>
              </w:rPr>
              <w:t>C-CERT</w:t>
            </w:r>
          </w:p>
        </w:tc>
        <w:tc>
          <w:tcPr>
            <w:tcW w:type="dxa" w:w="8245"/>
          </w:tcPr>
          <w:p>
            <w:pPr>
              <w:spacing w:after="50" w:before="50" w:line="252" w:lineRule="auto"/>
            </w:pPr>
            <w:r>
              <w:rPr>
                <w:sz w:val="17"/>
              </w:rPr>
              <w:t>Per the institution's own regulations, which prevail</w:t>
            </w:r>
          </w:p>
        </w:tc>
      </w:tr>
    </w:tbl>
    <w:p>
      <w:pPr>
        <w:spacing w:after="80" w:before="0"/>
      </w:pPr>
    </w:p>
    <w:p>
      <w:pPr>
        <w:spacing w:before="80" w:after="160"/>
        <w:pBdr>
          <w:bottom w:val="single" w:sz="6" w:space="1" w:color="C9D6DE"/>
        </w:pBdr>
      </w:pPr>
    </w:p>
    <w:p>
      <w:pPr>
        <w:pStyle w:val="Heading1"/>
        <w:pBdr>
          <w:bottom w:val="single" w:sz="8" w:space="4" w:color="C9D6DE"/>
        </w:pBdr>
      </w:pPr>
      <w:r>
        <w:t>9. Malpractice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484"/>
            <w:shd w:val="clear" w:color="auto" w:fill="10375C"/>
          </w:tcPr>
          <w:p>
            <w:pPr>
              <w:spacing w:after="50" w:before="50"/>
            </w:pPr>
            <w:r>
              <w:rPr>
                <w:b/>
                <w:color w:val="FFFFFF"/>
                <w:sz w:val="17"/>
              </w:rPr>
              <w:t>Conduct</w:t>
            </w:r>
          </w:p>
        </w:tc>
        <w:tc>
          <w:tcPr>
            <w:tcW w:type="dxa" w:w="4984"/>
            <w:shd w:val="clear" w:color="auto" w:fill="10375C"/>
          </w:tcPr>
          <w:p>
            <w:pPr>
              <w:spacing w:after="50" w:before="50"/>
            </w:pPr>
            <w:r>
              <w:rPr>
                <w:b/>
                <w:color w:val="FFFFFF"/>
                <w:sz w:val="17"/>
              </w:rPr>
              <w:t>Consequence</w:t>
            </w:r>
          </w:p>
        </w:tc>
      </w:tr>
      <w:tr>
        <w:tc>
          <w:tcPr>
            <w:tcW w:type="dxa" w:w="4484"/>
          </w:tcPr>
          <w:p>
            <w:pPr>
              <w:spacing w:after="50" w:before="50" w:line="252" w:lineRule="auto"/>
            </w:pPr>
            <w:r>
              <w:rPr>
                <w:sz w:val="17"/>
              </w:rPr>
              <w:t>Plagiarism in a written or portfolio component</w:t>
            </w:r>
          </w:p>
        </w:tc>
        <w:tc>
          <w:tcPr>
            <w:tcW w:type="dxa" w:w="4984"/>
          </w:tcPr>
          <w:p>
            <w:pPr>
              <w:spacing w:after="50" w:before="50" w:line="252" w:lineRule="auto"/>
            </w:pPr>
            <w:r>
              <w:rPr>
                <w:sz w:val="17"/>
              </w:rPr>
              <w:t>Mark of zero for the component; repeat offence, failure of the programme</w:t>
            </w:r>
          </w:p>
        </w:tc>
      </w:tr>
      <w:tr>
        <w:tc>
          <w:tcPr>
            <w:tcW w:type="dxa" w:w="4484"/>
            <w:shd w:val="clear" w:color="auto" w:fill="EAF1F4"/>
          </w:tcPr>
          <w:p>
            <w:pPr>
              <w:spacing w:after="50" w:before="50" w:line="252" w:lineRule="auto"/>
            </w:pPr>
            <w:r>
              <w:rPr>
                <w:sz w:val="17"/>
              </w:rPr>
              <w:t>Impersonation in any assessment</w:t>
            </w:r>
          </w:p>
        </w:tc>
        <w:tc>
          <w:tcPr>
            <w:tcW w:type="dxa" w:w="4984"/>
            <w:shd w:val="clear" w:color="auto" w:fill="EAF1F4"/>
          </w:tcPr>
          <w:p>
            <w:pPr>
              <w:spacing w:after="50" w:before="50" w:line="252" w:lineRule="auto"/>
            </w:pPr>
            <w:r>
              <w:rPr>
                <w:sz w:val="17"/>
              </w:rPr>
              <w:t>Failure; permanent exclusion from Equator programmes; institution informed</w:t>
            </w:r>
          </w:p>
        </w:tc>
      </w:tr>
      <w:tr>
        <w:tc>
          <w:tcPr>
            <w:tcW w:type="dxa" w:w="4484"/>
          </w:tcPr>
          <w:p>
            <w:pPr>
              <w:spacing w:after="50" w:before="50" w:line="252" w:lineRule="auto"/>
            </w:pPr>
            <w:r>
              <w:rPr>
                <w:sz w:val="17"/>
              </w:rPr>
              <w:t>Unauthorised material in a closed assessment</w:t>
            </w:r>
          </w:p>
        </w:tc>
        <w:tc>
          <w:tcPr>
            <w:tcW w:type="dxa" w:w="4984"/>
          </w:tcPr>
          <w:p>
            <w:pPr>
              <w:spacing w:after="50" w:before="50" w:line="252" w:lineRule="auto"/>
            </w:pPr>
            <w:r>
              <w:rPr>
                <w:sz w:val="17"/>
              </w:rPr>
              <w:t>Mark of zero for the component</w:t>
            </w:r>
          </w:p>
        </w:tc>
      </w:tr>
      <w:tr>
        <w:tc>
          <w:tcPr>
            <w:tcW w:type="dxa" w:w="4484"/>
            <w:shd w:val="clear" w:color="auto" w:fill="EAF1F4"/>
          </w:tcPr>
          <w:p>
            <w:pPr>
              <w:spacing w:after="50" w:before="50" w:line="252" w:lineRule="auto"/>
            </w:pPr>
            <w:r>
              <w:rPr>
                <w:sz w:val="17"/>
              </w:rPr>
              <w:t>Fabrication of a practice log or supervisor signature</w:t>
            </w:r>
          </w:p>
        </w:tc>
        <w:tc>
          <w:tcPr>
            <w:tcW w:type="dxa" w:w="4984"/>
            <w:shd w:val="clear" w:color="auto" w:fill="EAF1F4"/>
          </w:tcPr>
          <w:p>
            <w:pPr>
              <w:spacing w:after="50" w:before="50" w:line="252" w:lineRule="auto"/>
            </w:pPr>
            <w:r>
              <w:rPr>
                <w:sz w:val="17"/>
              </w:rPr>
              <w:t>Failure; permanent exclusion; institution informed; supervisor informed</w:t>
            </w:r>
          </w:p>
        </w:tc>
      </w:tr>
      <w:tr>
        <w:tc>
          <w:tcPr>
            <w:tcW w:type="dxa" w:w="4484"/>
          </w:tcPr>
          <w:p>
            <w:pPr>
              <w:spacing w:after="50" w:before="50" w:line="252" w:lineRule="auto"/>
            </w:pPr>
            <w:r>
              <w:rPr>
                <w:sz w:val="17"/>
              </w:rPr>
              <w:t>Breach of confidentiality in a portfolio</w:t>
            </w:r>
          </w:p>
        </w:tc>
        <w:tc>
          <w:tcPr>
            <w:tcW w:type="dxa" w:w="4984"/>
          </w:tcPr>
          <w:p>
            <w:pPr>
              <w:spacing w:after="50" w:before="50" w:line="252" w:lineRule="auto"/>
            </w:pPr>
            <w:r>
              <w:rPr>
                <w:sz w:val="17"/>
              </w:rPr>
              <w:t>Component returned unmarked; breach investigated under the confidentiality policy</w:t>
            </w:r>
          </w:p>
        </w:tc>
      </w:tr>
      <w:tr>
        <w:tc>
          <w:tcPr>
            <w:tcW w:type="dxa" w:w="4484"/>
            <w:shd w:val="clear" w:color="auto" w:fill="EAF1F4"/>
          </w:tcPr>
          <w:p>
            <w:pPr>
              <w:spacing w:after="50" w:before="50" w:line="252" w:lineRule="auto"/>
            </w:pPr>
            <w:r>
              <w:rPr>
                <w:sz w:val="17"/>
              </w:rPr>
              <w:t>Falsification of attendance</w:t>
            </w:r>
          </w:p>
        </w:tc>
        <w:tc>
          <w:tcPr>
            <w:tcW w:type="dxa" w:w="4984"/>
            <w:shd w:val="clear" w:color="auto" w:fill="EAF1F4"/>
          </w:tcPr>
          <w:p>
            <w:pPr>
              <w:spacing w:after="50" w:before="50" w:line="252" w:lineRule="auto"/>
            </w:pPr>
            <w:r>
              <w:rPr>
                <w:sz w:val="17"/>
              </w:rPr>
              <w:t>Failure of the attendance gate; not assessed</w:t>
            </w:r>
          </w:p>
        </w:tc>
      </w:tr>
    </w:tbl>
    <w:p>
      <w:pPr>
        <w:spacing w:after="80" w:before="0"/>
      </w:pPr>
    </w:p>
    <w:p>
      <w:r>
        <w:t>Every allegation is investigated by a person not involved in the assessment; the candidate is given the allegation in writing and an opportunity to respond; the decision and reasons are recorded; and the appeal route in section 7 applies.</w:t>
      </w:r>
    </w:p>
    <w:p>
      <w:pPr>
        <w:spacing w:before="80" w:after="160"/>
        <w:pBdr>
          <w:bottom w:val="single" w:sz="6" w:space="1" w:color="C9D6DE"/>
        </w:pBdr>
      </w:pPr>
    </w:p>
    <w:p>
      <w:pPr>
        <w:pStyle w:val="Heading1"/>
        <w:pBdr>
          <w:bottom w:val="single" w:sz="8" w:space="4" w:color="C9D6DE"/>
        </w:pBdr>
      </w:pPr>
      <w:r>
        <w:t>10. Records and retention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230"/>
            <w:shd w:val="clear" w:color="auto" w:fill="10375C"/>
          </w:tcPr>
          <w:p>
            <w:pPr>
              <w:spacing w:after="50" w:before="50"/>
            </w:pPr>
            <w:r>
              <w:rPr>
                <w:b/>
                <w:color w:val="FFFFFF"/>
                <w:sz w:val="17"/>
              </w:rPr>
              <w:t>Record</w:t>
            </w:r>
          </w:p>
        </w:tc>
        <w:tc>
          <w:tcPr>
            <w:tcW w:type="dxa" w:w="3237"/>
            <w:shd w:val="clear" w:color="auto" w:fill="10375C"/>
          </w:tcPr>
          <w:p>
            <w:pPr>
              <w:spacing w:after="50" w:before="50"/>
            </w:pPr>
            <w:r>
              <w:rPr>
                <w:b/>
                <w:color w:val="FFFFFF"/>
                <w:sz w:val="17"/>
              </w:rPr>
              <w:t>Retention</w:t>
            </w:r>
          </w:p>
        </w:tc>
      </w:tr>
      <w:tr>
        <w:tc>
          <w:tcPr>
            <w:tcW w:type="dxa" w:w="6230"/>
          </w:tcPr>
          <w:p>
            <w:pPr>
              <w:spacing w:after="50" w:before="50" w:line="252" w:lineRule="auto"/>
            </w:pPr>
            <w:r>
              <w:rPr>
                <w:sz w:val="17"/>
              </w:rPr>
              <w:t>Attendance registers</w:t>
            </w:r>
          </w:p>
        </w:tc>
        <w:tc>
          <w:tcPr>
            <w:tcW w:type="dxa" w:w="3237"/>
          </w:tcPr>
          <w:p>
            <w:pPr>
              <w:spacing w:after="50" w:before="50" w:line="252" w:lineRule="auto"/>
            </w:pPr>
            <w:r>
              <w:rPr>
                <w:sz w:val="17"/>
              </w:rPr>
              <w:t>7 years</w:t>
            </w:r>
          </w:p>
        </w:tc>
      </w:tr>
      <w:tr>
        <w:tc>
          <w:tcPr>
            <w:tcW w:type="dxa" w:w="6230"/>
            <w:shd w:val="clear" w:color="auto" w:fill="EAF1F4"/>
          </w:tcPr>
          <w:p>
            <w:pPr>
              <w:spacing w:after="50" w:before="50" w:line="252" w:lineRule="auto"/>
            </w:pPr>
            <w:r>
              <w:rPr>
                <w:sz w:val="17"/>
              </w:rPr>
              <w:t>Marked scripts and assessment records</w:t>
            </w:r>
          </w:p>
        </w:tc>
        <w:tc>
          <w:tcPr>
            <w:tcW w:type="dxa" w:w="3237"/>
            <w:shd w:val="clear" w:color="auto" w:fill="EAF1F4"/>
          </w:tcPr>
          <w:p>
            <w:pPr>
              <w:spacing w:after="50" w:before="50" w:line="252" w:lineRule="auto"/>
            </w:pPr>
            <w:r>
              <w:rPr>
                <w:sz w:val="17"/>
              </w:rPr>
              <w:t>3 years</w:t>
            </w:r>
          </w:p>
        </w:tc>
      </w:tr>
      <w:tr>
        <w:tc>
          <w:tcPr>
            <w:tcW w:type="dxa" w:w="6230"/>
          </w:tcPr>
          <w:p>
            <w:pPr>
              <w:spacing w:after="50" w:before="50" w:line="252" w:lineRule="auto"/>
            </w:pPr>
            <w:r>
              <w:rPr>
                <w:sz w:val="17"/>
              </w:rPr>
              <w:t>Simulation assessment sheets</w:t>
            </w:r>
          </w:p>
        </w:tc>
        <w:tc>
          <w:tcPr>
            <w:tcW w:type="dxa" w:w="3237"/>
          </w:tcPr>
          <w:p>
            <w:pPr>
              <w:spacing w:after="50" w:before="50" w:line="252" w:lineRule="auto"/>
            </w:pPr>
            <w:r>
              <w:rPr>
                <w:sz w:val="17"/>
              </w:rPr>
              <w:t>3 years</w:t>
            </w:r>
          </w:p>
        </w:tc>
      </w:tr>
      <w:tr>
        <w:tc>
          <w:tcPr>
            <w:tcW w:type="dxa" w:w="6230"/>
            <w:shd w:val="clear" w:color="auto" w:fill="EAF1F4"/>
          </w:tcPr>
          <w:p>
            <w:pPr>
              <w:spacing w:after="50" w:before="50" w:line="252" w:lineRule="auto"/>
            </w:pPr>
            <w:r>
              <w:rPr>
                <w:sz w:val="17"/>
              </w:rPr>
              <w:t>Moderation and calibration records</w:t>
            </w:r>
          </w:p>
        </w:tc>
        <w:tc>
          <w:tcPr>
            <w:tcW w:type="dxa" w:w="3237"/>
            <w:shd w:val="clear" w:color="auto" w:fill="EAF1F4"/>
          </w:tcPr>
          <w:p>
            <w:pPr>
              <w:spacing w:after="50" w:before="50" w:line="252" w:lineRule="auto"/>
            </w:pPr>
            <w:r>
              <w:rPr>
                <w:sz w:val="17"/>
              </w:rPr>
              <w:t>3 years</w:t>
            </w:r>
          </w:p>
        </w:tc>
      </w:tr>
      <w:tr>
        <w:tc>
          <w:tcPr>
            <w:tcW w:type="dxa" w:w="6230"/>
          </w:tcPr>
          <w:p>
            <w:pPr>
              <w:spacing w:after="50" w:before="50" w:line="252" w:lineRule="auto"/>
            </w:pPr>
            <w:r>
              <w:rPr>
                <w:sz w:val="17"/>
              </w:rPr>
              <w:t>Certification register</w:t>
            </w:r>
          </w:p>
        </w:tc>
        <w:tc>
          <w:tcPr>
            <w:tcW w:type="dxa" w:w="3237"/>
          </w:tcPr>
          <w:p>
            <w:pPr>
              <w:spacing w:after="50" w:before="50" w:line="252" w:lineRule="auto"/>
            </w:pPr>
            <w:r>
              <w:rPr>
                <w:sz w:val="17"/>
              </w:rPr>
              <w:t>Permanent, minimum data set</w:t>
            </w:r>
          </w:p>
        </w:tc>
      </w:tr>
      <w:tr>
        <w:tc>
          <w:tcPr>
            <w:tcW w:type="dxa" w:w="6230"/>
            <w:shd w:val="clear" w:color="auto" w:fill="EAF1F4"/>
          </w:tcPr>
          <w:p>
            <w:pPr>
              <w:spacing w:after="50" w:before="50" w:line="252" w:lineRule="auto"/>
            </w:pPr>
            <w:r>
              <w:rPr>
                <w:sz w:val="17"/>
              </w:rPr>
              <w:t>Appeals and malpractice files</w:t>
            </w:r>
          </w:p>
        </w:tc>
        <w:tc>
          <w:tcPr>
            <w:tcW w:type="dxa" w:w="3237"/>
            <w:shd w:val="clear" w:color="auto" w:fill="EAF1F4"/>
          </w:tcPr>
          <w:p>
            <w:pPr>
              <w:spacing w:after="50" w:before="50" w:line="252" w:lineRule="auto"/>
            </w:pPr>
            <w:r>
              <w:rPr>
                <w:sz w:val="17"/>
              </w:rPr>
              <w:t>7 years</w:t>
            </w:r>
          </w:p>
        </w:tc>
      </w:tr>
      <w:tr>
        <w:tc>
          <w:tcPr>
            <w:tcW w:type="dxa" w:w="6230"/>
          </w:tcPr>
          <w:p>
            <w:pPr>
              <w:spacing w:after="50" w:before="50" w:line="252" w:lineRule="auto"/>
            </w:pPr>
            <w:r>
              <w:rPr>
                <w:sz w:val="17"/>
              </w:rPr>
              <w:t>Feedback records</w:t>
            </w:r>
          </w:p>
        </w:tc>
        <w:tc>
          <w:tcPr>
            <w:tcW w:type="dxa" w:w="3237"/>
          </w:tcPr>
          <w:p>
            <w:pPr>
              <w:spacing w:after="50" w:before="50" w:line="252" w:lineRule="auto"/>
            </w:pPr>
            <w:r>
              <w:rPr>
                <w:sz w:val="17"/>
              </w:rPr>
              <w:t>3 years</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EQ-UAP-057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Assessment, Evaluation &amp; Certification Policy</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947C74B-DC08-468B-A420-CCCD34F08DFE}"/>
</file>

<file path=customXml/itemProps3.xml><?xml version="1.0" encoding="utf-8"?>
<ds:datastoreItem xmlns:ds="http://schemas.openxmlformats.org/officeDocument/2006/customXml" ds:itemID="{50A4DBBC-5EC0-4585-A148-E1E2EF8DAAD6}"/>
</file>

<file path=customXml/itemProps4.xml><?xml version="1.0" encoding="utf-8"?>
<ds:datastoreItem xmlns:ds="http://schemas.openxmlformats.org/officeDocument/2006/customXml" ds:itemID="{308ADAD6-15B2-4BE6-8648-A90D7BF2CF9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