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Trainer Manual &amp; Facilitation Guide</w:t>
      </w:r>
    </w:p>
    <w:p>
      <w:pPr>
        <w:spacing w:after="280" w:line="276" w:lineRule="auto"/>
      </w:pPr>
      <w:r>
        <w:rPr>
          <w:rFonts w:ascii="Calibri" w:hAnsi="Calibri"/>
          <w:i/>
          <w:color w:val="3E6B8A"/>
          <w:sz w:val="25"/>
        </w:rPr>
        <w:t>How Equator programmes are delivered — preparation, facilitation, running simulations, debriefing, handling difficulty and closing out</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EQ-UAP-058</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Issued to certified trainers only.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What is expected of an Equator trainer</w:t>
      </w:r>
    </w:p>
    <w:p>
      <w:r>
        <w:t>You are not delivering a lecture. You are running a laboratory in which people practise a skill badly, in safety, until they practise it well. Almost everything that matters happens in the debrief.</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32"/>
            <w:shd w:val="clear" w:color="auto" w:fill="10375C"/>
          </w:tcPr>
          <w:p>
            <w:pPr>
              <w:spacing w:after="50" w:before="50"/>
            </w:pPr>
            <w:r>
              <w:rPr>
                <w:b/>
                <w:color w:val="FFFFFF"/>
                <w:sz w:val="17"/>
              </w:rPr>
              <w:t>Expectation</w:t>
            </w:r>
          </w:p>
        </w:tc>
        <w:tc>
          <w:tcPr>
            <w:tcW w:type="dxa" w:w="7635"/>
            <w:shd w:val="clear" w:color="auto" w:fill="10375C"/>
          </w:tcPr>
          <w:p>
            <w:pPr>
              <w:spacing w:after="50" w:before="50"/>
            </w:pPr>
            <w:r>
              <w:rPr>
                <w:b/>
                <w:color w:val="FFFFFF"/>
                <w:sz w:val="17"/>
              </w:rPr>
              <w:t>Standard</w:t>
            </w:r>
          </w:p>
        </w:tc>
      </w:tr>
      <w:tr>
        <w:tc>
          <w:tcPr>
            <w:tcW w:type="dxa" w:w="1832"/>
          </w:tcPr>
          <w:p>
            <w:pPr>
              <w:spacing w:after="50" w:before="50" w:line="252" w:lineRule="auto"/>
            </w:pPr>
            <w:r>
              <w:rPr>
                <w:sz w:val="17"/>
              </w:rPr>
              <w:t>Preparation</w:t>
            </w:r>
          </w:p>
        </w:tc>
        <w:tc>
          <w:tcPr>
            <w:tcW w:type="dxa" w:w="7635"/>
          </w:tcPr>
          <w:p>
            <w:pPr>
              <w:spacing w:after="50" w:before="50" w:line="252" w:lineRule="auto"/>
            </w:pPr>
            <w:r>
              <w:rPr>
                <w:sz w:val="17"/>
              </w:rPr>
              <w:t>Session plan read, simulations read including all confidential briefs, materials checked, room checked the day before</w:t>
            </w:r>
          </w:p>
        </w:tc>
      </w:tr>
      <w:tr>
        <w:tc>
          <w:tcPr>
            <w:tcW w:type="dxa" w:w="1832"/>
            <w:shd w:val="clear" w:color="auto" w:fill="EAF1F4"/>
          </w:tcPr>
          <w:p>
            <w:pPr>
              <w:spacing w:after="50" w:before="50" w:line="252" w:lineRule="auto"/>
            </w:pPr>
            <w:r>
              <w:rPr>
                <w:sz w:val="17"/>
              </w:rPr>
              <w:t>Punctuality</w:t>
            </w:r>
          </w:p>
        </w:tc>
        <w:tc>
          <w:tcPr>
            <w:tcW w:type="dxa" w:w="7635"/>
            <w:shd w:val="clear" w:color="auto" w:fill="EAF1F4"/>
          </w:tcPr>
          <w:p>
            <w:pPr>
              <w:spacing w:after="50" w:before="50" w:line="252" w:lineRule="auto"/>
            </w:pPr>
            <w:r>
              <w:rPr>
                <w:sz w:val="17"/>
              </w:rPr>
              <w:t>On site 60 minutes before start; never late to a session</w:t>
            </w:r>
          </w:p>
        </w:tc>
      </w:tr>
      <w:tr>
        <w:tc>
          <w:tcPr>
            <w:tcW w:type="dxa" w:w="1832"/>
          </w:tcPr>
          <w:p>
            <w:pPr>
              <w:spacing w:after="50" w:before="50" w:line="252" w:lineRule="auto"/>
            </w:pPr>
            <w:r>
              <w:rPr>
                <w:sz w:val="17"/>
              </w:rPr>
              <w:t>Airtime</w:t>
            </w:r>
          </w:p>
        </w:tc>
        <w:tc>
          <w:tcPr>
            <w:tcW w:type="dxa" w:w="7635"/>
          </w:tcPr>
          <w:p>
            <w:pPr>
              <w:spacing w:after="50" w:before="50" w:line="252" w:lineRule="auto"/>
            </w:pPr>
            <w:r>
              <w:rPr>
                <w:sz w:val="17"/>
              </w:rPr>
              <w:t>Not more than one third of contact time is you talking</w:t>
            </w:r>
          </w:p>
        </w:tc>
      </w:tr>
      <w:tr>
        <w:tc>
          <w:tcPr>
            <w:tcW w:type="dxa" w:w="1832"/>
            <w:shd w:val="clear" w:color="auto" w:fill="EAF1F4"/>
          </w:tcPr>
          <w:p>
            <w:pPr>
              <w:spacing w:after="50" w:before="50" w:line="252" w:lineRule="auto"/>
            </w:pPr>
            <w:r>
              <w:rPr>
                <w:sz w:val="17"/>
              </w:rPr>
              <w:t>Feedback</w:t>
            </w:r>
          </w:p>
        </w:tc>
        <w:tc>
          <w:tcPr>
            <w:tcW w:type="dxa" w:w="7635"/>
            <w:shd w:val="clear" w:color="auto" w:fill="EAF1F4"/>
          </w:tcPr>
          <w:p>
            <w:pPr>
              <w:spacing w:after="50" w:before="50" w:line="252" w:lineRule="auto"/>
            </w:pPr>
            <w:r>
              <w:rPr>
                <w:sz w:val="17"/>
              </w:rPr>
              <w:t>Every participant receives individual feedback at least once a day</w:t>
            </w:r>
          </w:p>
        </w:tc>
      </w:tr>
      <w:tr>
        <w:tc>
          <w:tcPr>
            <w:tcW w:type="dxa" w:w="1832"/>
          </w:tcPr>
          <w:p>
            <w:pPr>
              <w:spacing w:after="50" w:before="50" w:line="252" w:lineRule="auto"/>
            </w:pPr>
            <w:r>
              <w:rPr>
                <w:sz w:val="17"/>
              </w:rPr>
              <w:t>Records</w:t>
            </w:r>
          </w:p>
        </w:tc>
        <w:tc>
          <w:tcPr>
            <w:tcW w:type="dxa" w:w="7635"/>
          </w:tcPr>
          <w:p>
            <w:pPr>
              <w:spacing w:after="50" w:before="50" w:line="252" w:lineRule="auto"/>
            </w:pPr>
            <w:r>
              <w:rPr>
                <w:sz w:val="17"/>
              </w:rPr>
              <w:t>Attendance taken at each session; incidents recorded same day</w:t>
            </w:r>
          </w:p>
        </w:tc>
      </w:tr>
      <w:tr>
        <w:tc>
          <w:tcPr>
            <w:tcW w:type="dxa" w:w="1832"/>
            <w:shd w:val="clear" w:color="auto" w:fill="EAF1F4"/>
          </w:tcPr>
          <w:p>
            <w:pPr>
              <w:spacing w:after="50" w:before="50" w:line="252" w:lineRule="auto"/>
            </w:pPr>
            <w:r>
              <w:rPr>
                <w:sz w:val="17"/>
              </w:rPr>
              <w:t>Conduct</w:t>
            </w:r>
          </w:p>
        </w:tc>
        <w:tc>
          <w:tcPr>
            <w:tcW w:type="dxa" w:w="7635"/>
            <w:shd w:val="clear" w:color="auto" w:fill="EAF1F4"/>
          </w:tcPr>
          <w:p>
            <w:pPr>
              <w:spacing w:after="50" w:before="50" w:line="252" w:lineRule="auto"/>
            </w:pPr>
            <w:r>
              <w:rPr>
                <w:sz w:val="17"/>
              </w:rPr>
              <w:t>Code of Conduct, Safeguarding Policy and conflict rules apply throughout</w:t>
            </w:r>
          </w:p>
        </w:tc>
      </w:tr>
      <w:tr>
        <w:tc>
          <w:tcPr>
            <w:tcW w:type="dxa" w:w="1832"/>
          </w:tcPr>
          <w:p>
            <w:pPr>
              <w:spacing w:after="50" w:before="50" w:line="252" w:lineRule="auto"/>
            </w:pPr>
            <w:r>
              <w:rPr>
                <w:sz w:val="17"/>
              </w:rPr>
              <w:t>Representation</w:t>
            </w:r>
          </w:p>
        </w:tc>
        <w:tc>
          <w:tcPr>
            <w:tcW w:type="dxa" w:w="7635"/>
          </w:tcPr>
          <w:p>
            <w:pPr>
              <w:spacing w:after="50" w:before="50" w:line="252" w:lineRule="auto"/>
            </w:pPr>
            <w:r>
              <w:rPr>
                <w:sz w:val="17"/>
              </w:rPr>
              <w:t>You never state that Equator certification is recognised, accredited or approved, and you never promise placement</w:t>
            </w:r>
          </w:p>
        </w:tc>
      </w:tr>
    </w:tbl>
    <w:p>
      <w:pPr>
        <w:spacing w:after="80" w:before="0"/>
      </w:pPr>
    </w:p>
    <w:p>
      <w:pPr>
        <w:spacing w:before="80" w:after="160"/>
        <w:pBdr>
          <w:bottom w:val="single" w:sz="6" w:space="1" w:color="C9D6DE"/>
        </w:pBdr>
      </w:pPr>
    </w:p>
    <w:p>
      <w:pPr>
        <w:pStyle w:val="Heading1"/>
        <w:pBdr>
          <w:bottom w:val="single" w:sz="8" w:space="4" w:color="C9D6DE"/>
        </w:pBdr>
      </w:pPr>
      <w:r>
        <w:t>2. Before the programme</w:t>
      </w:r>
    </w:p>
    <w:p>
      <w:pPr>
        <w:pStyle w:val="Heading2"/>
      </w:pPr>
      <w:r>
        <w:t>2.1 Two weeks out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Task</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Confirm dates, venue, cohort size and participant profile with Operations</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Read the full session plan and every simulation, including all confidential briefs</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 xml:space="preserve">Confirm room layout and breakout rooms; </w:t>
            </w:r>
            <w:r>
              <w:rPr>
                <w:b/>
                <w:sz w:val="17"/>
              </w:rPr>
              <w:t>if there are no breakout rooms, escalate immediately — do not proceed and hope</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Confirm co-trainer and agree the division of sessions</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Confirm materials despatch</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Review any accessibility or language requirement notified</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Declare any conflict — a participant known to you, a connection to the institution</w:t>
            </w:r>
          </w:p>
        </w:tc>
      </w:tr>
    </w:tbl>
    <w:p>
      <w:pPr>
        <w:spacing w:after="80" w:before="0"/>
      </w:pPr>
    </w:p>
    <w:p>
      <w:pPr>
        <w:pStyle w:val="Heading2"/>
      </w:pPr>
      <w:r>
        <w:t>2.2 The day before</w:t>
      </w:r>
    </w:p>
    <w:p>
      <w:r>
        <w:t>Walk the rooms. Check furniture is movable. Check projector, board, markers and flip charts. Lay out materials. Test the breakout rooms for privacy — a simulation conducted within earshot of another group does not work. Confirm the timings of breaks and meals with the institution. Meet the nodal officer.</w:t>
      </w:r>
    </w:p>
    <w:p>
      <w:pPr>
        <w:pStyle w:val="Heading2"/>
      </w:pPr>
      <w:r>
        <w:t>2.3 First thirty minutes of day one</w:t>
      </w:r>
    </w:p>
    <w:p>
      <w:r>
        <w:t>Ground rules, agreed rather than announced. The learning contract: this is a practice room, you will be uncomfortable, discomfort is the method. Confidentiality: what is said in the room stays in the room, and simulation material is not to be shared. Undertakings signed. Names on cards. Then move — do not spend the first hour on administration.</w:t>
      </w:r>
    </w:p>
    <w:p>
      <w:pPr>
        <w:spacing w:before="80" w:after="160"/>
        <w:pBdr>
          <w:bottom w:val="single" w:sz="6" w:space="1" w:color="C9D6DE"/>
        </w:pBdr>
      </w:pPr>
    </w:p>
    <w:p>
      <w:pPr>
        <w:pStyle w:val="Heading1"/>
        <w:pBdr>
          <w:bottom w:val="single" w:sz="8" w:space="4" w:color="C9D6DE"/>
        </w:pBdr>
      </w:pPr>
      <w:r>
        <w:t>3. Facilitating</w:t>
      </w:r>
    </w:p>
    <w:p>
      <w:pPr>
        <w:pStyle w:val="Heading2"/>
      </w:pPr>
      <w:r>
        <w:t>3.1 The one-third rule</w:t>
      </w:r>
    </w:p>
    <w:p>
      <w:r>
        <w:t>Not more than one third of contact time is didactic. Where a session plan says 45 minutes of input, it means 45 minutes, and running to 70 is a failure of preparation rather than a sign of thoroughness.</w:t>
      </w:r>
    </w:p>
    <w:p>
      <w:pPr>
        <w:pStyle w:val="Heading2"/>
      </w:pPr>
      <w:r>
        <w:t>3.2 Drills before simulation</w:t>
      </w:r>
    </w:p>
    <w:p>
      <w:r>
        <w:t>Never send participants into a simulation to practise a skill they have not drilled. Drill sequence: demonstrate badly, demonstrate well, ask what differed, drill in pairs for four minutes, switch, plenary observation, drill again. Then simulate.</w:t>
      </w:r>
    </w:p>
    <w:p>
      <w:pPr>
        <w:pStyle w:val="Heading2"/>
      </w:pPr>
      <w:r>
        <w:t>3.3 Running a simulation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294"/>
            <w:shd w:val="clear" w:color="auto" w:fill="10375C"/>
          </w:tcPr>
          <w:p>
            <w:pPr>
              <w:spacing w:after="50" w:before="50"/>
            </w:pPr>
            <w:r>
              <w:rPr>
                <w:b/>
                <w:color w:val="FFFFFF"/>
                <w:sz w:val="17"/>
              </w:rPr>
              <w:t>Step</w:t>
            </w:r>
          </w:p>
        </w:tc>
        <w:tc>
          <w:tcPr>
            <w:tcW w:type="dxa" w:w="8174"/>
            <w:shd w:val="clear" w:color="auto" w:fill="10375C"/>
          </w:tcPr>
          <w:p>
            <w:pPr>
              <w:spacing w:after="50" w:before="50"/>
            </w:pPr>
            <w:r>
              <w:rPr>
                <w:b/>
                <w:color w:val="FFFFFF"/>
                <w:sz w:val="17"/>
              </w:rPr>
              <w:t>Detail</w:t>
            </w:r>
          </w:p>
        </w:tc>
      </w:tr>
      <w:tr>
        <w:tc>
          <w:tcPr>
            <w:tcW w:type="dxa" w:w="1294"/>
          </w:tcPr>
          <w:p>
            <w:pPr>
              <w:spacing w:after="50" w:before="50" w:line="252" w:lineRule="auto"/>
            </w:pPr>
            <w:r>
              <w:rPr>
                <w:sz w:val="17"/>
              </w:rPr>
              <w:t>Brief</w:t>
            </w:r>
          </w:p>
        </w:tc>
        <w:tc>
          <w:tcPr>
            <w:tcW w:type="dxa" w:w="8174"/>
          </w:tcPr>
          <w:p>
            <w:pPr>
              <w:spacing w:after="50" w:before="50" w:line="252" w:lineRule="auto"/>
            </w:pPr>
            <w:r>
              <w:rPr>
                <w:sz w:val="17"/>
              </w:rPr>
              <w:t>Roles, time, what observers watch for. Two minutes, not ten</w:t>
            </w:r>
          </w:p>
        </w:tc>
      </w:tr>
      <w:tr>
        <w:tc>
          <w:tcPr>
            <w:tcW w:type="dxa" w:w="1294"/>
            <w:shd w:val="clear" w:color="auto" w:fill="EAF1F4"/>
          </w:tcPr>
          <w:p>
            <w:pPr>
              <w:spacing w:after="50" w:before="50" w:line="252" w:lineRule="auto"/>
            </w:pPr>
            <w:r>
              <w:rPr>
                <w:sz w:val="17"/>
              </w:rPr>
              <w:t>Distribute</w:t>
            </w:r>
          </w:p>
        </w:tc>
        <w:tc>
          <w:tcPr>
            <w:tcW w:type="dxa" w:w="8174"/>
            <w:shd w:val="clear" w:color="auto" w:fill="EAF1F4"/>
          </w:tcPr>
          <w:p>
            <w:pPr>
              <w:spacing w:after="50" w:before="50" w:line="252" w:lineRule="auto"/>
            </w:pPr>
            <w:r>
              <w:rPr>
                <w:sz w:val="17"/>
              </w:rPr>
              <w:t xml:space="preserve">Confidential briefs issued separately. </w:t>
            </w:r>
            <w:r>
              <w:rPr>
                <w:b/>
                <w:sz w:val="17"/>
              </w:rPr>
              <w:t>Participants read only their own.</w:t>
            </w:r>
            <w:r>
              <w:rPr>
                <w:sz w:val="17"/>
              </w:rPr>
              <w:t xml:space="preserve"> Enforce this</w:t>
            </w:r>
          </w:p>
        </w:tc>
      </w:tr>
      <w:tr>
        <w:tc>
          <w:tcPr>
            <w:tcW w:type="dxa" w:w="1294"/>
          </w:tcPr>
          <w:p>
            <w:pPr>
              <w:spacing w:after="50" w:before="50" w:line="252" w:lineRule="auto"/>
            </w:pPr>
            <w:r>
              <w:rPr>
                <w:sz w:val="17"/>
              </w:rPr>
              <w:t>Read time</w:t>
            </w:r>
          </w:p>
        </w:tc>
        <w:tc>
          <w:tcPr>
            <w:tcW w:type="dxa" w:w="8174"/>
          </w:tcPr>
          <w:p>
            <w:pPr>
              <w:spacing w:after="50" w:before="50" w:line="252" w:lineRule="auto"/>
            </w:pPr>
            <w:r>
              <w:rPr>
                <w:sz w:val="17"/>
              </w:rPr>
              <w:t>Five minutes, silent</w:t>
            </w:r>
          </w:p>
        </w:tc>
      </w:tr>
      <w:tr>
        <w:tc>
          <w:tcPr>
            <w:tcW w:type="dxa" w:w="1294"/>
            <w:shd w:val="clear" w:color="auto" w:fill="EAF1F4"/>
          </w:tcPr>
          <w:p>
            <w:pPr>
              <w:spacing w:after="50" w:before="50" w:line="252" w:lineRule="auto"/>
            </w:pPr>
            <w:r>
              <w:rPr>
                <w:sz w:val="17"/>
              </w:rPr>
              <w:t>Run</w:t>
            </w:r>
          </w:p>
        </w:tc>
        <w:tc>
          <w:tcPr>
            <w:tcW w:type="dxa" w:w="8174"/>
            <w:shd w:val="clear" w:color="auto" w:fill="EAF1F4"/>
          </w:tcPr>
          <w:p>
            <w:pPr>
              <w:spacing w:after="50" w:before="50" w:line="252" w:lineRule="auto"/>
            </w:pPr>
            <w:r>
              <w:rPr>
                <w:sz w:val="17"/>
              </w:rPr>
              <w:t>Keep time visibly. Do not interrupt except for safety or gross error</w:t>
            </w:r>
          </w:p>
        </w:tc>
      </w:tr>
      <w:tr>
        <w:tc>
          <w:tcPr>
            <w:tcW w:type="dxa" w:w="1294"/>
          </w:tcPr>
          <w:p>
            <w:pPr>
              <w:spacing w:after="50" w:before="50" w:line="252" w:lineRule="auto"/>
            </w:pPr>
            <w:r>
              <w:rPr>
                <w:sz w:val="17"/>
              </w:rPr>
              <w:t>Observe</w:t>
            </w:r>
          </w:p>
        </w:tc>
        <w:tc>
          <w:tcPr>
            <w:tcW w:type="dxa" w:w="8174"/>
          </w:tcPr>
          <w:p>
            <w:pPr>
              <w:spacing w:after="50" w:before="50" w:line="252" w:lineRule="auto"/>
            </w:pPr>
            <w:r>
              <w:rPr>
                <w:sz w:val="17"/>
              </w:rPr>
              <w:t>Circulate silently; note specific behaviours with verbatim quotes where you can</w:t>
            </w:r>
          </w:p>
        </w:tc>
      </w:tr>
      <w:tr>
        <w:tc>
          <w:tcPr>
            <w:tcW w:type="dxa" w:w="1294"/>
            <w:shd w:val="clear" w:color="auto" w:fill="EAF1F4"/>
          </w:tcPr>
          <w:p>
            <w:pPr>
              <w:spacing w:after="50" w:before="50" w:line="252" w:lineRule="auto"/>
            </w:pPr>
            <w:r>
              <w:rPr>
                <w:sz w:val="17"/>
              </w:rPr>
              <w:t>Stop</w:t>
            </w:r>
          </w:p>
        </w:tc>
        <w:tc>
          <w:tcPr>
            <w:tcW w:type="dxa" w:w="8174"/>
            <w:shd w:val="clear" w:color="auto" w:fill="EAF1F4"/>
          </w:tcPr>
          <w:p>
            <w:pPr>
              <w:spacing w:after="50" w:before="50" w:line="252" w:lineRule="auto"/>
            </w:pPr>
            <w:r>
              <w:rPr>
                <w:sz w:val="17"/>
              </w:rPr>
              <w:t>On time, even mid-sentence. Running over eats the debrief</w:t>
            </w:r>
          </w:p>
        </w:tc>
      </w:tr>
    </w:tbl>
    <w:p>
      <w:pPr>
        <w:spacing w:after="80" w:before="0"/>
      </w:pPr>
    </w:p>
    <w:p>
      <w:pPr>
        <w:pStyle w:val="Heading2"/>
      </w:pPr>
      <w:r>
        <w:t>3.4 The debrief — the core skill</w:t>
      </w:r>
    </w:p>
    <w:p>
      <w:r>
        <w:rPr>
          <w:b/>
        </w:rPr>
        <w:t>Sequence, always in this order:</w:t>
      </w:r>
    </w:p>
    <w:p>
      <w:pPr>
        <w:pStyle w:val="ListNumber"/>
      </w:pPr>
      <w:r>
        <w:rPr>
          <w:b/>
          <w:sz w:val="21"/>
        </w:rPr>
        <w:t>The mediator, first.</w:t>
      </w:r>
      <w:r>
        <w:rPr>
          <w:sz w:val="21"/>
        </w:rPr>
        <w:t xml:space="preserve"> </w:t>
      </w:r>
      <w:r>
        <w:rPr>
          <w:i/>
          <w:sz w:val="21"/>
        </w:rPr>
        <w:t>What did you do that worked? What would you do differently?</w:t>
      </w:r>
      <w:r>
        <w:rPr>
          <w:sz w:val="21"/>
        </w:rPr>
        <w:t xml:space="preserve"> Let them speak before anyone judges them.</w:t>
      </w:r>
    </w:p>
    <w:p>
      <w:pPr>
        <w:pStyle w:val="ListNumber"/>
      </w:pPr>
      <w:r>
        <w:rPr>
          <w:b/>
          <w:sz w:val="21"/>
        </w:rPr>
        <w:t>The parties.</w:t>
      </w:r>
      <w:r>
        <w:rPr>
          <w:sz w:val="21"/>
        </w:rPr>
        <w:t xml:space="preserve"> </w:t>
      </w:r>
      <w:r>
        <w:rPr>
          <w:i/>
          <w:sz w:val="21"/>
        </w:rPr>
        <w:t>What did the mediator do that helped you? What made it harder?</w:t>
      </w:r>
      <w:r>
        <w:rPr>
          <w:sz w:val="21"/>
        </w:rPr>
        <w:t xml:space="preserve"> This is the most valuable feedback in the room, because it is about effect rather than technique.</w:t>
      </w:r>
    </w:p>
    <w:p>
      <w:pPr>
        <w:pStyle w:val="ListNumber"/>
      </w:pPr>
      <w:r>
        <w:rPr>
          <w:b/>
          <w:sz w:val="21"/>
        </w:rPr>
        <w:t>The observers.</w:t>
      </w:r>
      <w:r>
        <w:rPr>
          <w:sz w:val="21"/>
        </w:rPr>
        <w:t xml:space="preserve"> Against the specific criteria they were given, not general impressions.</w:t>
      </w:r>
    </w:p>
    <w:p>
      <w:pPr>
        <w:pStyle w:val="ListNumber"/>
      </w:pPr>
      <w:r>
        <w:rPr>
          <w:b/>
          <w:sz w:val="21"/>
        </w:rPr>
        <w:t>You, last, and briefly.</w:t>
      </w:r>
      <w:r>
        <w:rPr>
          <w:sz w:val="21"/>
        </w:rPr>
        <w:t xml:space="preserve"> Two things that worked, one thing to change. Never more than one thing to change.</w:t>
      </w:r>
    </w:p>
    <w:p>
      <w:r>
        <w:rPr>
          <w:b/>
        </w:rPr>
        <w:t>Rules.</w:t>
      </w:r>
      <w:r>
        <w:t xml:space="preserve"> Ask, do not tell. Never humiliate — the person who performed worst learns least if they are exposed. Use the specific and the behavioural: </w:t>
      </w:r>
      <w:r>
        <w:rPr>
          <w:i/>
        </w:rPr>
        <w:t>when you asked "why did you do that", she folded her arms</w:t>
      </w:r>
      <w:r>
        <w:t xml:space="preserve"> is teaching; </w:t>
      </w:r>
      <w:r>
        <w:rPr>
          <w:i/>
        </w:rPr>
        <w:t>you were a bit confrontational</w:t>
      </w:r>
      <w:r>
        <w:t xml:space="preserve"> is not. Protect the time: a 90-minute simulation needs a 45-minute debrief and it is better to run one simulation properly than two badly.</w:t>
      </w:r>
    </w:p>
    <w:p>
      <w:pPr>
        <w:pStyle w:val="Heading2"/>
      </w:pPr>
      <w:r>
        <w:t>3.5 Handling difficulty in the room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273"/>
            <w:shd w:val="clear" w:color="auto" w:fill="10375C"/>
          </w:tcPr>
          <w:p>
            <w:pPr>
              <w:spacing w:after="50" w:before="50"/>
            </w:pPr>
            <w:r>
              <w:rPr>
                <w:b/>
                <w:color w:val="FFFFFF"/>
                <w:sz w:val="17"/>
              </w:rPr>
              <w:t>Situation</w:t>
            </w:r>
          </w:p>
        </w:tc>
        <w:tc>
          <w:tcPr>
            <w:tcW w:type="dxa" w:w="5194"/>
            <w:shd w:val="clear" w:color="auto" w:fill="10375C"/>
          </w:tcPr>
          <w:p>
            <w:pPr>
              <w:spacing w:after="50" w:before="50"/>
            </w:pPr>
            <w:r>
              <w:rPr>
                <w:b/>
                <w:color w:val="FFFFFF"/>
                <w:sz w:val="17"/>
              </w:rPr>
              <w:t>Response</w:t>
            </w:r>
          </w:p>
        </w:tc>
      </w:tr>
      <w:tr>
        <w:tc>
          <w:tcPr>
            <w:tcW w:type="dxa" w:w="4273"/>
          </w:tcPr>
          <w:p>
            <w:pPr>
              <w:spacing w:after="50" w:before="50" w:line="252" w:lineRule="auto"/>
            </w:pPr>
            <w:r>
              <w:rPr>
                <w:sz w:val="17"/>
              </w:rPr>
              <w:t>A participant dominates</w:t>
            </w:r>
          </w:p>
        </w:tc>
        <w:tc>
          <w:tcPr>
            <w:tcW w:type="dxa" w:w="5194"/>
          </w:tcPr>
          <w:p>
            <w:pPr>
              <w:spacing w:after="50" w:before="50" w:line="252" w:lineRule="auto"/>
            </w:pPr>
            <w:r>
              <w:rPr>
                <w:sz w:val="17"/>
              </w:rPr>
              <w:t>Structure the airtime — round-robin, paired work, allocate roles rather than allowing volunteers</w:t>
            </w:r>
          </w:p>
        </w:tc>
      </w:tr>
      <w:tr>
        <w:tc>
          <w:tcPr>
            <w:tcW w:type="dxa" w:w="4273"/>
            <w:shd w:val="clear" w:color="auto" w:fill="EAF1F4"/>
          </w:tcPr>
          <w:p>
            <w:pPr>
              <w:spacing w:after="50" w:before="50" w:line="252" w:lineRule="auto"/>
            </w:pPr>
            <w:r>
              <w:rPr>
                <w:sz w:val="17"/>
              </w:rPr>
              <w:t>A participant will not engage</w:t>
            </w:r>
          </w:p>
        </w:tc>
        <w:tc>
          <w:tcPr>
            <w:tcW w:type="dxa" w:w="5194"/>
            <w:shd w:val="clear" w:color="auto" w:fill="EAF1F4"/>
          </w:tcPr>
          <w:p>
            <w:pPr>
              <w:spacing w:after="50" w:before="50" w:line="252" w:lineRule="auto"/>
            </w:pPr>
            <w:r>
              <w:rPr>
                <w:sz w:val="17"/>
              </w:rPr>
              <w:t>Speak to them privately at the break. Usually it is anxiety, not resistance</w:t>
            </w:r>
          </w:p>
        </w:tc>
      </w:tr>
      <w:tr>
        <w:tc>
          <w:tcPr>
            <w:tcW w:type="dxa" w:w="4273"/>
          </w:tcPr>
          <w:p>
            <w:pPr>
              <w:spacing w:after="50" w:before="50" w:line="252" w:lineRule="auto"/>
            </w:pPr>
            <w:r>
              <w:rPr>
                <w:sz w:val="17"/>
              </w:rPr>
              <w:t>A participant challenges your authority or the material</w:t>
            </w:r>
          </w:p>
        </w:tc>
        <w:tc>
          <w:tcPr>
            <w:tcW w:type="dxa" w:w="5194"/>
          </w:tcPr>
          <w:p>
            <w:pPr>
              <w:spacing w:after="50" w:before="50" w:line="252" w:lineRule="auto"/>
            </w:pPr>
            <w:r>
              <w:rPr>
                <w:sz w:val="17"/>
              </w:rPr>
              <w:t xml:space="preserve">Take it seriously and briefly; </w:t>
            </w:r>
            <w:r>
              <w:rPr>
                <w:i/>
                <w:sz w:val="17"/>
              </w:rPr>
              <w:t>that is a fair challenge — let us test it in the next simulation</w:t>
            </w:r>
          </w:p>
        </w:tc>
      </w:tr>
      <w:tr>
        <w:tc>
          <w:tcPr>
            <w:tcW w:type="dxa" w:w="4273"/>
            <w:shd w:val="clear" w:color="auto" w:fill="EAF1F4"/>
          </w:tcPr>
          <w:p>
            <w:pPr>
              <w:spacing w:after="50" w:before="50" w:line="252" w:lineRule="auto"/>
            </w:pPr>
            <w:r>
              <w:rPr>
                <w:sz w:val="17"/>
              </w:rPr>
              <w:t>A participant becomes distressed</w:t>
            </w:r>
          </w:p>
        </w:tc>
        <w:tc>
          <w:tcPr>
            <w:tcW w:type="dxa" w:w="5194"/>
            <w:shd w:val="clear" w:color="auto" w:fill="EAF1F4"/>
          </w:tcPr>
          <w:p>
            <w:pPr>
              <w:spacing w:after="50" w:before="50" w:line="252" w:lineRule="auto"/>
            </w:pPr>
            <w:r>
              <w:rPr>
                <w:sz w:val="17"/>
              </w:rPr>
              <w:t>Stop. Offer a break. Speak privately. Do not continue to use the material that triggered it. Record and report the same day</w:t>
            </w:r>
          </w:p>
        </w:tc>
      </w:tr>
      <w:tr>
        <w:tc>
          <w:tcPr>
            <w:tcW w:type="dxa" w:w="4273"/>
          </w:tcPr>
          <w:p>
            <w:pPr>
              <w:spacing w:after="50" w:before="50" w:line="252" w:lineRule="auto"/>
            </w:pPr>
            <w:r>
              <w:rPr>
                <w:sz w:val="17"/>
              </w:rPr>
              <w:t>The room is flat after lunch</w:t>
            </w:r>
          </w:p>
        </w:tc>
        <w:tc>
          <w:tcPr>
            <w:tcW w:type="dxa" w:w="5194"/>
          </w:tcPr>
          <w:p>
            <w:pPr>
              <w:spacing w:after="50" w:before="50" w:line="252" w:lineRule="auto"/>
            </w:pPr>
            <w:r>
              <w:rPr>
                <w:sz w:val="17"/>
              </w:rPr>
              <w:t>Change the modality — move them, put them in pairs, run a drill standing up</w:t>
            </w:r>
          </w:p>
        </w:tc>
      </w:tr>
      <w:tr>
        <w:tc>
          <w:tcPr>
            <w:tcW w:type="dxa" w:w="4273"/>
            <w:shd w:val="clear" w:color="auto" w:fill="EAF1F4"/>
          </w:tcPr>
          <w:p>
            <w:pPr>
              <w:spacing w:after="50" w:before="50" w:line="252" w:lineRule="auto"/>
            </w:pPr>
            <w:r>
              <w:rPr>
                <w:sz w:val="17"/>
              </w:rPr>
              <w:t>Cohort is far larger than agreed</w:t>
            </w:r>
          </w:p>
        </w:tc>
        <w:tc>
          <w:tcPr>
            <w:tcW w:type="dxa" w:w="5194"/>
            <w:shd w:val="clear" w:color="auto" w:fill="EAF1F4"/>
          </w:tcPr>
          <w:p>
            <w:pPr>
              <w:spacing w:after="50" w:before="50" w:line="252" w:lineRule="auto"/>
            </w:pPr>
            <w:r>
              <w:rPr>
                <w:sz w:val="17"/>
              </w:rPr>
              <w:t>Deliver, but record it, and report to Operations. Do not silently absorb it</w:t>
            </w:r>
          </w:p>
        </w:tc>
      </w:tr>
      <w:tr>
        <w:tc>
          <w:tcPr>
            <w:tcW w:type="dxa" w:w="4273"/>
          </w:tcPr>
          <w:p>
            <w:pPr>
              <w:spacing w:after="50" w:before="50" w:line="252" w:lineRule="auto"/>
            </w:pPr>
            <w:r>
              <w:rPr>
                <w:sz w:val="17"/>
              </w:rPr>
              <w:t>A simulation collapses</w:t>
            </w:r>
          </w:p>
        </w:tc>
        <w:tc>
          <w:tcPr>
            <w:tcW w:type="dxa" w:w="5194"/>
          </w:tcPr>
          <w:p>
            <w:pPr>
              <w:spacing w:after="50" w:before="50" w:line="252" w:lineRule="auto"/>
            </w:pPr>
            <w:r>
              <w:rPr>
                <w:sz w:val="17"/>
              </w:rPr>
              <w:t>Stop it early and debrief why it collapsed. A collapsed simulation is excellent material</w:t>
            </w:r>
          </w:p>
        </w:tc>
      </w:tr>
      <w:tr>
        <w:tc>
          <w:tcPr>
            <w:tcW w:type="dxa" w:w="4273"/>
            <w:shd w:val="clear" w:color="auto" w:fill="EAF1F4"/>
          </w:tcPr>
          <w:p>
            <w:pPr>
              <w:spacing w:after="50" w:before="50" w:line="252" w:lineRule="auto"/>
            </w:pPr>
            <w:r>
              <w:rPr>
                <w:sz w:val="17"/>
              </w:rPr>
              <w:t>Somebody discloses a real personal matter</w:t>
            </w:r>
          </w:p>
        </w:tc>
        <w:tc>
          <w:tcPr>
            <w:tcW w:type="dxa" w:w="5194"/>
            <w:shd w:val="clear" w:color="auto" w:fill="EAF1F4"/>
          </w:tcPr>
          <w:p>
            <w:pPr>
              <w:spacing w:after="50" w:before="50" w:line="252" w:lineRule="auto"/>
            </w:pPr>
            <w:r>
              <w:rPr>
                <w:sz w:val="17"/>
              </w:rPr>
              <w:t>Acknowledge, do not process it in the room, follow up privately, refer under the safeguarding policy if needed</w:t>
            </w:r>
          </w:p>
        </w:tc>
      </w:tr>
    </w:tbl>
    <w:p>
      <w:pPr>
        <w:spacing w:after="80" w:before="0"/>
      </w:pPr>
    </w:p>
    <w:p>
      <w:pPr>
        <w:pStyle w:val="Heading2"/>
      </w:pPr>
      <w:r>
        <w:t>3.6 Things trainers do that damage a programme</w:t>
      </w:r>
    </w:p>
    <w:p>
      <w:pPr>
        <w:pStyle w:val="ListBullet"/>
      </w:pPr>
      <w:r>
        <w:rPr>
          <w:sz w:val="21"/>
        </w:rPr>
        <w:t>Talking for two hours because the content is interesting to you.</w:t>
      </w:r>
    </w:p>
    <w:p>
      <w:pPr>
        <w:pStyle w:val="ListBullet"/>
      </w:pPr>
      <w:r>
        <w:rPr>
          <w:sz w:val="21"/>
        </w:rPr>
        <w:t>Answering a question with a war story that runs eleven minutes.</w:t>
      </w:r>
    </w:p>
    <w:p>
      <w:pPr>
        <w:pStyle w:val="ListBullet"/>
      </w:pPr>
      <w:r>
        <w:rPr>
          <w:sz w:val="21"/>
        </w:rPr>
        <w:t>Telling a participant what they did wrong in front of the group.</w:t>
      </w:r>
    </w:p>
    <w:p>
      <w:pPr>
        <w:pStyle w:val="ListBullet"/>
      </w:pPr>
      <w:r>
        <w:rPr>
          <w:sz w:val="21"/>
        </w:rPr>
        <w:t>Allowing a simulation to overrun and cutting the debrief.</w:t>
      </w:r>
    </w:p>
    <w:p>
      <w:pPr>
        <w:pStyle w:val="ListBullet"/>
      </w:pPr>
      <w:r>
        <w:rPr>
          <w:sz w:val="21"/>
        </w:rPr>
        <w:t>Letting participants read each other's confidential briefs "to save time".</w:t>
      </w:r>
    </w:p>
    <w:p>
      <w:pPr>
        <w:pStyle w:val="ListBullet"/>
      </w:pPr>
      <w:r>
        <w:rPr>
          <w:sz w:val="21"/>
        </w:rPr>
        <w:t>Promising a participant an internship, a job, or a place on the panel.</w:t>
      </w:r>
    </w:p>
    <w:p>
      <w:pPr>
        <w:pStyle w:val="ListBullet"/>
      </w:pPr>
      <w:r>
        <w:rPr>
          <w:sz w:val="21"/>
        </w:rPr>
        <w:t>Saying that the certificate is "recognised".</w:t>
      </w:r>
    </w:p>
    <w:p>
      <w:pPr>
        <w:pStyle w:val="ListBullet"/>
      </w:pPr>
      <w:r>
        <w:rPr>
          <w:sz w:val="21"/>
        </w:rPr>
        <w:t>Answering a legal question about a participant's real dispute.</w:t>
      </w:r>
    </w:p>
    <w:p>
      <w:pPr>
        <w:spacing w:before="80" w:after="160"/>
        <w:pBdr>
          <w:bottom w:val="single" w:sz="6" w:space="1" w:color="C9D6DE"/>
        </w:pBdr>
      </w:pPr>
    </w:p>
    <w:p>
      <w:pPr>
        <w:pStyle w:val="Heading1"/>
        <w:pBdr>
          <w:bottom w:val="single" w:sz="8" w:space="4" w:color="C9D6DE"/>
        </w:pBdr>
      </w:pPr>
      <w:r>
        <w:t>4. Assessment days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Assessors attend the calibration session. No exceptions</w:t>
            </w:r>
          </w:p>
        </w:tc>
      </w:tr>
      <w:tr>
        <w:tc>
          <w:tcPr>
            <w:tcW w:type="dxa" w:w="9468"/>
            <w:shd w:val="clear" w:color="auto" w:fill="EAF1F4"/>
          </w:tcPr>
          <w:p>
            <w:pPr>
              <w:spacing w:after="50" w:before="50" w:line="252" w:lineRule="auto"/>
            </w:pPr>
            <w:r>
              <w:rPr>
                <w:sz w:val="17"/>
              </w:rPr>
              <w:t>Where numbers permit, you do not assess a participant you taught</w:t>
            </w:r>
          </w:p>
        </w:tc>
      </w:tr>
      <w:tr>
        <w:tc>
          <w:tcPr>
            <w:tcW w:type="dxa" w:w="9468"/>
          </w:tcPr>
          <w:p>
            <w:pPr>
              <w:spacing w:after="50" w:before="50" w:line="252" w:lineRule="auto"/>
            </w:pPr>
            <w:r>
              <w:rPr>
                <w:sz w:val="17"/>
              </w:rPr>
              <w:t>Score against the rubric descriptors, not overall impression</w:t>
            </w:r>
          </w:p>
        </w:tc>
      </w:tr>
      <w:tr>
        <w:tc>
          <w:tcPr>
            <w:tcW w:type="dxa" w:w="9468"/>
            <w:shd w:val="clear" w:color="auto" w:fill="EAF1F4"/>
          </w:tcPr>
          <w:p>
            <w:pPr>
              <w:spacing w:after="50" w:before="50" w:line="252" w:lineRule="auto"/>
            </w:pPr>
            <w:r>
              <w:rPr>
                <w:sz w:val="17"/>
              </w:rPr>
              <w:t>Record at least three specific behavioural observations per criterion</w:t>
            </w:r>
          </w:p>
        </w:tc>
      </w:tr>
      <w:tr>
        <w:tc>
          <w:tcPr>
            <w:tcW w:type="dxa" w:w="9468"/>
          </w:tcPr>
          <w:p>
            <w:pPr>
              <w:spacing w:after="50" w:before="50" w:line="252" w:lineRule="auto"/>
            </w:pPr>
            <w:r>
              <w:rPr>
                <w:sz w:val="17"/>
              </w:rPr>
              <w:t>Do not discuss marks with participants on the day</w:t>
            </w:r>
          </w:p>
        </w:tc>
      </w:tr>
      <w:tr>
        <w:tc>
          <w:tcPr>
            <w:tcW w:type="dxa" w:w="9468"/>
            <w:shd w:val="clear" w:color="auto" w:fill="EAF1F4"/>
          </w:tcPr>
          <w:p>
            <w:pPr>
              <w:spacing w:after="50" w:before="50" w:line="252" w:lineRule="auto"/>
            </w:pPr>
            <w:r>
              <w:rPr>
                <w:sz w:val="17"/>
              </w:rPr>
              <w:t>Do not adjust a mark to manage a pass rate</w:t>
            </w:r>
          </w:p>
        </w:tc>
      </w:tr>
      <w:tr>
        <w:tc>
          <w:tcPr>
            <w:tcW w:type="dxa" w:w="9468"/>
          </w:tcPr>
          <w:p>
            <w:pPr>
              <w:spacing w:after="50" w:before="50" w:line="252" w:lineRule="auto"/>
            </w:pPr>
            <w:r>
              <w:rPr>
                <w:sz w:val="17"/>
              </w:rPr>
              <w:t>Marks are submitted by the stated deadline; late marks delay the whole cohort</w:t>
            </w:r>
          </w:p>
        </w:tc>
      </w:tr>
    </w:tbl>
    <w:p>
      <w:pPr>
        <w:spacing w:after="80" w:before="0"/>
      </w:pPr>
    </w:p>
    <w:p>
      <w:pPr>
        <w:spacing w:before="80" w:after="160"/>
        <w:pBdr>
          <w:bottom w:val="single" w:sz="6" w:space="1" w:color="C9D6DE"/>
        </w:pBdr>
      </w:pPr>
    </w:p>
    <w:p>
      <w:pPr>
        <w:pStyle w:val="Heading1"/>
        <w:pBdr>
          <w:bottom w:val="single" w:sz="8" w:space="4" w:color="C9D6DE"/>
        </w:pBdr>
      </w:pPr>
      <w:r>
        <w:t>5. Records and reporting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139"/>
            <w:shd w:val="clear" w:color="auto" w:fill="10375C"/>
          </w:tcPr>
          <w:p>
            <w:pPr>
              <w:spacing w:after="50" w:before="50"/>
            </w:pPr>
            <w:r>
              <w:rPr>
                <w:b/>
                <w:color w:val="FFFFFF"/>
                <w:sz w:val="17"/>
              </w:rPr>
              <w:t>Record</w:t>
            </w:r>
          </w:p>
        </w:tc>
        <w:tc>
          <w:tcPr>
            <w:tcW w:type="dxa" w:w="3329"/>
            <w:shd w:val="clear" w:color="auto" w:fill="10375C"/>
          </w:tcPr>
          <w:p>
            <w:pPr>
              <w:spacing w:after="50" w:before="50"/>
            </w:pPr>
            <w:r>
              <w:rPr>
                <w:b/>
                <w:color w:val="FFFFFF"/>
                <w:sz w:val="17"/>
              </w:rPr>
              <w:t>When</w:t>
            </w:r>
          </w:p>
        </w:tc>
      </w:tr>
      <w:tr>
        <w:tc>
          <w:tcPr>
            <w:tcW w:type="dxa" w:w="6139"/>
          </w:tcPr>
          <w:p>
            <w:pPr>
              <w:spacing w:after="50" w:before="50" w:line="252" w:lineRule="auto"/>
            </w:pPr>
            <w:r>
              <w:rPr>
                <w:sz w:val="17"/>
              </w:rPr>
              <w:t>Attendance, each session</w:t>
            </w:r>
          </w:p>
        </w:tc>
        <w:tc>
          <w:tcPr>
            <w:tcW w:type="dxa" w:w="3329"/>
          </w:tcPr>
          <w:p>
            <w:pPr>
              <w:spacing w:after="50" w:before="50" w:line="252" w:lineRule="auto"/>
            </w:pPr>
            <w:r>
              <w:rPr>
                <w:sz w:val="17"/>
              </w:rPr>
              <w:t>During the session</w:t>
            </w:r>
          </w:p>
        </w:tc>
      </w:tr>
      <w:tr>
        <w:tc>
          <w:tcPr>
            <w:tcW w:type="dxa" w:w="6139"/>
            <w:shd w:val="clear" w:color="auto" w:fill="EAF1F4"/>
          </w:tcPr>
          <w:p>
            <w:pPr>
              <w:spacing w:after="50" w:before="50" w:line="252" w:lineRule="auto"/>
            </w:pPr>
            <w:r>
              <w:rPr>
                <w:sz w:val="17"/>
              </w:rPr>
              <w:t>Session log — what was delivered, what was cut, what to change</w:t>
            </w:r>
          </w:p>
        </w:tc>
        <w:tc>
          <w:tcPr>
            <w:tcW w:type="dxa" w:w="3329"/>
            <w:shd w:val="clear" w:color="auto" w:fill="EAF1F4"/>
          </w:tcPr>
          <w:p>
            <w:pPr>
              <w:spacing w:after="50" w:before="50" w:line="252" w:lineRule="auto"/>
            </w:pPr>
            <w:r>
              <w:rPr>
                <w:sz w:val="17"/>
              </w:rPr>
              <w:t>End of each day</w:t>
            </w:r>
          </w:p>
        </w:tc>
      </w:tr>
      <w:tr>
        <w:tc>
          <w:tcPr>
            <w:tcW w:type="dxa" w:w="6139"/>
          </w:tcPr>
          <w:p>
            <w:pPr>
              <w:spacing w:after="50" w:before="50" w:line="252" w:lineRule="auto"/>
            </w:pPr>
            <w:r>
              <w:rPr>
                <w:sz w:val="17"/>
              </w:rPr>
              <w:t>Incident report</w:t>
            </w:r>
          </w:p>
        </w:tc>
        <w:tc>
          <w:tcPr>
            <w:tcW w:type="dxa" w:w="3329"/>
          </w:tcPr>
          <w:p>
            <w:pPr>
              <w:spacing w:after="50" w:before="50" w:line="252" w:lineRule="auto"/>
            </w:pPr>
            <w:r>
              <w:rPr>
                <w:sz w:val="17"/>
              </w:rPr>
              <w:t>Same day, always</w:t>
            </w:r>
          </w:p>
        </w:tc>
      </w:tr>
      <w:tr>
        <w:tc>
          <w:tcPr>
            <w:tcW w:type="dxa" w:w="6139"/>
            <w:shd w:val="clear" w:color="auto" w:fill="EAF1F4"/>
          </w:tcPr>
          <w:p>
            <w:pPr>
              <w:spacing w:after="50" w:before="50" w:line="252" w:lineRule="auto"/>
            </w:pPr>
            <w:r>
              <w:rPr>
                <w:sz w:val="17"/>
              </w:rPr>
              <w:t>Feedback forms distributed and collected</w:t>
            </w:r>
          </w:p>
        </w:tc>
        <w:tc>
          <w:tcPr>
            <w:tcW w:type="dxa" w:w="3329"/>
            <w:shd w:val="clear" w:color="auto" w:fill="EAF1F4"/>
          </w:tcPr>
          <w:p>
            <w:pPr>
              <w:spacing w:after="50" w:before="50" w:line="252" w:lineRule="auto"/>
            </w:pPr>
            <w:r>
              <w:rPr>
                <w:sz w:val="17"/>
              </w:rPr>
              <w:t>End of each day, not only at the end</w:t>
            </w:r>
          </w:p>
        </w:tc>
      </w:tr>
      <w:tr>
        <w:tc>
          <w:tcPr>
            <w:tcW w:type="dxa" w:w="6139"/>
          </w:tcPr>
          <w:p>
            <w:pPr>
              <w:spacing w:after="50" w:before="50" w:line="252" w:lineRule="auto"/>
            </w:pPr>
            <w:r>
              <w:rPr>
                <w:sz w:val="17"/>
              </w:rPr>
              <w:t>Marks and assessment sheets</w:t>
            </w:r>
          </w:p>
        </w:tc>
        <w:tc>
          <w:tcPr>
            <w:tcW w:type="dxa" w:w="3329"/>
          </w:tcPr>
          <w:p>
            <w:pPr>
              <w:spacing w:after="50" w:before="50" w:line="252" w:lineRule="auto"/>
            </w:pPr>
            <w:r>
              <w:rPr>
                <w:sz w:val="17"/>
              </w:rPr>
              <w:t>By the stated deadline</w:t>
            </w:r>
          </w:p>
        </w:tc>
      </w:tr>
      <w:tr>
        <w:tc>
          <w:tcPr>
            <w:tcW w:type="dxa" w:w="6139"/>
            <w:shd w:val="clear" w:color="auto" w:fill="EAF1F4"/>
          </w:tcPr>
          <w:p>
            <w:pPr>
              <w:spacing w:after="50" w:before="50" w:line="252" w:lineRule="auto"/>
            </w:pPr>
            <w:r>
              <w:rPr>
                <w:sz w:val="17"/>
              </w:rPr>
              <w:t>Trainer report — cohort quality, venue, issues, recommendations</w:t>
            </w:r>
          </w:p>
        </w:tc>
        <w:tc>
          <w:tcPr>
            <w:tcW w:type="dxa" w:w="3329"/>
            <w:shd w:val="clear" w:color="auto" w:fill="EAF1F4"/>
          </w:tcPr>
          <w:p>
            <w:pPr>
              <w:spacing w:after="50" w:before="50" w:line="252" w:lineRule="auto"/>
            </w:pPr>
            <w:r>
              <w:rPr>
                <w:sz w:val="17"/>
              </w:rPr>
              <w:t>Within 7 days</w:t>
            </w:r>
          </w:p>
        </w:tc>
      </w:tr>
    </w:tbl>
    <w:p>
      <w:pPr>
        <w:spacing w:after="80" w:before="0"/>
      </w:pPr>
    </w:p>
    <w:p>
      <w:pPr>
        <w:spacing w:before="80" w:after="160"/>
        <w:pBdr>
          <w:bottom w:val="single" w:sz="6" w:space="1" w:color="C9D6DE"/>
        </w:pBdr>
      </w:pPr>
    </w:p>
    <w:p>
      <w:pPr>
        <w:pStyle w:val="Heading1"/>
        <w:pBdr>
          <w:bottom w:val="single" w:sz="8" w:space="4" w:color="C9D6DE"/>
        </w:pBdr>
      </w:pPr>
      <w:r>
        <w:t>6. Materials and confidentiality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Simulation packs are issued at the point of use and collected afterwards</w:t>
            </w:r>
          </w:p>
        </w:tc>
      </w:tr>
      <w:tr>
        <w:tc>
          <w:tcPr>
            <w:tcW w:type="dxa" w:w="9468"/>
            <w:shd w:val="clear" w:color="auto" w:fill="EAF1F4"/>
          </w:tcPr>
          <w:p>
            <w:pPr>
              <w:spacing w:after="50" w:before="50" w:line="252" w:lineRule="auto"/>
            </w:pPr>
            <w:r>
              <w:rPr>
                <w:sz w:val="17"/>
              </w:rPr>
              <w:t>Confidential briefs are never left in a room unattended</w:t>
            </w:r>
          </w:p>
        </w:tc>
      </w:tr>
      <w:tr>
        <w:tc>
          <w:tcPr>
            <w:tcW w:type="dxa" w:w="9468"/>
          </w:tcPr>
          <w:p>
            <w:pPr>
              <w:spacing w:after="50" w:before="50" w:line="252" w:lineRule="auto"/>
            </w:pPr>
            <w:r>
              <w:rPr>
                <w:sz w:val="17"/>
              </w:rPr>
              <w:t>Competition materials are never used as training simulations before public release</w:t>
            </w:r>
          </w:p>
        </w:tc>
      </w:tr>
      <w:tr>
        <w:tc>
          <w:tcPr>
            <w:tcW w:type="dxa" w:w="9468"/>
            <w:shd w:val="clear" w:color="auto" w:fill="EAF1F4"/>
          </w:tcPr>
          <w:p>
            <w:pPr>
              <w:spacing w:after="50" w:before="50" w:line="252" w:lineRule="auto"/>
            </w:pPr>
            <w:r>
              <w:rPr>
                <w:sz w:val="17"/>
              </w:rPr>
              <w:t>Institute materials are not shared with the institution, uploaded to any institutional system, or used in any other engagement</w:t>
            </w:r>
          </w:p>
        </w:tc>
      </w:tr>
      <w:tr>
        <w:tc>
          <w:tcPr>
            <w:tcW w:type="dxa" w:w="9468"/>
          </w:tcPr>
          <w:p>
            <w:pPr>
              <w:spacing w:after="50" w:before="50" w:line="252" w:lineRule="auto"/>
            </w:pPr>
            <w:r>
              <w:rPr>
                <w:sz w:val="17"/>
              </w:rPr>
              <w:t xml:space="preserve">No recording of any session without written approval; </w:t>
            </w:r>
            <w:r>
              <w:rPr>
                <w:b/>
                <w:sz w:val="17"/>
              </w:rPr>
              <w:t>no recording of any live proceeding, ever</w:t>
            </w:r>
          </w:p>
        </w:tc>
      </w:tr>
      <w:tr>
        <w:tc>
          <w:tcPr>
            <w:tcW w:type="dxa" w:w="9468"/>
            <w:shd w:val="clear" w:color="auto" w:fill="EAF1F4"/>
          </w:tcPr>
          <w:p>
            <w:pPr>
              <w:spacing w:after="50" w:before="50" w:line="252" w:lineRule="auto"/>
            </w:pPr>
            <w:r>
              <w:rPr>
                <w:sz w:val="17"/>
              </w:rPr>
              <w:t>Materials are not left behind at a venue</w:t>
            </w:r>
          </w:p>
        </w:tc>
      </w:tr>
    </w:tbl>
    <w:p>
      <w:pPr>
        <w:spacing w:after="80" w:before="0"/>
      </w:pPr>
    </w:p>
    <w:p>
      <w:pPr>
        <w:spacing w:before="80" w:after="160"/>
        <w:pBdr>
          <w:bottom w:val="single" w:sz="6" w:space="1" w:color="C9D6DE"/>
        </w:pBdr>
      </w:pPr>
    </w:p>
    <w:p>
      <w:pPr>
        <w:pStyle w:val="Heading1"/>
        <w:pBdr>
          <w:bottom w:val="single" w:sz="8" w:space="4" w:color="C9D6DE"/>
        </w:pBdr>
      </w:pPr>
      <w:r>
        <w:t>7. Your conduct with participants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Professional at all times, including outside sessions and at social events</w:t>
            </w:r>
          </w:p>
        </w:tc>
      </w:tr>
      <w:tr>
        <w:tc>
          <w:tcPr>
            <w:tcW w:type="dxa" w:w="9468"/>
            <w:shd w:val="clear" w:color="auto" w:fill="EAF1F4"/>
          </w:tcPr>
          <w:p>
            <w:pPr>
              <w:spacing w:after="50" w:before="50" w:line="252" w:lineRule="auto"/>
            </w:pPr>
            <w:r>
              <w:rPr>
                <w:sz w:val="17"/>
              </w:rPr>
              <w:t>No relationship with a participant beyond the professional</w:t>
            </w:r>
          </w:p>
        </w:tc>
      </w:tr>
      <w:tr>
        <w:tc>
          <w:tcPr>
            <w:tcW w:type="dxa" w:w="9468"/>
          </w:tcPr>
          <w:p>
            <w:pPr>
              <w:spacing w:after="50" w:before="50" w:line="252" w:lineRule="auto"/>
            </w:pPr>
            <w:r>
              <w:rPr>
                <w:sz w:val="17"/>
              </w:rPr>
              <w:t>Do not meet a participant alone in a non-public setting other than for a disclosed academic purpose</w:t>
            </w:r>
          </w:p>
        </w:tc>
      </w:tr>
      <w:tr>
        <w:tc>
          <w:tcPr>
            <w:tcW w:type="dxa" w:w="9468"/>
            <w:shd w:val="clear" w:color="auto" w:fill="EAF1F4"/>
          </w:tcPr>
          <w:p>
            <w:pPr>
              <w:spacing w:after="50" w:before="50" w:line="252" w:lineRule="auto"/>
            </w:pPr>
            <w:r>
              <w:rPr>
                <w:sz w:val="17"/>
              </w:rPr>
              <w:t>Where participants under eighteen are present, the two-adult rule applies without exception</w:t>
            </w:r>
          </w:p>
        </w:tc>
      </w:tr>
      <w:tr>
        <w:tc>
          <w:tcPr>
            <w:tcW w:type="dxa" w:w="9468"/>
          </w:tcPr>
          <w:p>
            <w:pPr>
              <w:spacing w:after="50" w:before="50" w:line="252" w:lineRule="auto"/>
            </w:pPr>
            <w:r>
              <w:rPr>
                <w:sz w:val="17"/>
              </w:rPr>
              <w:t>Do not accept a gift beyond a token courtesy</w:t>
            </w:r>
          </w:p>
        </w:tc>
      </w:tr>
      <w:tr>
        <w:tc>
          <w:tcPr>
            <w:tcW w:type="dxa" w:w="9468"/>
            <w:shd w:val="clear" w:color="auto" w:fill="EAF1F4"/>
          </w:tcPr>
          <w:p>
            <w:pPr>
              <w:spacing w:after="50" w:before="50" w:line="252" w:lineRule="auto"/>
            </w:pPr>
            <w:r>
              <w:rPr>
                <w:sz w:val="17"/>
              </w:rPr>
              <w:t>Do not give legal advice on a participant's real dispute; refer them appropriately</w:t>
            </w:r>
          </w:p>
        </w:tc>
      </w:tr>
      <w:tr>
        <w:tc>
          <w:tcPr>
            <w:tcW w:type="dxa" w:w="9468"/>
          </w:tcPr>
          <w:p>
            <w:pPr>
              <w:spacing w:after="50" w:before="50" w:line="252" w:lineRule="auto"/>
            </w:pPr>
            <w:r>
              <w:rPr>
                <w:sz w:val="17"/>
              </w:rPr>
              <w:t>Do not use a live matter you are handling as teaching material, even anonymised, without written approval</w:t>
            </w:r>
          </w:p>
        </w:tc>
      </w:tr>
      <w:tr>
        <w:tc>
          <w:tcPr>
            <w:tcW w:type="dxa" w:w="9468"/>
            <w:shd w:val="clear" w:color="auto" w:fill="EAF1F4"/>
          </w:tcPr>
          <w:p>
            <w:pPr>
              <w:spacing w:after="50" w:before="50" w:line="252" w:lineRule="auto"/>
            </w:pPr>
            <w:r>
              <w:rPr>
                <w:sz w:val="17"/>
              </w:rPr>
              <w:t>Disclose any conflict immediately</w:t>
            </w:r>
          </w:p>
        </w:tc>
      </w:tr>
    </w:tbl>
    <w:p>
      <w:pPr>
        <w:spacing w:after="80" w:before="0"/>
      </w:pPr>
    </w:p>
    <w:p>
      <w:pPr>
        <w:spacing w:before="80" w:after="160"/>
        <w:pBdr>
          <w:bottom w:val="single" w:sz="6" w:space="1" w:color="C9D6DE"/>
        </w:pBdr>
      </w:pPr>
    </w:p>
    <w:p>
      <w:pPr>
        <w:pStyle w:val="Heading1"/>
        <w:pBdr>
          <w:bottom w:val="single" w:sz="8" w:space="4" w:color="C9D6DE"/>
        </w:pBdr>
      </w:pPr>
      <w:r>
        <w:t>8. Trainer development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181"/>
            <w:shd w:val="clear" w:color="auto" w:fill="10375C"/>
          </w:tcPr>
          <w:p>
            <w:pPr>
              <w:spacing w:after="50" w:before="50"/>
            </w:pPr>
            <w:r>
              <w:rPr>
                <w:b/>
                <w:color w:val="FFFFFF"/>
                <w:sz w:val="17"/>
              </w:rPr>
              <w:t>Requirement</w:t>
            </w:r>
          </w:p>
        </w:tc>
        <w:tc>
          <w:tcPr>
            <w:tcW w:type="dxa" w:w="3287"/>
            <w:shd w:val="clear" w:color="auto" w:fill="10375C"/>
          </w:tcPr>
          <w:p>
            <w:pPr>
              <w:spacing w:after="50" w:before="50"/>
            </w:pPr>
            <w:r>
              <w:rPr>
                <w:b/>
                <w:color w:val="FFFFFF"/>
                <w:sz w:val="17"/>
              </w:rPr>
              <w:t>Frequency</w:t>
            </w:r>
          </w:p>
        </w:tc>
      </w:tr>
      <w:tr>
        <w:tc>
          <w:tcPr>
            <w:tcW w:type="dxa" w:w="6181"/>
          </w:tcPr>
          <w:p>
            <w:pPr>
              <w:spacing w:after="50" w:before="50" w:line="252" w:lineRule="auto"/>
            </w:pPr>
            <w:r>
              <w:rPr>
                <w:sz w:val="17"/>
              </w:rPr>
              <w:t>Observation by the Head of Curriculum</w:t>
            </w:r>
          </w:p>
        </w:tc>
        <w:tc>
          <w:tcPr>
            <w:tcW w:type="dxa" w:w="3287"/>
          </w:tcPr>
          <w:p>
            <w:pPr>
              <w:spacing w:after="50" w:before="50" w:line="252" w:lineRule="auto"/>
            </w:pPr>
            <w:r>
              <w:rPr>
                <w:sz w:val="17"/>
              </w:rPr>
              <w:t>Annually</w:t>
            </w:r>
          </w:p>
        </w:tc>
      </w:tr>
      <w:tr>
        <w:tc>
          <w:tcPr>
            <w:tcW w:type="dxa" w:w="6181"/>
            <w:shd w:val="clear" w:color="auto" w:fill="EAF1F4"/>
          </w:tcPr>
          <w:p>
            <w:pPr>
              <w:spacing w:after="50" w:before="50" w:line="252" w:lineRule="auto"/>
            </w:pPr>
            <w:r>
              <w:rPr>
                <w:sz w:val="17"/>
              </w:rPr>
              <w:t>Calibration session</w:t>
            </w:r>
          </w:p>
        </w:tc>
        <w:tc>
          <w:tcPr>
            <w:tcW w:type="dxa" w:w="3287"/>
            <w:shd w:val="clear" w:color="auto" w:fill="EAF1F4"/>
          </w:tcPr>
          <w:p>
            <w:pPr>
              <w:spacing w:after="50" w:before="50" w:line="252" w:lineRule="auto"/>
            </w:pPr>
            <w:r>
              <w:rPr>
                <w:sz w:val="17"/>
              </w:rPr>
              <w:t>Before every assessed cohort</w:t>
            </w:r>
          </w:p>
        </w:tc>
      </w:tr>
      <w:tr>
        <w:tc>
          <w:tcPr>
            <w:tcW w:type="dxa" w:w="6181"/>
          </w:tcPr>
          <w:p>
            <w:pPr>
              <w:spacing w:after="50" w:before="50" w:line="252" w:lineRule="auto"/>
            </w:pPr>
            <w:r>
              <w:rPr>
                <w:sz w:val="17"/>
              </w:rPr>
              <w:t>Continuing professional development</w:t>
            </w:r>
          </w:p>
        </w:tc>
        <w:tc>
          <w:tcPr>
            <w:tcW w:type="dxa" w:w="3287"/>
          </w:tcPr>
          <w:p>
            <w:pPr>
              <w:spacing w:after="50" w:before="50" w:line="252" w:lineRule="auto"/>
            </w:pPr>
            <w:r>
              <w:rPr>
                <w:sz w:val="17"/>
              </w:rPr>
              <w:t>[●] hours per year</w:t>
            </w:r>
          </w:p>
        </w:tc>
      </w:tr>
      <w:tr>
        <w:tc>
          <w:tcPr>
            <w:tcW w:type="dxa" w:w="6181"/>
            <w:shd w:val="clear" w:color="auto" w:fill="EAF1F4"/>
          </w:tcPr>
          <w:p>
            <w:pPr>
              <w:spacing w:after="50" w:before="50" w:line="252" w:lineRule="auto"/>
            </w:pPr>
            <w:r>
              <w:rPr>
                <w:sz w:val="17"/>
              </w:rPr>
              <w:t>Trainer forum — sharing what worked and what did not</w:t>
            </w:r>
          </w:p>
        </w:tc>
        <w:tc>
          <w:tcPr>
            <w:tcW w:type="dxa" w:w="3287"/>
            <w:shd w:val="clear" w:color="auto" w:fill="EAF1F4"/>
          </w:tcPr>
          <w:p>
            <w:pPr>
              <w:spacing w:after="50" w:before="50" w:line="252" w:lineRule="auto"/>
            </w:pPr>
            <w:r>
              <w:rPr>
                <w:sz w:val="17"/>
              </w:rPr>
              <w:t>Quarterly</w:t>
            </w:r>
          </w:p>
        </w:tc>
      </w:tr>
      <w:tr>
        <w:tc>
          <w:tcPr>
            <w:tcW w:type="dxa" w:w="6181"/>
          </w:tcPr>
          <w:p>
            <w:pPr>
              <w:spacing w:after="50" w:before="50" w:line="252" w:lineRule="auto"/>
            </w:pPr>
            <w:r>
              <w:rPr>
                <w:sz w:val="17"/>
              </w:rPr>
              <w:t>Curriculum update briefing</w:t>
            </w:r>
          </w:p>
        </w:tc>
        <w:tc>
          <w:tcPr>
            <w:tcW w:type="dxa" w:w="3287"/>
          </w:tcPr>
          <w:p>
            <w:pPr>
              <w:spacing w:after="50" w:before="50" w:line="252" w:lineRule="auto"/>
            </w:pPr>
            <w:r>
              <w:rPr>
                <w:sz w:val="17"/>
              </w:rPr>
              <w:t>On every version change</w:t>
            </w:r>
          </w:p>
        </w:tc>
      </w:tr>
    </w:tbl>
    <w:p>
      <w:pPr>
        <w:spacing w:after="80" w:before="0"/>
      </w:pPr>
    </w:p>
    <w:p>
      <w:r>
        <w:rPr>
          <w:b/>
        </w:rPr>
        <w:t>A closing note.</w:t>
      </w:r>
      <w:r>
        <w:t xml:space="preserve"> The participants in front of you will, within a few years, be the people conducting mediations in this country. What they learn about how to treat a party in a room, they will learn substantially from how you treat them in yours.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EQ-UAP-058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Trainer Manual &amp; Facilitation Guide</w:t>
    </w:r>
    <w:r>
      <w:rPr>
        <w:rFonts w:ascii="Calibri" w:hAnsi="Calibri"/>
        <w:color w:val="595959"/>
        <w:sz w:val="16"/>
      </w:rPr>
      <w:tab/>
      <w:t>Confidential — Internal. Issued to certified trainers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95525C4-7179-4EE7-8983-D2252E52425C}"/>
</file>

<file path=customXml/itemProps3.xml><?xml version="1.0" encoding="utf-8"?>
<ds:datastoreItem xmlns:ds="http://schemas.openxmlformats.org/officeDocument/2006/customXml" ds:itemID="{0EA3AC2F-D50C-4736-A7AC-4D8911099227}"/>
</file>

<file path=customXml/itemProps4.xml><?xml version="1.0" encoding="utf-8"?>
<ds:datastoreItem xmlns:ds="http://schemas.openxmlformats.org/officeDocument/2006/customXml" ds:itemID="{44B76F67-1525-4503-B46D-E7A134434EA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