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Competition Framework &amp; Governance</w:t>
      </w:r>
    </w:p>
    <w:p>
      <w:pPr>
        <w:spacing w:after="280" w:line="276" w:lineRule="auto"/>
      </w:pPr>
      <w:r>
        <w:rPr>
          <w:rFonts w:ascii="Calibri" w:hAnsi="Calibri"/>
          <w:i/>
          <w:color w:val="3E6B8A"/>
          <w:sz w:val="25"/>
        </w:rPr>
        <w:t>The competition portfolio, why Equator runs it, how it is governed, and the integrity architecture that makes it worth entering</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Equator runs competitions</w:t>
      </w:r>
    </w:p>
    <w:p>
      <w:r>
        <w:t>A competition is the cheapest and most durable form of institutional authority available to a training provider. It brings dozens of institutions to Equator without Equator approaching any of them; it puts Equator's method in front of the strongest students in the country; it draws the bench, the bar and in-house counsel onto a panel Equator convenes; and it produces a recruitment pipeline of people already observed under pressure.</w:t>
      </w:r>
    </w:p>
    <w:p>
      <w:r>
        <w:t>It also has to be run properly, because a competition with a disputed result is worse than no competition at all.</w:t>
      </w:r>
    </w:p>
    <w:p>
      <w:pPr>
        <w:pStyle w:val="Heading2"/>
      </w:pPr>
      <w:r>
        <w:t>1.1 What each competition delivers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609"/>
            <w:shd w:val="clear" w:color="auto" w:fill="10375C"/>
          </w:tcPr>
          <w:p>
            <w:pPr>
              <w:spacing w:after="50" w:before="50"/>
            </w:pPr>
            <w:r>
              <w:rPr>
                <w:b/>
                <w:color w:val="FFFFFF"/>
                <w:sz w:val="17"/>
              </w:rPr>
              <w:t>Competition</w:t>
            </w:r>
          </w:p>
        </w:tc>
        <w:tc>
          <w:tcPr>
            <w:tcW w:type="dxa" w:w="1798"/>
            <w:shd w:val="clear" w:color="auto" w:fill="10375C"/>
          </w:tcPr>
          <w:p>
            <w:pPr>
              <w:spacing w:after="50" w:before="50"/>
            </w:pPr>
            <w:r>
              <w:rPr>
                <w:b/>
                <w:color w:val="FFFFFF"/>
                <w:sz w:val="17"/>
              </w:rPr>
              <w:t>Pipeline</w:t>
            </w:r>
          </w:p>
        </w:tc>
        <w:tc>
          <w:tcPr>
            <w:tcW w:type="dxa" w:w="1310"/>
            <w:shd w:val="clear" w:color="auto" w:fill="10375C"/>
          </w:tcPr>
          <w:p>
            <w:pPr>
              <w:spacing w:after="50" w:before="50"/>
            </w:pPr>
            <w:r>
              <w:rPr>
                <w:b/>
                <w:color w:val="FFFFFF"/>
                <w:sz w:val="17"/>
              </w:rPr>
              <w:t>Credibility</w:t>
            </w:r>
          </w:p>
        </w:tc>
        <w:tc>
          <w:tcPr>
            <w:tcW w:type="dxa" w:w="3751"/>
            <w:shd w:val="clear" w:color="auto" w:fill="10375C"/>
          </w:tcPr>
          <w:p>
            <w:pPr>
              <w:spacing w:after="50" w:before="50"/>
            </w:pPr>
            <w:r>
              <w:rPr>
                <w:b/>
                <w:color w:val="FFFFFF"/>
                <w:sz w:val="17"/>
              </w:rPr>
              <w:t>Revenue</w:t>
            </w:r>
          </w:p>
        </w:tc>
      </w:tr>
      <w:tr>
        <w:tc>
          <w:tcPr>
            <w:tcW w:type="dxa" w:w="2609"/>
          </w:tcPr>
          <w:p>
            <w:pPr>
              <w:spacing w:after="50" w:before="50" w:line="252" w:lineRule="auto"/>
            </w:pPr>
            <w:r>
              <w:rPr>
                <w:sz w:val="17"/>
              </w:rPr>
              <w:t>Equator National Mediation Championship</w:t>
            </w:r>
          </w:p>
        </w:tc>
        <w:tc>
          <w:tcPr>
            <w:tcW w:type="dxa" w:w="1798"/>
          </w:tcPr>
          <w:p>
            <w:pPr>
              <w:spacing w:after="50" w:before="50" w:line="252" w:lineRule="auto"/>
            </w:pPr>
            <w:r>
              <w:rPr>
                <w:sz w:val="17"/>
              </w:rPr>
              <w:t>High — the finalists are the recruitment shortlist</w:t>
            </w:r>
          </w:p>
        </w:tc>
        <w:tc>
          <w:tcPr>
            <w:tcW w:type="dxa" w:w="1310"/>
          </w:tcPr>
          <w:p>
            <w:pPr>
              <w:spacing w:after="50" w:before="50" w:line="252" w:lineRule="auto"/>
            </w:pPr>
            <w:r>
              <w:rPr>
                <w:sz w:val="17"/>
              </w:rPr>
              <w:t>Very high</w:t>
            </w:r>
          </w:p>
        </w:tc>
        <w:tc>
          <w:tcPr>
            <w:tcW w:type="dxa" w:w="3751"/>
          </w:tcPr>
          <w:p>
            <w:pPr>
              <w:spacing w:after="50" w:before="50" w:line="252" w:lineRule="auto"/>
            </w:pPr>
            <w:r>
              <w:rPr>
                <w:sz w:val="17"/>
              </w:rPr>
              <w:t>Break-even by edition 2, surplus by edition 3</w:t>
            </w:r>
          </w:p>
        </w:tc>
      </w:tr>
      <w:tr>
        <w:tc>
          <w:tcPr>
            <w:tcW w:type="dxa" w:w="2609"/>
            <w:shd w:val="clear" w:color="auto" w:fill="EAF1F4"/>
          </w:tcPr>
          <w:p>
            <w:pPr>
              <w:spacing w:after="50" w:before="50" w:line="252" w:lineRule="auto"/>
            </w:pPr>
            <w:r>
              <w:rPr>
                <w:sz w:val="17"/>
              </w:rPr>
              <w:t>Equator Arbitration Moot</w:t>
            </w:r>
          </w:p>
        </w:tc>
        <w:tc>
          <w:tcPr>
            <w:tcW w:type="dxa" w:w="1798"/>
            <w:shd w:val="clear" w:color="auto" w:fill="EAF1F4"/>
          </w:tcPr>
          <w:p>
            <w:pPr>
              <w:spacing w:after="50" w:before="50" w:line="252" w:lineRule="auto"/>
            </w:pPr>
            <w:r>
              <w:rPr>
                <w:sz w:val="17"/>
              </w:rPr>
              <w:t>Medium</w:t>
            </w:r>
          </w:p>
        </w:tc>
        <w:tc>
          <w:tcPr>
            <w:tcW w:type="dxa" w:w="1310"/>
            <w:shd w:val="clear" w:color="auto" w:fill="EAF1F4"/>
          </w:tcPr>
          <w:p>
            <w:pPr>
              <w:spacing w:after="50" w:before="50" w:line="252" w:lineRule="auto"/>
            </w:pPr>
            <w:r>
              <w:rPr>
                <w:sz w:val="17"/>
              </w:rPr>
              <w:t>High</w:t>
            </w:r>
          </w:p>
        </w:tc>
        <w:tc>
          <w:tcPr>
            <w:tcW w:type="dxa" w:w="3751"/>
            <w:shd w:val="clear" w:color="auto" w:fill="EAF1F4"/>
          </w:tcPr>
          <w:p>
            <w:pPr>
              <w:spacing w:after="50" w:before="50" w:line="252" w:lineRule="auto"/>
            </w:pPr>
            <w:r>
              <w:rPr>
                <w:sz w:val="17"/>
              </w:rPr>
              <w:t>Best sponsorship attraction; law firms fund arbitration more readily than mediation</w:t>
            </w:r>
          </w:p>
        </w:tc>
      </w:tr>
      <w:tr>
        <w:tc>
          <w:tcPr>
            <w:tcW w:type="dxa" w:w="2609"/>
          </w:tcPr>
          <w:p>
            <w:pPr>
              <w:spacing w:after="50" w:before="50" w:line="252" w:lineRule="auto"/>
            </w:pPr>
            <w:r>
              <w:rPr>
                <w:sz w:val="17"/>
              </w:rPr>
              <w:t>Equator National Negotiation Championship</w:t>
            </w:r>
          </w:p>
        </w:tc>
        <w:tc>
          <w:tcPr>
            <w:tcW w:type="dxa" w:w="1798"/>
          </w:tcPr>
          <w:p>
            <w:pPr>
              <w:spacing w:after="50" w:before="50" w:line="252" w:lineRule="auto"/>
            </w:pPr>
            <w:r>
              <w:rPr>
                <w:sz w:val="17"/>
              </w:rPr>
              <w:t>Medium</w:t>
            </w:r>
          </w:p>
        </w:tc>
        <w:tc>
          <w:tcPr>
            <w:tcW w:type="dxa" w:w="1310"/>
          </w:tcPr>
          <w:p>
            <w:pPr>
              <w:spacing w:after="50" w:before="50" w:line="252" w:lineRule="auto"/>
            </w:pPr>
            <w:r>
              <w:rPr>
                <w:sz w:val="17"/>
              </w:rPr>
              <w:t>Medium</w:t>
            </w:r>
          </w:p>
        </w:tc>
        <w:tc>
          <w:tcPr>
            <w:tcW w:type="dxa" w:w="3751"/>
          </w:tcPr>
          <w:p>
            <w:pPr>
              <w:spacing w:after="50" w:before="50" w:line="252" w:lineRule="auto"/>
            </w:pPr>
            <w:r>
              <w:rPr>
                <w:sz w:val="17"/>
              </w:rPr>
              <w:t>Entry point to management schools</w:t>
            </w:r>
          </w:p>
        </w:tc>
      </w:tr>
      <w:tr>
        <w:tc>
          <w:tcPr>
            <w:tcW w:type="dxa" w:w="2609"/>
            <w:shd w:val="clear" w:color="auto" w:fill="EAF1F4"/>
          </w:tcPr>
          <w:p>
            <w:pPr>
              <w:spacing w:after="50" w:before="50" w:line="252" w:lineRule="auto"/>
            </w:pPr>
            <w:r>
              <w:rPr>
                <w:sz w:val="17"/>
              </w:rPr>
              <w:t>ODR Challenge</w:t>
            </w:r>
          </w:p>
        </w:tc>
        <w:tc>
          <w:tcPr>
            <w:tcW w:type="dxa" w:w="1798"/>
            <w:shd w:val="clear" w:color="auto" w:fill="EAF1F4"/>
          </w:tcPr>
          <w:p>
            <w:pPr>
              <w:spacing w:after="50" w:before="50" w:line="252" w:lineRule="auto"/>
            </w:pPr>
            <w:r>
              <w:rPr>
                <w:sz w:val="17"/>
              </w:rPr>
              <w:t>Low</w:t>
            </w:r>
          </w:p>
        </w:tc>
        <w:tc>
          <w:tcPr>
            <w:tcW w:type="dxa" w:w="1310"/>
            <w:shd w:val="clear" w:color="auto" w:fill="EAF1F4"/>
          </w:tcPr>
          <w:p>
            <w:pPr>
              <w:spacing w:after="50" w:before="50" w:line="252" w:lineRule="auto"/>
            </w:pPr>
            <w:r>
              <w:rPr>
                <w:sz w:val="17"/>
              </w:rPr>
              <w:t>High, and novel</w:t>
            </w:r>
          </w:p>
        </w:tc>
        <w:tc>
          <w:tcPr>
            <w:tcW w:type="dxa" w:w="3751"/>
            <w:shd w:val="clear" w:color="auto" w:fill="EAF1F4"/>
          </w:tcPr>
          <w:p>
            <w:pPr>
              <w:spacing w:after="50" w:before="50" w:line="252" w:lineRule="auto"/>
            </w:pPr>
            <w:r>
              <w:rPr>
                <w:sz w:val="17"/>
              </w:rPr>
              <w:t>Sponsorship from technology and platform sponsors</w:t>
            </w:r>
          </w:p>
        </w:tc>
      </w:tr>
      <w:tr>
        <w:tc>
          <w:tcPr>
            <w:tcW w:type="dxa" w:w="2609"/>
          </w:tcPr>
          <w:p>
            <w:pPr>
              <w:spacing w:after="50" w:before="50" w:line="252" w:lineRule="auto"/>
            </w:pPr>
            <w:r>
              <w:rPr>
                <w:sz w:val="17"/>
              </w:rPr>
              <w:t>Community Mediation Challenge</w:t>
            </w:r>
          </w:p>
        </w:tc>
        <w:tc>
          <w:tcPr>
            <w:tcW w:type="dxa" w:w="1798"/>
          </w:tcPr>
          <w:p>
            <w:pPr>
              <w:spacing w:after="50" w:before="50" w:line="252" w:lineRule="auto"/>
            </w:pPr>
            <w:r>
              <w:rPr>
                <w:sz w:val="17"/>
              </w:rPr>
              <w:t>Low</w:t>
            </w:r>
          </w:p>
        </w:tc>
        <w:tc>
          <w:tcPr>
            <w:tcW w:type="dxa" w:w="1310"/>
          </w:tcPr>
          <w:p>
            <w:pPr>
              <w:spacing w:after="50" w:before="50" w:line="252" w:lineRule="auto"/>
            </w:pPr>
            <w:r>
              <w:rPr>
                <w:sz w:val="17"/>
              </w:rPr>
              <w:t>High, social-impact framing</w:t>
            </w:r>
          </w:p>
        </w:tc>
        <w:tc>
          <w:tcPr>
            <w:tcW w:type="dxa" w:w="3751"/>
          </w:tcPr>
          <w:p>
            <w:pPr>
              <w:spacing w:after="50" w:before="50" w:line="252" w:lineRule="auto"/>
            </w:pPr>
            <w:r>
              <w:rPr>
                <w:sz w:val="17"/>
              </w:rPr>
              <w:t>CSR-fundable</w:t>
            </w:r>
          </w:p>
        </w:tc>
      </w:tr>
      <w:tr>
        <w:tc>
          <w:tcPr>
            <w:tcW w:type="dxa" w:w="2609"/>
            <w:shd w:val="clear" w:color="auto" w:fill="EAF1F4"/>
          </w:tcPr>
          <w:p>
            <w:pPr>
              <w:spacing w:after="50" w:before="50" w:line="252" w:lineRule="auto"/>
            </w:pPr>
            <w:r>
              <w:rPr>
                <w:sz w:val="17"/>
              </w:rPr>
              <w:t>Intra-university selection rounds</w:t>
            </w:r>
          </w:p>
        </w:tc>
        <w:tc>
          <w:tcPr>
            <w:tcW w:type="dxa" w:w="1798"/>
            <w:shd w:val="clear" w:color="auto" w:fill="EAF1F4"/>
          </w:tcPr>
          <w:p>
            <w:pPr>
              <w:spacing w:after="50" w:before="50" w:line="252" w:lineRule="auto"/>
            </w:pPr>
            <w:r>
              <w:rPr>
                <w:b/>
                <w:sz w:val="17"/>
              </w:rPr>
              <w:t>Highest</w:t>
            </w:r>
          </w:p>
        </w:tc>
        <w:tc>
          <w:tcPr>
            <w:tcW w:type="dxa" w:w="1310"/>
            <w:shd w:val="clear" w:color="auto" w:fill="EAF1F4"/>
          </w:tcPr>
          <w:p>
            <w:pPr>
              <w:spacing w:after="50" w:before="50" w:line="252" w:lineRule="auto"/>
            </w:pPr>
            <w:r>
              <w:rPr>
                <w:sz w:val="17"/>
              </w:rPr>
              <w:t>Low</w:t>
            </w:r>
          </w:p>
        </w:tc>
        <w:tc>
          <w:tcPr>
            <w:tcW w:type="dxa" w:w="3751"/>
            <w:shd w:val="clear" w:color="auto" w:fill="EAF1F4"/>
          </w:tcPr>
          <w:p>
            <w:pPr>
              <w:spacing w:after="50" w:before="50" w:line="252" w:lineRule="auto"/>
            </w:pPr>
            <w:r>
              <w:rPr>
                <w:sz w:val="17"/>
              </w:rPr>
              <w:t>Free; the feeder for everything</w:t>
            </w:r>
          </w:p>
        </w:tc>
      </w:tr>
      <w:tr>
        <w:tc>
          <w:tcPr>
            <w:tcW w:type="dxa" w:w="2609"/>
          </w:tcPr>
          <w:p>
            <w:pPr>
              <w:spacing w:after="50" w:before="50" w:line="252" w:lineRule="auto"/>
            </w:pPr>
            <w:r>
              <w:rPr>
                <w:sz w:val="17"/>
              </w:rPr>
              <w:t>School peer-mediation contest</w:t>
            </w:r>
          </w:p>
        </w:tc>
        <w:tc>
          <w:tcPr>
            <w:tcW w:type="dxa" w:w="1798"/>
          </w:tcPr>
          <w:p>
            <w:pPr>
              <w:spacing w:after="50" w:before="50" w:line="252" w:lineRule="auto"/>
            </w:pPr>
            <w:r>
              <w:rPr>
                <w:sz w:val="17"/>
              </w:rPr>
              <w:t>Low</w:t>
            </w:r>
          </w:p>
        </w:tc>
        <w:tc>
          <w:tcPr>
            <w:tcW w:type="dxa" w:w="1310"/>
          </w:tcPr>
          <w:p>
            <w:pPr>
              <w:spacing w:after="50" w:before="50" w:line="252" w:lineRule="auto"/>
            </w:pPr>
            <w:r>
              <w:rPr>
                <w:sz w:val="17"/>
              </w:rPr>
              <w:t>Public visibility</w:t>
            </w:r>
          </w:p>
        </w:tc>
        <w:tc>
          <w:tcPr>
            <w:tcW w:type="dxa" w:w="3751"/>
          </w:tcPr>
          <w:p>
            <w:pPr>
              <w:spacing w:after="50" w:before="50" w:line="252" w:lineRule="auto"/>
            </w:pPr>
            <w:r>
              <w:rPr>
                <w:sz w:val="17"/>
              </w:rPr>
              <w:t>Sponsorable</w:t>
            </w:r>
          </w:p>
        </w:tc>
      </w:tr>
    </w:tbl>
    <w:p>
      <w:pPr>
        <w:spacing w:after="80" w:before="0"/>
      </w:pPr>
    </w:p>
    <w:p>
      <w:pPr>
        <w:pStyle w:val="Heading2"/>
      </w:pPr>
      <w:r>
        <w:t>1.2 Calendar position — a deliberate choice</w:t>
      </w:r>
    </w:p>
    <w:p>
      <w:r>
        <w:t xml:space="preserve">The Indian mediation competition circuit is heavily concentrated between </w:t>
      </w:r>
      <w:r>
        <w:rPr>
          <w:b/>
        </w:rPr>
        <w:t>February and March</w:t>
      </w:r>
      <w:r>
        <w:t>, with a further cluster later in the year, and internationally the principal fixtures fall in early February and July. Entering that window means competing for the same teams, the same judges and the same sponsors.</w:t>
      </w:r>
    </w:p>
    <w:p>
      <w:r>
        <w:rPr>
          <w:b/>
        </w:rPr>
        <w:t>Equator's national edition is therefore positioned in [October], aligned to Mediation Week</w:t>
      </w:r>
      <w:r>
        <w:t>, in a clear field. Regional rounds run in August and September and feed it.</w:t>
      </w:r>
    </w:p>
    <w:p>
      <w:pPr>
        <w:spacing w:before="80" w:after="160"/>
        <w:pBdr>
          <w:bottom w:val="single" w:sz="6" w:space="1" w:color="C9D6DE"/>
        </w:pBdr>
      </w:pPr>
    </w:p>
    <w:p>
      <w:pPr>
        <w:pStyle w:val="Heading1"/>
        <w:pBdr>
          <w:bottom w:val="single" w:sz="8" w:space="4" w:color="C9D6DE"/>
        </w:pBdr>
      </w:pPr>
      <w:r>
        <w:t>2. Governance</w:t>
      </w:r>
    </w:p>
    <w:p>
      <w:pPr>
        <w:pStyle w:val="Heading2"/>
      </w:pPr>
      <w:r>
        <w:t>2.1 The Competition Committee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543"/>
            <w:shd w:val="clear" w:color="auto" w:fill="10375C"/>
          </w:tcPr>
          <w:p>
            <w:pPr>
              <w:spacing w:after="50" w:before="50"/>
            </w:pPr>
            <w:r>
              <w:rPr>
                <w:b/>
                <w:color w:val="FFFFFF"/>
                <w:sz w:val="17"/>
              </w:rPr>
              <w:t>Item</w:t>
            </w:r>
          </w:p>
        </w:tc>
        <w:tc>
          <w:tcPr>
            <w:tcW w:type="dxa" w:w="7925"/>
            <w:shd w:val="clear" w:color="auto" w:fill="10375C"/>
          </w:tcPr>
          <w:p>
            <w:pPr>
              <w:spacing w:after="50" w:before="50"/>
            </w:pPr>
            <w:r>
              <w:rPr>
                <w:b/>
                <w:color w:val="FFFFFF"/>
                <w:sz w:val="17"/>
              </w:rPr>
              <w:t>Detail</w:t>
            </w:r>
          </w:p>
        </w:tc>
      </w:tr>
      <w:tr>
        <w:tc>
          <w:tcPr>
            <w:tcW w:type="dxa" w:w="1543"/>
          </w:tcPr>
          <w:p>
            <w:pPr>
              <w:spacing w:after="50" w:before="50" w:line="252" w:lineRule="auto"/>
            </w:pPr>
            <w:r>
              <w:rPr>
                <w:sz w:val="17"/>
              </w:rPr>
              <w:t>Composition</w:t>
            </w:r>
          </w:p>
        </w:tc>
        <w:tc>
          <w:tcPr>
            <w:tcW w:type="dxa" w:w="7925"/>
          </w:tcPr>
          <w:p>
            <w:pPr>
              <w:spacing w:after="50" w:before="50" w:line="252" w:lineRule="auto"/>
            </w:pPr>
            <w:r>
              <w:rPr>
                <w:sz w:val="17"/>
              </w:rPr>
              <w:t xml:space="preserve">Competition Convenor (chair); Head of Curriculum; two external practitioners of standing, at least one from the bench or senior bar; one representative of the host institution, </w:t>
            </w:r>
            <w:r>
              <w:rPr>
                <w:b/>
                <w:sz w:val="17"/>
              </w:rPr>
              <w:t>who withdraws from any matter concerning that institution's teams</w:t>
            </w:r>
          </w:p>
        </w:tc>
      </w:tr>
      <w:tr>
        <w:tc>
          <w:tcPr>
            <w:tcW w:type="dxa" w:w="1543"/>
            <w:shd w:val="clear" w:color="auto" w:fill="EAF1F4"/>
          </w:tcPr>
          <w:p>
            <w:pPr>
              <w:spacing w:after="50" w:before="50" w:line="252" w:lineRule="auto"/>
            </w:pPr>
            <w:r>
              <w:rPr>
                <w:sz w:val="17"/>
              </w:rPr>
              <w:t>Meetings</w:t>
            </w:r>
          </w:p>
        </w:tc>
        <w:tc>
          <w:tcPr>
            <w:tcW w:type="dxa" w:w="7925"/>
            <w:shd w:val="clear" w:color="auto" w:fill="EAF1F4"/>
          </w:tcPr>
          <w:p>
            <w:pPr>
              <w:spacing w:after="50" w:before="50" w:line="252" w:lineRule="auto"/>
            </w:pPr>
            <w:r>
              <w:rPr>
                <w:sz w:val="17"/>
              </w:rPr>
              <w:t>Not fewer than three per edition — problem approval, judge panel approval, post-edition review — and on any integrity challenge</w:t>
            </w:r>
          </w:p>
        </w:tc>
      </w:tr>
      <w:tr>
        <w:tc>
          <w:tcPr>
            <w:tcW w:type="dxa" w:w="1543"/>
          </w:tcPr>
          <w:p>
            <w:pPr>
              <w:spacing w:after="50" w:before="50" w:line="252" w:lineRule="auto"/>
            </w:pPr>
            <w:r>
              <w:rPr>
                <w:sz w:val="17"/>
              </w:rPr>
              <w:t>Authority</w:t>
            </w:r>
          </w:p>
        </w:tc>
        <w:tc>
          <w:tcPr>
            <w:tcW w:type="dxa" w:w="7925"/>
          </w:tcPr>
          <w:p>
            <w:pPr>
              <w:spacing w:after="50" w:before="50" w:line="252" w:lineRule="auto"/>
            </w:pPr>
            <w:r>
              <w:rPr>
                <w:sz w:val="17"/>
              </w:rPr>
              <w:t>Approval of the problem and confidential briefs; the rules; the judging criteria; appointment of judges; rulings on integrity challenges; the results</w:t>
            </w:r>
          </w:p>
        </w:tc>
      </w:tr>
      <w:tr>
        <w:tc>
          <w:tcPr>
            <w:tcW w:type="dxa" w:w="1543"/>
            <w:shd w:val="clear" w:color="auto" w:fill="EAF1F4"/>
          </w:tcPr>
          <w:p>
            <w:pPr>
              <w:spacing w:after="50" w:before="50" w:line="252" w:lineRule="auto"/>
            </w:pPr>
            <w:r>
              <w:rPr>
                <w:sz w:val="17"/>
              </w:rPr>
              <w:t>Finality</w:t>
            </w:r>
          </w:p>
        </w:tc>
        <w:tc>
          <w:tcPr>
            <w:tcW w:type="dxa" w:w="7925"/>
            <w:shd w:val="clear" w:color="auto" w:fill="EAF1F4"/>
          </w:tcPr>
          <w:p>
            <w:pPr>
              <w:spacing w:after="50" w:before="50" w:line="252" w:lineRule="auto"/>
            </w:pPr>
            <w:r>
              <w:rPr>
                <w:sz w:val="17"/>
              </w:rPr>
              <w:t xml:space="preserve">The Committee's decisions on competition matters are </w:t>
            </w:r>
            <w:r>
              <w:rPr>
                <w:b/>
                <w:sz w:val="17"/>
              </w:rPr>
              <w:t>final</w:t>
            </w:r>
            <w:r>
              <w:rPr>
                <w:sz w:val="17"/>
              </w:rPr>
              <w:t xml:space="preserve"> and are expressly excluded from the dispute resolution clause of any Memorandum of Understanding</w:t>
            </w:r>
          </w:p>
        </w:tc>
      </w:tr>
      <w:tr>
        <w:tc>
          <w:tcPr>
            <w:tcW w:type="dxa" w:w="1543"/>
          </w:tcPr>
          <w:p>
            <w:pPr>
              <w:spacing w:after="50" w:before="50" w:line="252" w:lineRule="auto"/>
            </w:pPr>
            <w:r>
              <w:rPr>
                <w:sz w:val="17"/>
              </w:rPr>
              <w:t>Records</w:t>
            </w:r>
          </w:p>
        </w:tc>
        <w:tc>
          <w:tcPr>
            <w:tcW w:type="dxa" w:w="7925"/>
          </w:tcPr>
          <w:p>
            <w:pPr>
              <w:spacing w:after="50" w:before="50" w:line="252" w:lineRule="auto"/>
            </w:pPr>
            <w:r>
              <w:rPr>
                <w:sz w:val="17"/>
              </w:rPr>
              <w:t>Minutes retained for five years; integrity rulings retained permanently</w:t>
            </w:r>
          </w:p>
        </w:tc>
      </w:tr>
    </w:tbl>
    <w:p>
      <w:pPr>
        <w:spacing w:after="80" w:before="0"/>
      </w:pPr>
    </w:p>
    <w:p>
      <w:pPr>
        <w:pStyle w:val="Heading2"/>
      </w:pPr>
      <w:r>
        <w:t>2.2 Roles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89"/>
            <w:shd w:val="clear" w:color="auto" w:fill="10375C"/>
          </w:tcPr>
          <w:p>
            <w:pPr>
              <w:spacing w:after="50" w:before="50"/>
            </w:pPr>
            <w:r>
              <w:rPr>
                <w:b/>
                <w:color w:val="FFFFFF"/>
                <w:sz w:val="17"/>
              </w:rPr>
              <w:t>Role</w:t>
            </w:r>
          </w:p>
        </w:tc>
        <w:tc>
          <w:tcPr>
            <w:tcW w:type="dxa" w:w="7079"/>
            <w:shd w:val="clear" w:color="auto" w:fill="10375C"/>
          </w:tcPr>
          <w:p>
            <w:pPr>
              <w:spacing w:after="50" w:before="50"/>
            </w:pPr>
            <w:r>
              <w:rPr>
                <w:b/>
                <w:color w:val="FFFFFF"/>
                <w:sz w:val="17"/>
              </w:rPr>
              <w:t>Responsibility</w:t>
            </w:r>
          </w:p>
        </w:tc>
      </w:tr>
      <w:tr>
        <w:tc>
          <w:tcPr>
            <w:tcW w:type="dxa" w:w="2389"/>
          </w:tcPr>
          <w:p>
            <w:pPr>
              <w:spacing w:after="50" w:before="50" w:line="252" w:lineRule="auto"/>
            </w:pPr>
            <w:r>
              <w:rPr>
                <w:sz w:val="17"/>
              </w:rPr>
              <w:t>Competition Convenor</w:t>
            </w:r>
          </w:p>
        </w:tc>
        <w:tc>
          <w:tcPr>
            <w:tcW w:type="dxa" w:w="7079"/>
          </w:tcPr>
          <w:p>
            <w:pPr>
              <w:spacing w:after="50" w:before="50" w:line="252" w:lineRule="auto"/>
            </w:pPr>
            <w:r>
              <w:rPr>
                <w:sz w:val="17"/>
              </w:rPr>
              <w:t>Overall conduct; problem commissioning; judge recruitment; integrity</w:t>
            </w:r>
          </w:p>
        </w:tc>
      </w:tr>
      <w:tr>
        <w:tc>
          <w:tcPr>
            <w:tcW w:type="dxa" w:w="2389"/>
            <w:shd w:val="clear" w:color="auto" w:fill="EAF1F4"/>
          </w:tcPr>
          <w:p>
            <w:pPr>
              <w:spacing w:after="50" w:before="50" w:line="252" w:lineRule="auto"/>
            </w:pPr>
            <w:r>
              <w:rPr>
                <w:sz w:val="17"/>
              </w:rPr>
              <w:t>Problem Author</w:t>
            </w:r>
          </w:p>
        </w:tc>
        <w:tc>
          <w:tcPr>
            <w:tcW w:type="dxa" w:w="7079"/>
            <w:shd w:val="clear" w:color="auto" w:fill="EAF1F4"/>
          </w:tcPr>
          <w:p>
            <w:pPr>
              <w:spacing w:after="50" w:before="50" w:line="252" w:lineRule="auto"/>
            </w:pPr>
            <w:r>
              <w:rPr>
                <w:sz w:val="17"/>
              </w:rPr>
              <w:t xml:space="preserve">Drafts the problem and confidential briefs; </w:t>
            </w:r>
            <w:r>
              <w:rPr>
                <w:b/>
                <w:sz w:val="17"/>
              </w:rPr>
              <w:t>is thereafter ineligible to judge, coach or attend any session in that edition</w:t>
            </w:r>
          </w:p>
        </w:tc>
      </w:tr>
      <w:tr>
        <w:tc>
          <w:tcPr>
            <w:tcW w:type="dxa" w:w="2389"/>
          </w:tcPr>
          <w:p>
            <w:pPr>
              <w:spacing w:after="50" w:before="50" w:line="252" w:lineRule="auto"/>
            </w:pPr>
            <w:r>
              <w:rPr>
                <w:sz w:val="17"/>
              </w:rPr>
              <w:t>Session Supervisor</w:t>
            </w:r>
          </w:p>
        </w:tc>
        <w:tc>
          <w:tcPr>
            <w:tcW w:type="dxa" w:w="7079"/>
          </w:tcPr>
          <w:p>
            <w:pPr>
              <w:spacing w:after="50" w:before="50" w:line="252" w:lineRule="auto"/>
            </w:pPr>
            <w:r>
              <w:rPr>
                <w:sz w:val="17"/>
              </w:rPr>
              <w:t xml:space="preserve">One per room; timekeeping; rule compliance; collects scoresheets; </w:t>
            </w:r>
            <w:r>
              <w:rPr>
                <w:b/>
                <w:sz w:val="17"/>
              </w:rPr>
              <w:t>never scores</w:t>
            </w:r>
          </w:p>
        </w:tc>
      </w:tr>
      <w:tr>
        <w:tc>
          <w:tcPr>
            <w:tcW w:type="dxa" w:w="2389"/>
            <w:shd w:val="clear" w:color="auto" w:fill="EAF1F4"/>
          </w:tcPr>
          <w:p>
            <w:pPr>
              <w:spacing w:after="50" w:before="50" w:line="252" w:lineRule="auto"/>
            </w:pPr>
            <w:r>
              <w:rPr>
                <w:sz w:val="17"/>
              </w:rPr>
              <w:t>Scoring Officer</w:t>
            </w:r>
          </w:p>
        </w:tc>
        <w:tc>
          <w:tcPr>
            <w:tcW w:type="dxa" w:w="7079"/>
            <w:shd w:val="clear" w:color="auto" w:fill="EAF1F4"/>
          </w:tcPr>
          <w:p>
            <w:pPr>
              <w:spacing w:after="50" w:before="50" w:line="252" w:lineRule="auto"/>
            </w:pPr>
            <w:r>
              <w:rPr>
                <w:sz w:val="17"/>
              </w:rPr>
              <w:t>Receives, checks and enters scoresheets; two-person verification; never a judge</w:t>
            </w:r>
          </w:p>
        </w:tc>
      </w:tr>
      <w:tr>
        <w:tc>
          <w:tcPr>
            <w:tcW w:type="dxa" w:w="2389"/>
          </w:tcPr>
          <w:p>
            <w:pPr>
              <w:spacing w:after="50" w:before="50" w:line="252" w:lineRule="auto"/>
            </w:pPr>
            <w:r>
              <w:rPr>
                <w:sz w:val="17"/>
              </w:rPr>
              <w:t>Judges</w:t>
            </w:r>
          </w:p>
        </w:tc>
        <w:tc>
          <w:tcPr>
            <w:tcW w:type="dxa" w:w="7079"/>
          </w:tcPr>
          <w:p>
            <w:pPr>
              <w:spacing w:after="50" w:before="50" w:line="252" w:lineRule="auto"/>
            </w:pPr>
            <w:r>
              <w:rPr>
                <w:sz w:val="17"/>
              </w:rPr>
              <w:t>Score to the published criteria and give oral feedback</w:t>
            </w:r>
          </w:p>
        </w:tc>
      </w:tr>
      <w:tr>
        <w:tc>
          <w:tcPr>
            <w:tcW w:type="dxa" w:w="2389"/>
            <w:shd w:val="clear" w:color="auto" w:fill="EAF1F4"/>
          </w:tcPr>
          <w:p>
            <w:pPr>
              <w:spacing w:after="50" w:before="50" w:line="252" w:lineRule="auto"/>
            </w:pPr>
            <w:r>
              <w:rPr>
                <w:sz w:val="17"/>
              </w:rPr>
              <w:t>Mediators</w:t>
            </w:r>
          </w:p>
        </w:tc>
        <w:tc>
          <w:tcPr>
            <w:tcW w:type="dxa" w:w="7079"/>
            <w:shd w:val="clear" w:color="auto" w:fill="EAF1F4"/>
          </w:tcPr>
          <w:p>
            <w:pPr>
              <w:spacing w:after="50" w:before="50" w:line="252" w:lineRule="auto"/>
            </w:pPr>
            <w:r>
              <w:rPr>
                <w:sz w:val="17"/>
              </w:rPr>
              <w:t xml:space="preserve">Conduct the sessions; </w:t>
            </w:r>
            <w:r>
              <w:rPr>
                <w:b/>
                <w:sz w:val="17"/>
              </w:rPr>
              <w:t>do not score, and do not participate in scoring discussions</w:t>
            </w:r>
          </w:p>
        </w:tc>
      </w:tr>
      <w:tr>
        <w:tc>
          <w:tcPr>
            <w:tcW w:type="dxa" w:w="2389"/>
          </w:tcPr>
          <w:p>
            <w:pPr>
              <w:spacing w:after="50" w:before="50" w:line="252" w:lineRule="auto"/>
            </w:pPr>
            <w:r>
              <w:rPr>
                <w:sz w:val="17"/>
              </w:rPr>
              <w:t>Registration Officer</w:t>
            </w:r>
          </w:p>
        </w:tc>
        <w:tc>
          <w:tcPr>
            <w:tcW w:type="dxa" w:w="7079"/>
          </w:tcPr>
          <w:p>
            <w:pPr>
              <w:spacing w:after="50" w:before="50" w:line="252" w:lineRule="auto"/>
            </w:pPr>
            <w:r>
              <w:rPr>
                <w:sz w:val="17"/>
              </w:rPr>
              <w:t>Eligibility verification; team records; data protection compliance</w:t>
            </w:r>
          </w:p>
        </w:tc>
      </w:tr>
    </w:tbl>
    <w:p>
      <w:pPr>
        <w:spacing w:after="80" w:before="0"/>
      </w:pPr>
    </w:p>
    <w:p>
      <w:pPr>
        <w:pStyle w:val="Heading2"/>
      </w:pPr>
      <w:r>
        <w:t>2.3 The separation that matters most</w:t>
      </w:r>
    </w:p>
    <w:p>
      <w:r>
        <w:rPr>
          <w:b/>
        </w:rPr>
        <w:t>The person who writes the problem does not judge it, does not attend sessions, and does not speak to any team.</w:t>
      </w:r>
      <w:r>
        <w:t xml:space="preserve"> The person who mediates a session does not score it. The person who scores does not enter the scores. The host institution's organising team has no access to materials before release, and its representative on the Committee withdraws from anything touching its own teams.</w:t>
      </w:r>
    </w:p>
    <w:p>
      <w:r>
        <w:t>These separations are not bureaucratic. They are the entire reason a team from a rival institution is willing to travel to another campus and accept the result.</w:t>
      </w:r>
    </w:p>
    <w:p>
      <w:pPr>
        <w:spacing w:before="80" w:after="160"/>
        <w:pBdr>
          <w:bottom w:val="single" w:sz="6" w:space="1" w:color="C9D6DE"/>
        </w:pBdr>
      </w:pPr>
    </w:p>
    <w:p>
      <w:pPr>
        <w:pStyle w:val="Heading1"/>
        <w:pBdr>
          <w:bottom w:val="single" w:sz="8" w:space="4" w:color="C9D6DE"/>
        </w:pBdr>
      </w:pPr>
      <w:r>
        <w:t>3. Integrity architecture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w:t>
            </w:r>
          </w:p>
        </w:tc>
        <w:tc>
          <w:tcPr>
            <w:tcW w:type="dxa" w:w="3925"/>
            <w:shd w:val="clear" w:color="auto" w:fill="10375C"/>
          </w:tcPr>
          <w:p>
            <w:pPr>
              <w:spacing w:after="50" w:before="50"/>
            </w:pPr>
            <w:r>
              <w:rPr>
                <w:b/>
                <w:color w:val="FFFFFF"/>
                <w:sz w:val="17"/>
              </w:rPr>
              <w:t>Risk</w:t>
            </w:r>
          </w:p>
        </w:tc>
        <w:tc>
          <w:tcPr>
            <w:tcW w:type="dxa" w:w="5039"/>
            <w:shd w:val="clear" w:color="auto" w:fill="10375C"/>
          </w:tcPr>
          <w:p>
            <w:pPr>
              <w:spacing w:after="50" w:before="50"/>
            </w:pPr>
            <w:r>
              <w:rPr>
                <w:b/>
                <w:color w:val="FFFFFF"/>
                <w:sz w:val="17"/>
              </w:rPr>
              <w:t>Control</w:t>
            </w:r>
          </w:p>
        </w:tc>
      </w:tr>
      <w:tr>
        <w:tc>
          <w:tcPr>
            <w:tcW w:type="dxa" w:w="850"/>
          </w:tcPr>
          <w:p>
            <w:pPr>
              <w:spacing w:after="50" w:before="50" w:line="252" w:lineRule="auto"/>
            </w:pPr>
            <w:r>
              <w:rPr>
                <w:sz w:val="17"/>
              </w:rPr>
              <w:t>I1</w:t>
            </w:r>
          </w:p>
        </w:tc>
        <w:tc>
          <w:tcPr>
            <w:tcW w:type="dxa" w:w="3925"/>
          </w:tcPr>
          <w:p>
            <w:pPr>
              <w:spacing w:after="50" w:before="50" w:line="252" w:lineRule="auto"/>
            </w:pPr>
            <w:r>
              <w:rPr>
                <w:sz w:val="17"/>
              </w:rPr>
              <w:t>Advance access to the problem or a confidential brief</w:t>
            </w:r>
          </w:p>
        </w:tc>
        <w:tc>
          <w:tcPr>
            <w:tcW w:type="dxa" w:w="5039"/>
          </w:tcPr>
          <w:p>
            <w:pPr>
              <w:spacing w:after="50" w:before="50" w:line="252" w:lineRule="auto"/>
            </w:pPr>
            <w:r>
              <w:rPr>
                <w:sz w:val="17"/>
              </w:rPr>
              <w:t>Materials held by the Convenor alone until scheduled release; released simultaneously to all teams by a single automated despatch; every recipient logged</w:t>
            </w:r>
          </w:p>
        </w:tc>
      </w:tr>
      <w:tr>
        <w:tc>
          <w:tcPr>
            <w:tcW w:type="dxa" w:w="850"/>
            <w:shd w:val="clear" w:color="auto" w:fill="EAF1F4"/>
          </w:tcPr>
          <w:p>
            <w:pPr>
              <w:spacing w:after="50" w:before="50" w:line="252" w:lineRule="auto"/>
            </w:pPr>
            <w:r>
              <w:rPr>
                <w:sz w:val="17"/>
              </w:rPr>
              <w:t>I2</w:t>
            </w:r>
          </w:p>
        </w:tc>
        <w:tc>
          <w:tcPr>
            <w:tcW w:type="dxa" w:w="3925"/>
            <w:shd w:val="clear" w:color="auto" w:fill="EAF1F4"/>
          </w:tcPr>
          <w:p>
            <w:pPr>
              <w:spacing w:after="50" w:before="50" w:line="252" w:lineRule="auto"/>
            </w:pPr>
            <w:r>
              <w:rPr>
                <w:sz w:val="17"/>
              </w:rPr>
              <w:t xml:space="preserve">Access to the </w:t>
            </w:r>
            <w:r>
              <w:rPr>
                <w:b/>
                <w:sz w:val="17"/>
              </w:rPr>
              <w:t>opposing</w:t>
            </w:r>
            <w:r>
              <w:rPr>
                <w:sz w:val="17"/>
              </w:rPr>
              <w:t xml:space="preserve"> side's confidential brief</w:t>
            </w:r>
          </w:p>
        </w:tc>
        <w:tc>
          <w:tcPr>
            <w:tcW w:type="dxa" w:w="5039"/>
            <w:shd w:val="clear" w:color="auto" w:fill="EAF1F4"/>
          </w:tcPr>
          <w:p>
            <w:pPr>
              <w:spacing w:after="50" w:before="50" w:line="252" w:lineRule="auto"/>
            </w:pPr>
            <w:r>
              <w:rPr>
                <w:sz w:val="17"/>
              </w:rPr>
              <w:t>Briefs issued only after side allocation, and only the allocated side's brief is despatched to a team; every participant signs the declaration at F-06</w:t>
            </w:r>
          </w:p>
        </w:tc>
      </w:tr>
      <w:tr>
        <w:tc>
          <w:tcPr>
            <w:tcW w:type="dxa" w:w="850"/>
          </w:tcPr>
          <w:p>
            <w:pPr>
              <w:spacing w:after="50" w:before="50" w:line="252" w:lineRule="auto"/>
            </w:pPr>
            <w:r>
              <w:rPr>
                <w:sz w:val="17"/>
              </w:rPr>
              <w:t>I3</w:t>
            </w:r>
          </w:p>
        </w:tc>
        <w:tc>
          <w:tcPr>
            <w:tcW w:type="dxa" w:w="3925"/>
          </w:tcPr>
          <w:p>
            <w:pPr>
              <w:spacing w:after="50" w:before="50" w:line="252" w:lineRule="auto"/>
            </w:pPr>
            <w:r>
              <w:rPr>
                <w:sz w:val="17"/>
              </w:rPr>
              <w:t>Host institution advantage</w:t>
            </w:r>
          </w:p>
        </w:tc>
        <w:tc>
          <w:tcPr>
            <w:tcW w:type="dxa" w:w="5039"/>
          </w:tcPr>
          <w:p>
            <w:pPr>
              <w:spacing w:after="50" w:before="50" w:line="252" w:lineRule="auto"/>
            </w:pPr>
            <w:r>
              <w:rPr>
                <w:sz w:val="17"/>
              </w:rPr>
              <w:t>Host organising team has no access to materials; host teams draw sides by the same lot as all others; host representative withdraws from Committee matters concerning host teams</w:t>
            </w:r>
          </w:p>
        </w:tc>
      </w:tr>
      <w:tr>
        <w:tc>
          <w:tcPr>
            <w:tcW w:type="dxa" w:w="850"/>
            <w:shd w:val="clear" w:color="auto" w:fill="EAF1F4"/>
          </w:tcPr>
          <w:p>
            <w:pPr>
              <w:spacing w:after="50" w:before="50" w:line="252" w:lineRule="auto"/>
            </w:pPr>
            <w:r>
              <w:rPr>
                <w:sz w:val="17"/>
              </w:rPr>
              <w:t>I4</w:t>
            </w:r>
          </w:p>
        </w:tc>
        <w:tc>
          <w:tcPr>
            <w:tcW w:type="dxa" w:w="3925"/>
            <w:shd w:val="clear" w:color="auto" w:fill="EAF1F4"/>
          </w:tcPr>
          <w:p>
            <w:pPr>
              <w:spacing w:after="50" w:before="50" w:line="252" w:lineRule="auto"/>
            </w:pPr>
            <w:r>
              <w:rPr>
                <w:sz w:val="17"/>
              </w:rPr>
              <w:t>Judge bias</w:t>
            </w:r>
          </w:p>
        </w:tc>
        <w:tc>
          <w:tcPr>
            <w:tcW w:type="dxa" w:w="5039"/>
            <w:shd w:val="clear" w:color="auto" w:fill="EAF1F4"/>
          </w:tcPr>
          <w:p>
            <w:pPr>
              <w:spacing w:after="50" w:before="50" w:line="252" w:lineRule="auto"/>
            </w:pPr>
            <w:r>
              <w:rPr>
                <w:sz w:val="17"/>
              </w:rPr>
              <w:t>Conflict declaration from every judge; no judge allotted to a session involving an associated institution; judges scored anonymously by teams and by supervisors</w:t>
            </w:r>
          </w:p>
        </w:tc>
      </w:tr>
      <w:tr>
        <w:tc>
          <w:tcPr>
            <w:tcW w:type="dxa" w:w="850"/>
          </w:tcPr>
          <w:p>
            <w:pPr>
              <w:spacing w:after="50" w:before="50" w:line="252" w:lineRule="auto"/>
            </w:pPr>
            <w:r>
              <w:rPr>
                <w:sz w:val="17"/>
              </w:rPr>
              <w:t>I5</w:t>
            </w:r>
          </w:p>
        </w:tc>
        <w:tc>
          <w:tcPr>
            <w:tcW w:type="dxa" w:w="3925"/>
          </w:tcPr>
          <w:p>
            <w:pPr>
              <w:spacing w:after="50" w:before="50" w:line="252" w:lineRule="auto"/>
            </w:pPr>
            <w:r>
              <w:rPr>
                <w:sz w:val="17"/>
              </w:rPr>
              <w:t>Coach interference</w:t>
            </w:r>
          </w:p>
        </w:tc>
        <w:tc>
          <w:tcPr>
            <w:tcW w:type="dxa" w:w="5039"/>
          </w:tcPr>
          <w:p>
            <w:pPr>
              <w:spacing w:after="50" w:before="50" w:line="252" w:lineRule="auto"/>
            </w:pPr>
            <w:r>
              <w:rPr>
                <w:sz w:val="17"/>
              </w:rPr>
              <w:t>Coach declaration at F-08; coaches excluded from session rooms; no communication with judges at any time</w:t>
            </w:r>
          </w:p>
        </w:tc>
      </w:tr>
      <w:tr>
        <w:tc>
          <w:tcPr>
            <w:tcW w:type="dxa" w:w="850"/>
            <w:shd w:val="clear" w:color="auto" w:fill="EAF1F4"/>
          </w:tcPr>
          <w:p>
            <w:pPr>
              <w:spacing w:after="50" w:before="50" w:line="252" w:lineRule="auto"/>
            </w:pPr>
            <w:r>
              <w:rPr>
                <w:sz w:val="17"/>
              </w:rPr>
              <w:t>I6</w:t>
            </w:r>
          </w:p>
        </w:tc>
        <w:tc>
          <w:tcPr>
            <w:tcW w:type="dxa" w:w="3925"/>
            <w:shd w:val="clear" w:color="auto" w:fill="EAF1F4"/>
          </w:tcPr>
          <w:p>
            <w:pPr>
              <w:spacing w:after="50" w:before="50" w:line="252" w:lineRule="auto"/>
            </w:pPr>
            <w:r>
              <w:rPr>
                <w:sz w:val="17"/>
              </w:rPr>
              <w:t>Scoring error</w:t>
            </w:r>
          </w:p>
        </w:tc>
        <w:tc>
          <w:tcPr>
            <w:tcW w:type="dxa" w:w="5039"/>
            <w:shd w:val="clear" w:color="auto" w:fill="EAF1F4"/>
          </w:tcPr>
          <w:p>
            <w:pPr>
              <w:spacing w:after="50" w:before="50" w:line="252" w:lineRule="auto"/>
            </w:pPr>
            <w:r>
              <w:rPr>
                <w:sz w:val="17"/>
              </w:rPr>
              <w:t>Two-person entry and verification; arithmetic re-checked; supervisor countersigns; discrepancies referred to the Committee, never corrected unilaterally</w:t>
            </w:r>
          </w:p>
        </w:tc>
      </w:tr>
      <w:tr>
        <w:tc>
          <w:tcPr>
            <w:tcW w:type="dxa" w:w="850"/>
          </w:tcPr>
          <w:p>
            <w:pPr>
              <w:spacing w:after="50" w:before="50" w:line="252" w:lineRule="auto"/>
            </w:pPr>
            <w:r>
              <w:rPr>
                <w:sz w:val="17"/>
              </w:rPr>
              <w:t>I7</w:t>
            </w:r>
          </w:p>
        </w:tc>
        <w:tc>
          <w:tcPr>
            <w:tcW w:type="dxa" w:w="3925"/>
          </w:tcPr>
          <w:p>
            <w:pPr>
              <w:spacing w:after="50" w:before="50" w:line="252" w:lineRule="auto"/>
            </w:pPr>
            <w:r>
              <w:rPr>
                <w:sz w:val="17"/>
              </w:rPr>
              <w:t>Recording of sessions</w:t>
            </w:r>
          </w:p>
        </w:tc>
        <w:tc>
          <w:tcPr>
            <w:tcW w:type="dxa" w:w="5039"/>
          </w:tcPr>
          <w:p>
            <w:pPr>
              <w:spacing w:after="50" w:before="50" w:line="252" w:lineRule="auto"/>
            </w:pPr>
            <w:r>
              <w:rPr>
                <w:sz w:val="17"/>
              </w:rPr>
              <w:t>Prohibited absolutely; devices surrendered or switched off; a breach is disqualifying</w:t>
            </w:r>
          </w:p>
        </w:tc>
      </w:tr>
      <w:tr>
        <w:tc>
          <w:tcPr>
            <w:tcW w:type="dxa" w:w="850"/>
            <w:shd w:val="clear" w:color="auto" w:fill="EAF1F4"/>
          </w:tcPr>
          <w:p>
            <w:pPr>
              <w:spacing w:after="50" w:before="50" w:line="252" w:lineRule="auto"/>
            </w:pPr>
            <w:r>
              <w:rPr>
                <w:sz w:val="17"/>
              </w:rPr>
              <w:t>I8</w:t>
            </w:r>
          </w:p>
        </w:tc>
        <w:tc>
          <w:tcPr>
            <w:tcW w:type="dxa" w:w="3925"/>
            <w:shd w:val="clear" w:color="auto" w:fill="EAF1F4"/>
          </w:tcPr>
          <w:p>
            <w:pPr>
              <w:spacing w:after="50" w:before="50" w:line="252" w:lineRule="auto"/>
            </w:pPr>
            <w:r>
              <w:rPr>
                <w:sz w:val="17"/>
              </w:rPr>
              <w:t>Leak after release but before a later round</w:t>
            </w:r>
          </w:p>
        </w:tc>
        <w:tc>
          <w:tcPr>
            <w:tcW w:type="dxa" w:w="5039"/>
            <w:shd w:val="clear" w:color="auto" w:fill="EAF1F4"/>
          </w:tcPr>
          <w:p>
            <w:pPr>
              <w:spacing w:after="50" w:before="50" w:line="252" w:lineRule="auto"/>
            </w:pPr>
            <w:r>
              <w:rPr>
                <w:sz w:val="17"/>
              </w:rPr>
              <w:t>Problem is common to all rounds; confidential briefs for the knockout rounds are issued separately on the day</w:t>
            </w:r>
          </w:p>
        </w:tc>
      </w:tr>
      <w:tr>
        <w:tc>
          <w:tcPr>
            <w:tcW w:type="dxa" w:w="850"/>
          </w:tcPr>
          <w:p>
            <w:pPr>
              <w:spacing w:after="50" w:before="50" w:line="252" w:lineRule="auto"/>
            </w:pPr>
            <w:r>
              <w:rPr>
                <w:sz w:val="17"/>
              </w:rPr>
              <w:t>I9</w:t>
            </w:r>
          </w:p>
        </w:tc>
        <w:tc>
          <w:tcPr>
            <w:tcW w:type="dxa" w:w="3925"/>
          </w:tcPr>
          <w:p>
            <w:pPr>
              <w:spacing w:after="50" w:before="50" w:line="252" w:lineRule="auto"/>
            </w:pPr>
            <w:r>
              <w:rPr>
                <w:sz w:val="17"/>
              </w:rPr>
              <w:t>Result manipulation by a sponsor</w:t>
            </w:r>
          </w:p>
        </w:tc>
        <w:tc>
          <w:tcPr>
            <w:tcW w:type="dxa" w:w="5039"/>
          </w:tcPr>
          <w:p>
            <w:pPr>
              <w:spacing w:after="50" w:before="50" w:line="252" w:lineRule="auto"/>
            </w:pPr>
            <w:r>
              <w:rPr>
                <w:sz w:val="17"/>
              </w:rPr>
              <w:t>Sponsorship confers no influence; stated expressly in every sponsorship agreement; any attempt is a material breach and is made public</w:t>
            </w:r>
          </w:p>
        </w:tc>
      </w:tr>
      <w:tr>
        <w:tc>
          <w:tcPr>
            <w:tcW w:type="dxa" w:w="850"/>
            <w:shd w:val="clear" w:color="auto" w:fill="EAF1F4"/>
          </w:tcPr>
          <w:p>
            <w:pPr>
              <w:spacing w:after="50" w:before="50" w:line="252" w:lineRule="auto"/>
            </w:pPr>
            <w:r>
              <w:rPr>
                <w:sz w:val="17"/>
              </w:rPr>
              <w:t>I10</w:t>
            </w:r>
          </w:p>
        </w:tc>
        <w:tc>
          <w:tcPr>
            <w:tcW w:type="dxa" w:w="3925"/>
            <w:shd w:val="clear" w:color="auto" w:fill="EAF1F4"/>
          </w:tcPr>
          <w:p>
            <w:pPr>
              <w:spacing w:after="50" w:before="50" w:line="252" w:lineRule="auto"/>
            </w:pPr>
            <w:r>
              <w:rPr>
                <w:sz w:val="17"/>
              </w:rPr>
              <w:t>Reputational failure from poor judging</w:t>
            </w:r>
          </w:p>
        </w:tc>
        <w:tc>
          <w:tcPr>
            <w:tcW w:type="dxa" w:w="5039"/>
            <w:shd w:val="clear" w:color="auto" w:fill="EAF1F4"/>
          </w:tcPr>
          <w:p>
            <w:pPr>
              <w:spacing w:after="50" w:before="50" w:line="252" w:lineRule="auto"/>
            </w:pPr>
            <w:r>
              <w:rPr>
                <w:sz w:val="17"/>
              </w:rPr>
              <w:t>Mandatory calibration; benchmark scoring exercise; judges outside tolerance are not reallocated</w:t>
            </w:r>
          </w:p>
        </w:tc>
      </w:tr>
    </w:tbl>
    <w:p>
      <w:pPr>
        <w:spacing w:after="80" w:before="0"/>
      </w:pPr>
    </w:p>
    <w:p>
      <w:pPr>
        <w:spacing w:before="80" w:after="160"/>
        <w:pBdr>
          <w:bottom w:val="single" w:sz="6" w:space="1" w:color="C9D6DE"/>
        </w:pBdr>
      </w:pPr>
    </w:p>
    <w:p>
      <w:pPr>
        <w:pStyle w:val="Heading1"/>
        <w:pBdr>
          <w:bottom w:val="single" w:sz="8" w:space="4" w:color="C9D6DE"/>
        </w:pBdr>
      </w:pPr>
      <w:r>
        <w:t>4. Format standard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119"/>
            <w:shd w:val="clear" w:color="auto" w:fill="10375C"/>
          </w:tcPr>
          <w:p>
            <w:pPr>
              <w:spacing w:after="50" w:before="50"/>
            </w:pPr>
            <w:r>
              <w:rPr>
                <w:b/>
                <w:color w:val="FFFFFF"/>
                <w:sz w:val="17"/>
              </w:rPr>
              <w:t>Element</w:t>
            </w:r>
          </w:p>
        </w:tc>
        <w:tc>
          <w:tcPr>
            <w:tcW w:type="dxa" w:w="7349"/>
            <w:shd w:val="clear" w:color="auto" w:fill="10375C"/>
          </w:tcPr>
          <w:p>
            <w:pPr>
              <w:spacing w:after="50" w:before="50"/>
            </w:pPr>
            <w:r>
              <w:rPr>
                <w:b/>
                <w:color w:val="FFFFFF"/>
                <w:sz w:val="17"/>
              </w:rPr>
              <w:t>Standard</w:t>
            </w:r>
          </w:p>
        </w:tc>
      </w:tr>
      <w:tr>
        <w:tc>
          <w:tcPr>
            <w:tcW w:type="dxa" w:w="2119"/>
          </w:tcPr>
          <w:p>
            <w:pPr>
              <w:spacing w:after="50" w:before="50" w:line="252" w:lineRule="auto"/>
            </w:pPr>
            <w:r>
              <w:rPr>
                <w:sz w:val="17"/>
              </w:rPr>
              <w:t>Team composition</w:t>
            </w:r>
          </w:p>
        </w:tc>
        <w:tc>
          <w:tcPr>
            <w:tcW w:type="dxa" w:w="7349"/>
          </w:tcPr>
          <w:p>
            <w:pPr>
              <w:spacing w:after="50" w:before="50" w:line="252" w:lineRule="auto"/>
            </w:pPr>
            <w:r>
              <w:rPr>
                <w:sz w:val="17"/>
              </w:rPr>
              <w:t>Four students: in each session, one acts as Client and one as Counsel; the other two rotate across sessions. Every team member must appear in at least one preliminary session</w:t>
            </w:r>
          </w:p>
        </w:tc>
      </w:tr>
      <w:tr>
        <w:tc>
          <w:tcPr>
            <w:tcW w:type="dxa" w:w="2119"/>
            <w:shd w:val="clear" w:color="auto" w:fill="EAF1F4"/>
          </w:tcPr>
          <w:p>
            <w:pPr>
              <w:spacing w:after="50" w:before="50" w:line="252" w:lineRule="auto"/>
            </w:pPr>
            <w:r>
              <w:rPr>
                <w:sz w:val="17"/>
              </w:rPr>
              <w:t>Session length</w:t>
            </w:r>
          </w:p>
        </w:tc>
        <w:tc>
          <w:tcPr>
            <w:tcW w:type="dxa" w:w="7349"/>
            <w:shd w:val="clear" w:color="auto" w:fill="EAF1F4"/>
          </w:tcPr>
          <w:p>
            <w:pPr>
              <w:spacing w:after="50" w:before="50" w:line="252" w:lineRule="auto"/>
            </w:pPr>
            <w:r>
              <w:rPr>
                <w:b/>
                <w:sz w:val="17"/>
              </w:rPr>
              <w:t>85 minutes</w:t>
            </w:r>
            <w:r>
              <w:rPr>
                <w:sz w:val="17"/>
              </w:rPr>
              <w:t xml:space="preserve"> of mediation, plus 10 minutes for judges' feedback</w:t>
            </w:r>
          </w:p>
        </w:tc>
      </w:tr>
      <w:tr>
        <w:tc>
          <w:tcPr>
            <w:tcW w:type="dxa" w:w="2119"/>
          </w:tcPr>
          <w:p>
            <w:pPr>
              <w:spacing w:after="50" w:before="50" w:line="252" w:lineRule="auto"/>
            </w:pPr>
            <w:r>
              <w:rPr>
                <w:sz w:val="17"/>
              </w:rPr>
              <w:t>Roles</w:t>
            </w:r>
          </w:p>
        </w:tc>
        <w:tc>
          <w:tcPr>
            <w:tcW w:type="dxa" w:w="7349"/>
          </w:tcPr>
          <w:p>
            <w:pPr>
              <w:spacing w:after="50" w:before="50" w:line="252" w:lineRule="auto"/>
            </w:pPr>
            <w:r>
              <w:rPr>
                <w:sz w:val="17"/>
              </w:rPr>
              <w:t>Two competing teams per session, one professional mediator, two judges, one supervisor</w:t>
            </w:r>
          </w:p>
        </w:tc>
      </w:tr>
      <w:tr>
        <w:tc>
          <w:tcPr>
            <w:tcW w:type="dxa" w:w="2119"/>
            <w:shd w:val="clear" w:color="auto" w:fill="EAF1F4"/>
          </w:tcPr>
          <w:p>
            <w:pPr>
              <w:spacing w:after="50" w:before="50" w:line="252" w:lineRule="auto"/>
            </w:pPr>
            <w:r>
              <w:rPr>
                <w:sz w:val="17"/>
              </w:rPr>
              <w:t>Preliminary rounds</w:t>
            </w:r>
          </w:p>
        </w:tc>
        <w:tc>
          <w:tcPr>
            <w:tcW w:type="dxa" w:w="7349"/>
            <w:shd w:val="clear" w:color="auto" w:fill="EAF1F4"/>
          </w:tcPr>
          <w:p>
            <w:pPr>
              <w:spacing w:after="50" w:before="50" w:line="252" w:lineRule="auto"/>
            </w:pPr>
            <w:r>
              <w:rPr>
                <w:sz w:val="17"/>
              </w:rPr>
              <w:t>Three sessions per team, each team appearing once on each side where the draw permits</w:t>
            </w:r>
          </w:p>
        </w:tc>
      </w:tr>
      <w:tr>
        <w:tc>
          <w:tcPr>
            <w:tcW w:type="dxa" w:w="2119"/>
          </w:tcPr>
          <w:p>
            <w:pPr>
              <w:spacing w:after="50" w:before="50" w:line="252" w:lineRule="auto"/>
            </w:pPr>
            <w:r>
              <w:rPr>
                <w:sz w:val="17"/>
              </w:rPr>
              <w:t>Advancement</w:t>
            </w:r>
          </w:p>
        </w:tc>
        <w:tc>
          <w:tcPr>
            <w:tcW w:type="dxa" w:w="7349"/>
          </w:tcPr>
          <w:p>
            <w:pPr>
              <w:spacing w:after="50" w:before="50" w:line="252" w:lineRule="auto"/>
            </w:pPr>
            <w:r>
              <w:rPr>
                <w:sz w:val="17"/>
              </w:rPr>
              <w:t>On wins first, then aggregate points, then lowest differential across sessions</w:t>
            </w:r>
          </w:p>
        </w:tc>
      </w:tr>
      <w:tr>
        <w:tc>
          <w:tcPr>
            <w:tcW w:type="dxa" w:w="2119"/>
            <w:shd w:val="clear" w:color="auto" w:fill="EAF1F4"/>
          </w:tcPr>
          <w:p>
            <w:pPr>
              <w:spacing w:after="50" w:before="50" w:line="252" w:lineRule="auto"/>
            </w:pPr>
            <w:r>
              <w:rPr>
                <w:sz w:val="17"/>
              </w:rPr>
              <w:t>Knockout</w:t>
            </w:r>
          </w:p>
        </w:tc>
        <w:tc>
          <w:tcPr>
            <w:tcW w:type="dxa" w:w="7349"/>
            <w:shd w:val="clear" w:color="auto" w:fill="EAF1F4"/>
          </w:tcPr>
          <w:p>
            <w:pPr>
              <w:spacing w:after="50" w:before="50" w:line="252" w:lineRule="auto"/>
            </w:pPr>
            <w:r>
              <w:rPr>
                <w:sz w:val="17"/>
              </w:rPr>
              <w:t>Quarter-final, semi-final, final</w:t>
            </w:r>
          </w:p>
        </w:tc>
      </w:tr>
      <w:tr>
        <w:tc>
          <w:tcPr>
            <w:tcW w:type="dxa" w:w="2119"/>
          </w:tcPr>
          <w:p>
            <w:pPr>
              <w:spacing w:after="50" w:before="50" w:line="252" w:lineRule="auto"/>
            </w:pPr>
            <w:r>
              <w:rPr>
                <w:sz w:val="17"/>
              </w:rPr>
              <w:t>Mediation plan</w:t>
            </w:r>
          </w:p>
        </w:tc>
        <w:tc>
          <w:tcPr>
            <w:tcW w:type="dxa" w:w="7349"/>
          </w:tcPr>
          <w:p>
            <w:pPr>
              <w:spacing w:after="50" w:before="50" w:line="252" w:lineRule="auto"/>
            </w:pPr>
            <w:r>
              <w:rPr>
                <w:sz w:val="17"/>
              </w:rPr>
              <w:t>Each team submits a written mediation plan before each preliminary session, scored separately</w:t>
            </w:r>
          </w:p>
        </w:tc>
      </w:tr>
      <w:tr>
        <w:tc>
          <w:tcPr>
            <w:tcW w:type="dxa" w:w="2119"/>
            <w:shd w:val="clear" w:color="auto" w:fill="EAF1F4"/>
          </w:tcPr>
          <w:p>
            <w:pPr>
              <w:spacing w:after="50" w:before="50" w:line="252" w:lineRule="auto"/>
            </w:pPr>
            <w:r>
              <w:rPr>
                <w:sz w:val="17"/>
              </w:rPr>
              <w:t>Scoring</w:t>
            </w:r>
          </w:p>
        </w:tc>
        <w:tc>
          <w:tcPr>
            <w:tcW w:type="dxa" w:w="7349"/>
            <w:shd w:val="clear" w:color="auto" w:fill="EAF1F4"/>
          </w:tcPr>
          <w:p>
            <w:pPr>
              <w:spacing w:after="50" w:before="50" w:line="252" w:lineRule="auto"/>
            </w:pPr>
            <w:r>
              <w:rPr>
                <w:sz w:val="17"/>
              </w:rPr>
              <w:t>50 marks per session — 4 for the mediation plan, 46 for the session</w:t>
            </w:r>
          </w:p>
        </w:tc>
      </w:tr>
      <w:tr>
        <w:tc>
          <w:tcPr>
            <w:tcW w:type="dxa" w:w="2119"/>
          </w:tcPr>
          <w:p>
            <w:pPr>
              <w:spacing w:after="50" w:before="50" w:line="252" w:lineRule="auto"/>
            </w:pPr>
            <w:r>
              <w:rPr>
                <w:sz w:val="17"/>
              </w:rPr>
              <w:t>Settlement</w:t>
            </w:r>
          </w:p>
        </w:tc>
        <w:tc>
          <w:tcPr>
            <w:tcW w:type="dxa" w:w="7349"/>
          </w:tcPr>
          <w:p>
            <w:pPr>
              <w:spacing w:after="50" w:before="50" w:line="252" w:lineRule="auto"/>
            </w:pPr>
            <w:r>
              <w:rPr>
                <w:b/>
                <w:sz w:val="17"/>
              </w:rPr>
              <w:t>No marks are awarded for reaching a settlement.</w:t>
            </w:r>
            <w:r>
              <w:rPr>
                <w:sz w:val="17"/>
              </w:rPr>
              <w:t xml:space="preserve"> This is stated in the rules and repeated in every judge briefing</w:t>
            </w:r>
          </w:p>
        </w:tc>
      </w:tr>
    </w:tbl>
    <w:p>
      <w:pPr>
        <w:spacing w:after="80" w:before="0"/>
      </w:pPr>
    </w:p>
    <w:p>
      <w:pPr>
        <w:spacing w:before="80" w:after="160"/>
        <w:pBdr>
          <w:bottom w:val="single" w:sz="6" w:space="1" w:color="C9D6DE"/>
        </w:pBdr>
      </w:pPr>
    </w:p>
    <w:p>
      <w:pPr>
        <w:pStyle w:val="Heading1"/>
        <w:pBdr>
          <w:bottom w:val="single" w:sz="8" w:space="4" w:color="C9D6DE"/>
        </w:pBdr>
      </w:pPr>
      <w:r>
        <w:t>5. Awards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785"/>
            <w:shd w:val="clear" w:color="auto" w:fill="10375C"/>
          </w:tcPr>
          <w:p>
            <w:pPr>
              <w:spacing w:after="50" w:before="50"/>
            </w:pPr>
            <w:r>
              <w:rPr>
                <w:b/>
                <w:color w:val="FFFFFF"/>
                <w:sz w:val="17"/>
              </w:rPr>
              <w:t>Award</w:t>
            </w:r>
          </w:p>
        </w:tc>
        <w:tc>
          <w:tcPr>
            <w:tcW w:type="dxa" w:w="6683"/>
            <w:shd w:val="clear" w:color="auto" w:fill="10375C"/>
          </w:tcPr>
          <w:p>
            <w:pPr>
              <w:spacing w:after="50" w:before="50"/>
            </w:pPr>
            <w:r>
              <w:rPr>
                <w:b/>
                <w:color w:val="FFFFFF"/>
                <w:sz w:val="17"/>
              </w:rPr>
              <w:t>Basis</w:t>
            </w:r>
          </w:p>
        </w:tc>
      </w:tr>
      <w:tr>
        <w:tc>
          <w:tcPr>
            <w:tcW w:type="dxa" w:w="2785"/>
          </w:tcPr>
          <w:p>
            <w:pPr>
              <w:spacing w:after="50" w:before="50" w:line="252" w:lineRule="auto"/>
            </w:pPr>
            <w:r>
              <w:rPr>
                <w:sz w:val="17"/>
              </w:rPr>
              <w:t>Champion team</w:t>
            </w:r>
          </w:p>
        </w:tc>
        <w:tc>
          <w:tcPr>
            <w:tcW w:type="dxa" w:w="6683"/>
          </w:tcPr>
          <w:p>
            <w:pPr>
              <w:spacing w:after="50" w:before="50" w:line="252" w:lineRule="auto"/>
            </w:pPr>
            <w:r>
              <w:rPr>
                <w:sz w:val="17"/>
              </w:rPr>
              <w:t>Winner of the final</w:t>
            </w:r>
          </w:p>
        </w:tc>
      </w:tr>
      <w:tr>
        <w:tc>
          <w:tcPr>
            <w:tcW w:type="dxa" w:w="2785"/>
            <w:shd w:val="clear" w:color="auto" w:fill="EAF1F4"/>
          </w:tcPr>
          <w:p>
            <w:pPr>
              <w:spacing w:after="50" w:before="50" w:line="252" w:lineRule="auto"/>
            </w:pPr>
            <w:r>
              <w:rPr>
                <w:sz w:val="17"/>
              </w:rPr>
              <w:t>Runner-up</w:t>
            </w:r>
          </w:p>
        </w:tc>
        <w:tc>
          <w:tcPr>
            <w:tcW w:type="dxa" w:w="6683"/>
            <w:shd w:val="clear" w:color="auto" w:fill="EAF1F4"/>
          </w:tcPr>
          <w:p>
            <w:pPr>
              <w:spacing w:after="50" w:before="50" w:line="252" w:lineRule="auto"/>
            </w:pPr>
            <w:r>
              <w:rPr>
                <w:sz w:val="17"/>
              </w:rPr>
              <w:t>—</w:t>
            </w:r>
          </w:p>
        </w:tc>
      </w:tr>
      <w:tr>
        <w:tc>
          <w:tcPr>
            <w:tcW w:type="dxa" w:w="2785"/>
          </w:tcPr>
          <w:p>
            <w:pPr>
              <w:spacing w:after="50" w:before="50" w:line="252" w:lineRule="auto"/>
            </w:pPr>
            <w:r>
              <w:rPr>
                <w:sz w:val="17"/>
              </w:rPr>
              <w:t>Best Mediation Advocate</w:t>
            </w:r>
          </w:p>
        </w:tc>
        <w:tc>
          <w:tcPr>
            <w:tcW w:type="dxa" w:w="6683"/>
          </w:tcPr>
          <w:p>
            <w:pPr>
              <w:spacing w:after="50" w:before="50" w:line="252" w:lineRule="auto"/>
            </w:pPr>
            <w:r>
              <w:rPr>
                <w:sz w:val="17"/>
              </w:rPr>
              <w:t>Highest aggregate individual score across preliminary rounds</w:t>
            </w:r>
          </w:p>
        </w:tc>
      </w:tr>
      <w:tr>
        <w:tc>
          <w:tcPr>
            <w:tcW w:type="dxa" w:w="2785"/>
            <w:shd w:val="clear" w:color="auto" w:fill="EAF1F4"/>
          </w:tcPr>
          <w:p>
            <w:pPr>
              <w:spacing w:after="50" w:before="50" w:line="252" w:lineRule="auto"/>
            </w:pPr>
            <w:r>
              <w:rPr>
                <w:sz w:val="17"/>
              </w:rPr>
              <w:t>Best Client</w:t>
            </w:r>
          </w:p>
        </w:tc>
        <w:tc>
          <w:tcPr>
            <w:tcW w:type="dxa" w:w="6683"/>
            <w:shd w:val="clear" w:color="auto" w:fill="EAF1F4"/>
          </w:tcPr>
          <w:p>
            <w:pPr>
              <w:spacing w:after="50" w:before="50" w:line="252" w:lineRule="auto"/>
            </w:pPr>
            <w:r>
              <w:rPr>
                <w:sz w:val="17"/>
              </w:rPr>
              <w:t>Highest aggregate score in the client role</w:t>
            </w:r>
          </w:p>
        </w:tc>
      </w:tr>
      <w:tr>
        <w:tc>
          <w:tcPr>
            <w:tcW w:type="dxa" w:w="2785"/>
          </w:tcPr>
          <w:p>
            <w:pPr>
              <w:spacing w:after="50" w:before="50" w:line="252" w:lineRule="auto"/>
            </w:pPr>
            <w:r>
              <w:rPr>
                <w:sz w:val="17"/>
              </w:rPr>
              <w:t>Best Mediation Plan</w:t>
            </w:r>
          </w:p>
        </w:tc>
        <w:tc>
          <w:tcPr>
            <w:tcW w:type="dxa" w:w="6683"/>
          </w:tcPr>
          <w:p>
            <w:pPr>
              <w:spacing w:after="50" w:before="50" w:line="252" w:lineRule="auto"/>
            </w:pPr>
            <w:r>
              <w:rPr>
                <w:sz w:val="17"/>
              </w:rPr>
              <w:t>Highest aggregate plan score</w:t>
            </w:r>
          </w:p>
        </w:tc>
      </w:tr>
      <w:tr>
        <w:tc>
          <w:tcPr>
            <w:tcW w:type="dxa" w:w="2785"/>
            <w:shd w:val="clear" w:color="auto" w:fill="EAF1F4"/>
          </w:tcPr>
          <w:p>
            <w:pPr>
              <w:spacing w:after="50" w:before="50" w:line="252" w:lineRule="auto"/>
            </w:pPr>
            <w:r>
              <w:rPr>
                <w:sz w:val="17"/>
              </w:rPr>
              <w:t>Best Newcomer Institution</w:t>
            </w:r>
          </w:p>
        </w:tc>
        <w:tc>
          <w:tcPr>
            <w:tcW w:type="dxa" w:w="6683"/>
            <w:shd w:val="clear" w:color="auto" w:fill="EAF1F4"/>
          </w:tcPr>
          <w:p>
            <w:pPr>
              <w:spacing w:after="50" w:before="50" w:line="252" w:lineRule="auto"/>
            </w:pPr>
            <w:r>
              <w:rPr>
                <w:sz w:val="17"/>
              </w:rPr>
              <w:t>Highest-placed institution entering for the first time</w:t>
            </w:r>
          </w:p>
        </w:tc>
      </w:tr>
      <w:tr>
        <w:tc>
          <w:tcPr>
            <w:tcW w:type="dxa" w:w="2785"/>
          </w:tcPr>
          <w:p>
            <w:pPr>
              <w:spacing w:after="50" w:before="50" w:line="252" w:lineRule="auto"/>
            </w:pPr>
            <w:r>
              <w:rPr>
                <w:sz w:val="17"/>
              </w:rPr>
              <w:t>Spirit of Mediation Award</w:t>
            </w:r>
          </w:p>
        </w:tc>
        <w:tc>
          <w:tcPr>
            <w:tcW w:type="dxa" w:w="6683"/>
          </w:tcPr>
          <w:p>
            <w:pPr>
              <w:spacing w:after="50" w:before="50" w:line="252" w:lineRule="auto"/>
            </w:pPr>
            <w:r>
              <w:rPr>
                <w:sz w:val="17"/>
              </w:rPr>
              <w:t>Voted by the mediators; awarded for conduct and good faith rather than for placing</w:t>
            </w:r>
          </w:p>
        </w:tc>
      </w:tr>
    </w:tbl>
    <w:p>
      <w:pPr>
        <w:spacing w:after="80" w:before="0"/>
      </w:pPr>
    </w:p>
    <w:p>
      <w:r>
        <w:t>The Spirit of Mediation Award is deliberately in the gift of the mediators rather than the judges, and it is presented last. It is the award that most accurately signals what the competition is for.</w:t>
      </w:r>
    </w:p>
    <w:p>
      <w:pPr>
        <w:spacing w:before="80" w:after="160"/>
        <w:pBdr>
          <w:bottom w:val="single" w:sz="6" w:space="1" w:color="C9D6DE"/>
        </w:pBdr>
      </w:pPr>
    </w:p>
    <w:p>
      <w:pPr>
        <w:pStyle w:val="Heading1"/>
        <w:pBdr>
          <w:bottom w:val="single" w:sz="8" w:space="4" w:color="C9D6DE"/>
        </w:pBdr>
      </w:pPr>
      <w:r>
        <w:t>6. Problem development cycle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Month</w:t>
            </w:r>
          </w:p>
        </w:tc>
        <w:tc>
          <w:tcPr>
            <w:tcW w:type="dxa" w:w="6526"/>
            <w:shd w:val="clear" w:color="auto" w:fill="10375C"/>
          </w:tcPr>
          <w:p>
            <w:pPr>
              <w:spacing w:after="50" w:before="50"/>
            </w:pPr>
            <w:r>
              <w:rPr>
                <w:b/>
                <w:color w:val="FFFFFF"/>
                <w:sz w:val="17"/>
              </w:rPr>
              <w:t>Step</w:t>
            </w:r>
          </w:p>
        </w:tc>
        <w:tc>
          <w:tcPr>
            <w:tcW w:type="dxa" w:w="2235"/>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−7</w:t>
            </w:r>
          </w:p>
        </w:tc>
        <w:tc>
          <w:tcPr>
            <w:tcW w:type="dxa" w:w="6526"/>
          </w:tcPr>
          <w:p>
            <w:pPr>
              <w:spacing w:after="50" w:before="50" w:line="252" w:lineRule="auto"/>
            </w:pPr>
            <w:r>
              <w:rPr>
                <w:sz w:val="17"/>
              </w:rPr>
              <w:t>Sector and theme selected; author commissioned</w:t>
            </w:r>
          </w:p>
        </w:tc>
        <w:tc>
          <w:tcPr>
            <w:tcW w:type="dxa" w:w="2235"/>
          </w:tcPr>
          <w:p>
            <w:pPr>
              <w:spacing w:after="50" w:before="50" w:line="252" w:lineRule="auto"/>
            </w:pPr>
            <w:r>
              <w:rPr>
                <w:sz w:val="17"/>
              </w:rPr>
              <w:t>Convenor</w:t>
            </w:r>
          </w:p>
        </w:tc>
      </w:tr>
      <w:tr>
        <w:tc>
          <w:tcPr>
            <w:tcW w:type="dxa" w:w="850"/>
            <w:shd w:val="clear" w:color="auto" w:fill="EAF1F4"/>
          </w:tcPr>
          <w:p>
            <w:pPr>
              <w:spacing w:after="50" w:before="50" w:line="252" w:lineRule="auto"/>
            </w:pPr>
            <w:r>
              <w:rPr>
                <w:sz w:val="17"/>
              </w:rPr>
              <w:t>−6</w:t>
            </w:r>
          </w:p>
        </w:tc>
        <w:tc>
          <w:tcPr>
            <w:tcW w:type="dxa" w:w="6526"/>
            <w:shd w:val="clear" w:color="auto" w:fill="EAF1F4"/>
          </w:tcPr>
          <w:p>
            <w:pPr>
              <w:spacing w:after="50" w:before="50" w:line="252" w:lineRule="auto"/>
            </w:pPr>
            <w:r>
              <w:rPr>
                <w:sz w:val="17"/>
              </w:rPr>
              <w:t>First draft — general information and both confidential briefs</w:t>
            </w:r>
          </w:p>
        </w:tc>
        <w:tc>
          <w:tcPr>
            <w:tcW w:type="dxa" w:w="2235"/>
            <w:shd w:val="clear" w:color="auto" w:fill="EAF1F4"/>
          </w:tcPr>
          <w:p>
            <w:pPr>
              <w:spacing w:after="50" w:before="50" w:line="252" w:lineRule="auto"/>
            </w:pPr>
            <w:r>
              <w:rPr>
                <w:sz w:val="17"/>
              </w:rPr>
              <w:t>Author</w:t>
            </w:r>
          </w:p>
        </w:tc>
      </w:tr>
      <w:tr>
        <w:tc>
          <w:tcPr>
            <w:tcW w:type="dxa" w:w="850"/>
          </w:tcPr>
          <w:p>
            <w:pPr>
              <w:spacing w:after="50" w:before="50" w:line="252" w:lineRule="auto"/>
            </w:pPr>
            <w:r>
              <w:rPr>
                <w:sz w:val="17"/>
              </w:rPr>
              <w:t>−5</w:t>
            </w:r>
          </w:p>
        </w:tc>
        <w:tc>
          <w:tcPr>
            <w:tcW w:type="dxa" w:w="6526"/>
          </w:tcPr>
          <w:p>
            <w:pPr>
              <w:spacing w:after="50" w:before="50" w:line="252" w:lineRule="auto"/>
            </w:pPr>
            <w:r>
              <w:rPr>
                <w:sz w:val="17"/>
              </w:rPr>
              <w:t>Internal read-through; interests audit; ZOPA test</w:t>
            </w:r>
          </w:p>
        </w:tc>
        <w:tc>
          <w:tcPr>
            <w:tcW w:type="dxa" w:w="2235"/>
          </w:tcPr>
          <w:p>
            <w:pPr>
              <w:spacing w:after="50" w:before="50" w:line="252" w:lineRule="auto"/>
            </w:pPr>
            <w:r>
              <w:rPr>
                <w:sz w:val="17"/>
              </w:rPr>
              <w:t>Convenor and Head of Curriculum</w:t>
            </w:r>
          </w:p>
        </w:tc>
      </w:tr>
      <w:tr>
        <w:tc>
          <w:tcPr>
            <w:tcW w:type="dxa" w:w="850"/>
            <w:shd w:val="clear" w:color="auto" w:fill="EAF1F4"/>
          </w:tcPr>
          <w:p>
            <w:pPr>
              <w:spacing w:after="50" w:before="50" w:line="252" w:lineRule="auto"/>
            </w:pPr>
            <w:r>
              <w:rPr>
                <w:sz w:val="17"/>
              </w:rPr>
              <w:t>−4</w:t>
            </w:r>
          </w:p>
        </w:tc>
        <w:tc>
          <w:tcPr>
            <w:tcW w:type="dxa" w:w="6526"/>
            <w:shd w:val="clear" w:color="auto" w:fill="EAF1F4"/>
          </w:tcPr>
          <w:p>
            <w:pPr>
              <w:spacing w:after="50" w:before="50" w:line="252" w:lineRule="auto"/>
            </w:pPr>
            <w:r>
              <w:rPr>
                <w:b/>
                <w:sz w:val="17"/>
              </w:rPr>
              <w:t>Test run</w:t>
            </w:r>
            <w:r>
              <w:rPr>
                <w:sz w:val="17"/>
              </w:rPr>
              <w:t xml:space="preserve"> with a volunteer group of trained mediators and advocates</w:t>
            </w:r>
          </w:p>
        </w:tc>
        <w:tc>
          <w:tcPr>
            <w:tcW w:type="dxa" w:w="22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−3</w:t>
            </w:r>
          </w:p>
        </w:tc>
        <w:tc>
          <w:tcPr>
            <w:tcW w:type="dxa" w:w="6526"/>
          </w:tcPr>
          <w:p>
            <w:pPr>
              <w:spacing w:after="50" w:before="50" w:line="252" w:lineRule="auto"/>
            </w:pPr>
            <w:r>
              <w:rPr>
                <w:sz w:val="17"/>
              </w:rPr>
              <w:t>Revision following the test run</w:t>
            </w:r>
          </w:p>
        </w:tc>
        <w:tc>
          <w:tcPr>
            <w:tcW w:type="dxa" w:w="2235"/>
          </w:tcPr>
          <w:p>
            <w:pPr>
              <w:spacing w:after="50" w:before="50" w:line="252" w:lineRule="auto"/>
            </w:pPr>
            <w:r>
              <w:rPr>
                <w:sz w:val="17"/>
              </w:rPr>
              <w:t>Author</w:t>
            </w:r>
          </w:p>
        </w:tc>
      </w:tr>
      <w:tr>
        <w:tc>
          <w:tcPr>
            <w:tcW w:type="dxa" w:w="850"/>
            <w:shd w:val="clear" w:color="auto" w:fill="EAF1F4"/>
          </w:tcPr>
          <w:p>
            <w:pPr>
              <w:spacing w:after="50" w:before="50" w:line="252" w:lineRule="auto"/>
            </w:pPr>
            <w:r>
              <w:rPr>
                <w:sz w:val="17"/>
              </w:rPr>
              <w:t>−2</w:t>
            </w:r>
          </w:p>
        </w:tc>
        <w:tc>
          <w:tcPr>
            <w:tcW w:type="dxa" w:w="6526"/>
            <w:shd w:val="clear" w:color="auto" w:fill="EAF1F4"/>
          </w:tcPr>
          <w:p>
            <w:pPr>
              <w:spacing w:after="50" w:before="50" w:line="252" w:lineRule="auto"/>
            </w:pPr>
            <w:r>
              <w:rPr>
                <w:sz w:val="17"/>
              </w:rPr>
              <w:t>Committee approval</w:t>
            </w:r>
          </w:p>
        </w:tc>
        <w:tc>
          <w:tcPr>
            <w:tcW w:type="dxa" w:w="2235"/>
            <w:shd w:val="clear" w:color="auto" w:fill="EAF1F4"/>
          </w:tcPr>
          <w:p>
            <w:pPr>
              <w:spacing w:after="50" w:before="50" w:line="252" w:lineRule="auto"/>
            </w:pPr>
            <w:r>
              <w:rPr>
                <w:sz w:val="17"/>
              </w:rPr>
              <w:t>Committee</w:t>
            </w:r>
          </w:p>
        </w:tc>
      </w:tr>
      <w:tr>
        <w:tc>
          <w:tcPr>
            <w:tcW w:type="dxa" w:w="850"/>
          </w:tcPr>
          <w:p>
            <w:pPr>
              <w:spacing w:after="50" w:before="50" w:line="252" w:lineRule="auto"/>
            </w:pPr>
            <w:r>
              <w:rPr>
                <w:sz w:val="17"/>
              </w:rPr>
              <w:t>−1</w:t>
            </w:r>
          </w:p>
        </w:tc>
        <w:tc>
          <w:tcPr>
            <w:tcW w:type="dxa" w:w="6526"/>
          </w:tcPr>
          <w:p>
            <w:pPr>
              <w:spacing w:after="50" w:before="50" w:line="252" w:lineRule="auto"/>
            </w:pPr>
            <w:r>
              <w:rPr>
                <w:sz w:val="17"/>
              </w:rPr>
              <w:t>Materials sealed; despatch scheduled; author stands down</w:t>
            </w:r>
          </w:p>
        </w:tc>
        <w:tc>
          <w:tcPr>
            <w:tcW w:type="dxa" w:w="2235"/>
          </w:tcPr>
          <w:p>
            <w:pPr>
              <w:spacing w:after="50" w:before="50" w:line="252" w:lineRule="auto"/>
            </w:pPr>
            <w:r>
              <w:rPr>
                <w:sz w:val="17"/>
              </w:rPr>
              <w:t>Convenor</w:t>
            </w:r>
          </w:p>
        </w:tc>
      </w:tr>
      <w:tr>
        <w:tc>
          <w:tcPr>
            <w:tcW w:type="dxa" w:w="850"/>
            <w:shd w:val="clear" w:color="auto" w:fill="EAF1F4"/>
          </w:tcPr>
          <w:p>
            <w:pPr>
              <w:spacing w:after="50" w:before="50" w:line="252" w:lineRule="auto"/>
            </w:pPr>
            <w:r>
              <w:rPr>
                <w:sz w:val="17"/>
              </w:rPr>
              <w:t>0</w:t>
            </w:r>
          </w:p>
        </w:tc>
        <w:tc>
          <w:tcPr>
            <w:tcW w:type="dxa" w:w="6526"/>
            <w:shd w:val="clear" w:color="auto" w:fill="EAF1F4"/>
          </w:tcPr>
          <w:p>
            <w:pPr>
              <w:spacing w:after="50" w:before="50" w:line="252" w:lineRule="auto"/>
            </w:pPr>
            <w:r>
              <w:rPr>
                <w:sz w:val="17"/>
              </w:rPr>
              <w:t>Release to registered teams</w:t>
            </w:r>
          </w:p>
        </w:tc>
        <w:tc>
          <w:tcPr>
            <w:tcW w:type="dxa" w:w="2235"/>
            <w:shd w:val="clear" w:color="auto" w:fill="EAF1F4"/>
          </w:tcPr>
          <w:p>
            <w:pPr>
              <w:spacing w:after="50" w:before="50" w:line="252" w:lineRule="auto"/>
            </w:pPr>
            <w:r>
              <w:rPr>
                <w:sz w:val="17"/>
              </w:rPr>
              <w:t>Convenor</w:t>
            </w:r>
          </w:p>
        </w:tc>
      </w:tr>
      <w:tr>
        <w:tc>
          <w:tcPr>
            <w:tcW w:type="dxa" w:w="850"/>
          </w:tcPr>
          <w:p>
            <w:pPr>
              <w:spacing w:after="50" w:before="50" w:line="252" w:lineRule="auto"/>
            </w:pPr>
            <w:r>
              <w:rPr>
                <w:sz w:val="17"/>
              </w:rPr>
              <w:t>+12 months</w:t>
            </w:r>
          </w:p>
        </w:tc>
        <w:tc>
          <w:tcPr>
            <w:tcW w:type="dxa" w:w="6526"/>
          </w:tcPr>
          <w:p>
            <w:pPr>
              <w:spacing w:after="50" w:before="50" w:line="252" w:lineRule="auto"/>
            </w:pPr>
            <w:r>
              <w:rPr>
                <w:sz w:val="17"/>
              </w:rPr>
              <w:t>Problem published openly and added to the licensable casebook</w:t>
            </w:r>
          </w:p>
        </w:tc>
        <w:tc>
          <w:tcPr>
            <w:tcW w:type="dxa" w:w="2235"/>
          </w:tcPr>
          <w:p>
            <w:pPr>
              <w:spacing w:after="50" w:before="50" w:line="252" w:lineRule="auto"/>
            </w:pPr>
            <w:r>
              <w:rPr>
                <w:sz w:val="17"/>
              </w:rPr>
              <w:t>Convenor</w:t>
            </w:r>
          </w:p>
        </w:tc>
      </w:tr>
    </w:tbl>
    <w:p>
      <w:pPr>
        <w:spacing w:after="80" w:before="0"/>
      </w:pPr>
    </w:p>
    <w:p>
      <w:pPr>
        <w:pStyle w:val="Heading2"/>
      </w:pPr>
      <w:r>
        <w:t>6.1 Design tests every problem must pass</w:t>
      </w:r>
    </w:p>
    <w:p>
      <w:pPr>
        <w:pStyle w:val="ListNumber"/>
      </w:pPr>
      <w:r>
        <w:rPr>
          <w:b/>
          <w:sz w:val="21"/>
        </w:rPr>
        <w:t>Hidden interest test.</w:t>
      </w:r>
      <w:r>
        <w:rPr>
          <w:sz w:val="21"/>
        </w:rPr>
        <w:t xml:space="preserve"> Each side must hold at least one interest not visible from the general information.</w:t>
      </w:r>
    </w:p>
    <w:p>
      <w:pPr>
        <w:pStyle w:val="ListNumber"/>
      </w:pPr>
      <w:r>
        <w:rPr>
          <w:b/>
          <w:sz w:val="21"/>
        </w:rPr>
        <w:t>Asymmetry test.</w:t>
      </w:r>
      <w:r>
        <w:rPr>
          <w:sz w:val="21"/>
        </w:rPr>
        <w:t xml:space="preserve"> Each side must hold information the other does not, whose disclosure changes the negotiation.</w:t>
      </w:r>
    </w:p>
    <w:p>
      <w:pPr>
        <w:pStyle w:val="ListNumber"/>
      </w:pPr>
      <w:r>
        <w:rPr>
          <w:b/>
          <w:sz w:val="21"/>
        </w:rPr>
        <w:t>ZOPA test.</w:t>
      </w:r>
      <w:r>
        <w:rPr>
          <w:sz w:val="21"/>
        </w:rPr>
        <w:t xml:space="preserve"> A settlement zone must exist, but not on money alone. If the only variable is a number, it is a negotiation exercise and not a mediation problem.</w:t>
      </w:r>
    </w:p>
    <w:p>
      <w:pPr>
        <w:pStyle w:val="ListNumber"/>
      </w:pPr>
      <w:r>
        <w:rPr>
          <w:b/>
          <w:sz w:val="21"/>
        </w:rPr>
        <w:t>Non-monetary currency test.</w:t>
      </w:r>
      <w:r>
        <w:rPr>
          <w:sz w:val="21"/>
        </w:rPr>
        <w:t xml:space="preserve"> There must be at least three non-cash items capable of being traded.</w:t>
      </w:r>
    </w:p>
    <w:p>
      <w:pPr>
        <w:pStyle w:val="ListNumber"/>
      </w:pPr>
      <w:r>
        <w:rPr>
          <w:b/>
          <w:sz w:val="21"/>
        </w:rPr>
        <w:t>Legal anchor test.</w:t>
      </w:r>
      <w:r>
        <w:rPr>
          <w:sz w:val="21"/>
        </w:rPr>
        <w:t xml:space="preserve"> A real legal framework must bear on the dispute, so that the exercise rewards preparation.</w:t>
      </w:r>
    </w:p>
    <w:p>
      <w:pPr>
        <w:pStyle w:val="ListNumber"/>
      </w:pPr>
      <w:r>
        <w:rPr>
          <w:b/>
          <w:sz w:val="21"/>
        </w:rPr>
        <w:t>Balance test.</w:t>
      </w:r>
      <w:r>
        <w:rPr>
          <w:sz w:val="21"/>
        </w:rPr>
        <w:t xml:space="preserve"> Neither side may be so strong that a competent team cannot advance its interests.</w:t>
      </w:r>
    </w:p>
    <w:p>
      <w:pPr>
        <w:pStyle w:val="ListNumber"/>
      </w:pPr>
      <w:r>
        <w:rPr>
          <w:b/>
          <w:sz w:val="21"/>
        </w:rPr>
        <w:t>Sensitivity test.</w:t>
      </w:r>
      <w:r>
        <w:rPr>
          <w:sz w:val="21"/>
        </w:rPr>
        <w:t xml:space="preserve"> No fact pattern involving sexual violence, communal identity, caste, active political controversy, or anything a participant may plausibly have experienced personally.</w:t>
      </w:r>
    </w:p>
    <w:p>
      <w:pPr>
        <w:spacing w:before="80" w:after="160"/>
        <w:pBdr>
          <w:bottom w:val="single" w:sz="6" w:space="1" w:color="C9D6DE"/>
        </w:pBdr>
      </w:pPr>
    </w:p>
    <w:p>
      <w:pPr>
        <w:pStyle w:val="Heading1"/>
        <w:pBdr>
          <w:bottom w:val="single" w:sz="8" w:space="4" w:color="C9D6DE"/>
        </w:pBdr>
      </w:pPr>
      <w:r>
        <w:t>7. Appeals and integrity challenges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Stage</w:t>
            </w:r>
          </w:p>
        </w:tc>
        <w:tc>
          <w:tcPr>
            <w:tcW w:type="dxa" w:w="5023"/>
            <w:shd w:val="clear" w:color="auto" w:fill="10375C"/>
          </w:tcPr>
          <w:p>
            <w:pPr>
              <w:spacing w:after="50" w:before="50"/>
            </w:pPr>
            <w:r>
              <w:rPr>
                <w:b/>
                <w:color w:val="FFFFFF"/>
                <w:sz w:val="17"/>
              </w:rPr>
              <w:t>Process</w:t>
            </w:r>
          </w:p>
        </w:tc>
        <w:tc>
          <w:tcPr>
            <w:tcW w:type="dxa" w:w="3943"/>
            <w:shd w:val="clear" w:color="auto" w:fill="10375C"/>
          </w:tcPr>
          <w:p>
            <w:pPr>
              <w:spacing w:after="50" w:before="50"/>
            </w:pPr>
            <w:r>
              <w:rPr>
                <w:b/>
                <w:color w:val="FFFFFF"/>
                <w:sz w:val="17"/>
              </w:rPr>
              <w:t>Time</w:t>
            </w:r>
          </w:p>
        </w:tc>
      </w:tr>
      <w:tr>
        <w:tc>
          <w:tcPr>
            <w:tcW w:type="dxa" w:w="850"/>
          </w:tcPr>
          <w:p>
            <w:pPr>
              <w:spacing w:after="50" w:before="50" w:line="252" w:lineRule="auto"/>
            </w:pPr>
            <w:r>
              <w:rPr>
                <w:sz w:val="17"/>
              </w:rPr>
              <w:t>1</w:t>
            </w:r>
          </w:p>
        </w:tc>
        <w:tc>
          <w:tcPr>
            <w:tcW w:type="dxa" w:w="5023"/>
          </w:tcPr>
          <w:p>
            <w:pPr>
              <w:spacing w:after="50" w:before="50" w:line="252" w:lineRule="auto"/>
            </w:pPr>
            <w:r>
              <w:rPr>
                <w:sz w:val="17"/>
              </w:rPr>
              <w:t>Written challenge to the Session Supervisor, by the team's designated speaker only</w:t>
            </w:r>
          </w:p>
        </w:tc>
        <w:tc>
          <w:tcPr>
            <w:tcW w:type="dxa" w:w="3943"/>
          </w:tcPr>
          <w:p>
            <w:pPr>
              <w:spacing w:after="50" w:before="50" w:line="252" w:lineRule="auto"/>
            </w:pPr>
            <w:r>
              <w:rPr>
                <w:sz w:val="17"/>
              </w:rPr>
              <w:t>Within 30 minutes of the session ending</w:t>
            </w:r>
          </w:p>
        </w:tc>
      </w:tr>
      <w:tr>
        <w:tc>
          <w:tcPr>
            <w:tcW w:type="dxa" w:w="850"/>
            <w:shd w:val="clear" w:color="auto" w:fill="EAF1F4"/>
          </w:tcPr>
          <w:p>
            <w:pPr>
              <w:spacing w:after="50" w:before="50" w:line="252" w:lineRule="auto"/>
            </w:pPr>
            <w:r>
              <w:rPr>
                <w:sz w:val="17"/>
              </w:rPr>
              <w:t>2</w:t>
            </w:r>
          </w:p>
        </w:tc>
        <w:tc>
          <w:tcPr>
            <w:tcW w:type="dxa" w:w="5023"/>
            <w:shd w:val="clear" w:color="auto" w:fill="EAF1F4"/>
          </w:tcPr>
          <w:p>
            <w:pPr>
              <w:spacing w:after="50" w:before="50" w:line="252" w:lineRule="auto"/>
            </w:pPr>
            <w:r>
              <w:rPr>
                <w:sz w:val="17"/>
              </w:rPr>
              <w:t>Supervisor's report to the Convenor</w:t>
            </w:r>
          </w:p>
        </w:tc>
        <w:tc>
          <w:tcPr>
            <w:tcW w:type="dxa" w:w="3943"/>
            <w:shd w:val="clear" w:color="auto" w:fill="EAF1F4"/>
          </w:tcPr>
          <w:p>
            <w:pPr>
              <w:spacing w:after="50" w:before="50" w:line="252" w:lineRule="auto"/>
            </w:pPr>
            <w:r>
              <w:rPr>
                <w:sz w:val="17"/>
              </w:rPr>
              <w:t>Within 2 hours</w:t>
            </w:r>
          </w:p>
        </w:tc>
      </w:tr>
      <w:tr>
        <w:tc>
          <w:tcPr>
            <w:tcW w:type="dxa" w:w="850"/>
          </w:tcPr>
          <w:p>
            <w:pPr>
              <w:spacing w:after="50" w:before="50" w:line="252" w:lineRule="auto"/>
            </w:pPr>
            <w:r>
              <w:rPr>
                <w:sz w:val="17"/>
              </w:rPr>
              <w:t>3</w:t>
            </w:r>
          </w:p>
        </w:tc>
        <w:tc>
          <w:tcPr>
            <w:tcW w:type="dxa" w:w="5023"/>
          </w:tcPr>
          <w:p>
            <w:pPr>
              <w:spacing w:after="50" w:before="50" w:line="252" w:lineRule="auto"/>
            </w:pPr>
            <w:r>
              <w:rPr>
                <w:sz w:val="17"/>
              </w:rPr>
              <w:t>Convenor's determination, or referral to the Committee</w:t>
            </w:r>
          </w:p>
        </w:tc>
        <w:tc>
          <w:tcPr>
            <w:tcW w:type="dxa" w:w="3943"/>
          </w:tcPr>
          <w:p>
            <w:pPr>
              <w:spacing w:after="50" w:before="50" w:line="252" w:lineRule="auto"/>
            </w:pPr>
            <w:r>
              <w:rPr>
                <w:sz w:val="17"/>
              </w:rPr>
              <w:t>Within 4 hours where the result of a round is affected</w:t>
            </w:r>
          </w:p>
        </w:tc>
      </w:tr>
      <w:tr>
        <w:tc>
          <w:tcPr>
            <w:tcW w:type="dxa" w:w="850"/>
            <w:shd w:val="clear" w:color="auto" w:fill="EAF1F4"/>
          </w:tcPr>
          <w:p>
            <w:pPr>
              <w:spacing w:after="50" w:before="50" w:line="252" w:lineRule="auto"/>
            </w:pPr>
            <w:r>
              <w:rPr>
                <w:sz w:val="17"/>
              </w:rPr>
              <w:t>4</w:t>
            </w:r>
          </w:p>
        </w:tc>
        <w:tc>
          <w:tcPr>
            <w:tcW w:type="dxa" w:w="5023"/>
            <w:shd w:val="clear" w:color="auto" w:fill="EAF1F4"/>
          </w:tcPr>
          <w:p>
            <w:pPr>
              <w:spacing w:after="50" w:before="50" w:line="252" w:lineRule="auto"/>
            </w:pPr>
            <w:r>
              <w:rPr>
                <w:sz w:val="17"/>
              </w:rPr>
              <w:t xml:space="preserve">Committee determination — </w:t>
            </w:r>
            <w:r>
              <w:rPr>
                <w:b/>
                <w:sz w:val="17"/>
              </w:rPr>
              <w:t>final</w:t>
            </w:r>
          </w:p>
        </w:tc>
        <w:tc>
          <w:tcPr>
            <w:tcW w:type="dxa" w:w="3943"/>
            <w:shd w:val="clear" w:color="auto" w:fill="EAF1F4"/>
          </w:tcPr>
          <w:p>
            <w:pPr>
              <w:spacing w:after="50" w:before="50" w:line="252" w:lineRule="auto"/>
            </w:pPr>
            <w:r>
              <w:rPr>
                <w:sz w:val="17"/>
              </w:rPr>
              <w:t>Before the next round proceeds</w:t>
            </w:r>
          </w:p>
        </w:tc>
      </w:tr>
    </w:tbl>
    <w:p>
      <w:pPr>
        <w:spacing w:after="80" w:before="0"/>
      </w:pPr>
    </w:p>
    <w:p>
      <w:r>
        <w:t>Frivolous or repeated challenges attract a penalty. Challenges to the exercise of academic judgement by a judge are not entertained.</w:t>
      </w:r>
    </w:p>
    <w:p>
      <w:pPr>
        <w:spacing w:before="80" w:after="160"/>
        <w:pBdr>
          <w:bottom w:val="single" w:sz="6" w:space="1" w:color="C9D6DE"/>
        </w:pBdr>
      </w:pPr>
    </w:p>
    <w:p>
      <w:pPr>
        <w:pStyle w:val="Heading1"/>
        <w:pBdr>
          <w:bottom w:val="single" w:sz="8" w:space="4" w:color="C9D6DE"/>
        </w:pBdr>
      </w:pPr>
      <w:r>
        <w:t>8. Penalties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23"/>
            <w:shd w:val="clear" w:color="auto" w:fill="10375C"/>
          </w:tcPr>
          <w:p>
            <w:pPr>
              <w:spacing w:after="50" w:before="50"/>
            </w:pPr>
            <w:r>
              <w:rPr>
                <w:b/>
                <w:color w:val="FFFFFF"/>
                <w:sz w:val="17"/>
              </w:rPr>
              <w:t>Breach</w:t>
            </w:r>
          </w:p>
        </w:tc>
        <w:tc>
          <w:tcPr>
            <w:tcW w:type="dxa" w:w="4744"/>
            <w:shd w:val="clear" w:color="auto" w:fill="10375C"/>
          </w:tcPr>
          <w:p>
            <w:pPr>
              <w:spacing w:after="50" w:before="50"/>
            </w:pPr>
            <w:r>
              <w:rPr>
                <w:b/>
                <w:color w:val="FFFFFF"/>
                <w:sz w:val="17"/>
              </w:rPr>
              <w:t>Penalty</w:t>
            </w:r>
          </w:p>
        </w:tc>
      </w:tr>
      <w:tr>
        <w:tc>
          <w:tcPr>
            <w:tcW w:type="dxa" w:w="4723"/>
          </w:tcPr>
          <w:p>
            <w:pPr>
              <w:spacing w:after="50" w:before="50" w:line="252" w:lineRule="auto"/>
            </w:pPr>
            <w:r>
              <w:rPr>
                <w:sz w:val="17"/>
              </w:rPr>
              <w:t>Exceeding the time limit</w:t>
            </w:r>
          </w:p>
        </w:tc>
        <w:tc>
          <w:tcPr>
            <w:tcW w:type="dxa" w:w="4744"/>
          </w:tcPr>
          <w:p>
            <w:pPr>
              <w:spacing w:after="50" w:before="50" w:line="252" w:lineRule="auto"/>
            </w:pPr>
            <w:r>
              <w:rPr>
                <w:sz w:val="17"/>
              </w:rPr>
              <w:t>Up to 3 points</w:t>
            </w:r>
          </w:p>
        </w:tc>
      </w:tr>
      <w:tr>
        <w:tc>
          <w:tcPr>
            <w:tcW w:type="dxa" w:w="4723"/>
            <w:shd w:val="clear" w:color="auto" w:fill="EAF1F4"/>
          </w:tcPr>
          <w:p>
            <w:pPr>
              <w:spacing w:after="50" w:before="50" w:line="252" w:lineRule="auto"/>
            </w:pPr>
            <w:r>
              <w:rPr>
                <w:sz w:val="17"/>
              </w:rPr>
              <w:t>Coach communicating with a team during a session</w:t>
            </w:r>
          </w:p>
        </w:tc>
        <w:tc>
          <w:tcPr>
            <w:tcW w:type="dxa" w:w="4744"/>
            <w:shd w:val="clear" w:color="auto" w:fill="EAF1F4"/>
          </w:tcPr>
          <w:p>
            <w:pPr>
              <w:spacing w:after="50" w:before="50" w:line="252" w:lineRule="auto"/>
            </w:pPr>
            <w:r>
              <w:rPr>
                <w:sz w:val="17"/>
              </w:rPr>
              <w:t>Up to 3 points; repeat, disqualification of the team</w:t>
            </w:r>
          </w:p>
        </w:tc>
      </w:tr>
      <w:tr>
        <w:tc>
          <w:tcPr>
            <w:tcW w:type="dxa" w:w="4723"/>
          </w:tcPr>
          <w:p>
            <w:pPr>
              <w:spacing w:after="50" w:before="50" w:line="252" w:lineRule="auto"/>
            </w:pPr>
            <w:r>
              <w:rPr>
                <w:sz w:val="17"/>
              </w:rPr>
              <w:t>Team member reading the opposing confidential brief</w:t>
            </w:r>
          </w:p>
        </w:tc>
        <w:tc>
          <w:tcPr>
            <w:tcW w:type="dxa" w:w="4744"/>
          </w:tcPr>
          <w:p>
            <w:pPr>
              <w:spacing w:after="50" w:before="50" w:line="252" w:lineRule="auto"/>
            </w:pPr>
            <w:r>
              <w:rPr>
                <w:sz w:val="17"/>
              </w:rPr>
              <w:t>Disqualification of the team; institution informed</w:t>
            </w:r>
          </w:p>
        </w:tc>
      </w:tr>
      <w:tr>
        <w:tc>
          <w:tcPr>
            <w:tcW w:type="dxa" w:w="4723"/>
            <w:shd w:val="clear" w:color="auto" w:fill="EAF1F4"/>
          </w:tcPr>
          <w:p>
            <w:pPr>
              <w:spacing w:after="50" w:before="50" w:line="252" w:lineRule="auto"/>
            </w:pPr>
            <w:r>
              <w:rPr>
                <w:sz w:val="17"/>
              </w:rPr>
              <w:t>Recording a session</w:t>
            </w:r>
          </w:p>
        </w:tc>
        <w:tc>
          <w:tcPr>
            <w:tcW w:type="dxa" w:w="4744"/>
            <w:shd w:val="clear" w:color="auto" w:fill="EAF1F4"/>
          </w:tcPr>
          <w:p>
            <w:pPr>
              <w:spacing w:after="50" w:before="50" w:line="252" w:lineRule="auto"/>
            </w:pPr>
            <w:r>
              <w:rPr>
                <w:sz w:val="17"/>
              </w:rPr>
              <w:t>Disqualification; institution informed</w:t>
            </w:r>
          </w:p>
        </w:tc>
      </w:tr>
      <w:tr>
        <w:tc>
          <w:tcPr>
            <w:tcW w:type="dxa" w:w="4723"/>
          </w:tcPr>
          <w:p>
            <w:pPr>
              <w:spacing w:after="50" w:before="50" w:line="252" w:lineRule="auto"/>
            </w:pPr>
            <w:r>
              <w:rPr>
                <w:sz w:val="17"/>
              </w:rPr>
              <w:t>Discourtesy to a participant, judge or mediator</w:t>
            </w:r>
          </w:p>
        </w:tc>
        <w:tc>
          <w:tcPr>
            <w:tcW w:type="dxa" w:w="4744"/>
          </w:tcPr>
          <w:p>
            <w:pPr>
              <w:spacing w:after="50" w:before="50" w:line="252" w:lineRule="auto"/>
            </w:pPr>
            <w:r>
              <w:rPr>
                <w:sz w:val="17"/>
              </w:rPr>
              <w:t>Up to 3 points; serious cases, disqualification</w:t>
            </w:r>
          </w:p>
        </w:tc>
      </w:tr>
      <w:tr>
        <w:tc>
          <w:tcPr>
            <w:tcW w:type="dxa" w:w="4723"/>
            <w:shd w:val="clear" w:color="auto" w:fill="EAF1F4"/>
          </w:tcPr>
          <w:p>
            <w:pPr>
              <w:spacing w:after="50" w:before="50" w:line="252" w:lineRule="auto"/>
            </w:pPr>
            <w:r>
              <w:rPr>
                <w:sz w:val="17"/>
              </w:rPr>
              <w:t>Misrepresenting eligibility</w:t>
            </w:r>
          </w:p>
        </w:tc>
        <w:tc>
          <w:tcPr>
            <w:tcW w:type="dxa" w:w="4744"/>
            <w:shd w:val="clear" w:color="auto" w:fill="EAF1F4"/>
          </w:tcPr>
          <w:p>
            <w:pPr>
              <w:spacing w:after="50" w:before="50" w:line="252" w:lineRule="auto"/>
            </w:pPr>
            <w:r>
              <w:rPr>
                <w:sz w:val="17"/>
              </w:rPr>
              <w:t>Disqualification; results voided</w:t>
            </w:r>
          </w:p>
        </w:tc>
      </w:tr>
      <w:tr>
        <w:tc>
          <w:tcPr>
            <w:tcW w:type="dxa" w:w="4723"/>
          </w:tcPr>
          <w:p>
            <w:pPr>
              <w:spacing w:after="50" w:before="50" w:line="252" w:lineRule="auto"/>
            </w:pPr>
            <w:r>
              <w:rPr>
                <w:sz w:val="17"/>
              </w:rPr>
              <w:t>Approaching a judge about a session</w:t>
            </w:r>
          </w:p>
        </w:tc>
        <w:tc>
          <w:tcPr>
            <w:tcW w:type="dxa" w:w="4744"/>
          </w:tcPr>
          <w:p>
            <w:pPr>
              <w:spacing w:after="50" w:before="50" w:line="252" w:lineRule="auto"/>
            </w:pPr>
            <w:r>
              <w:rPr>
                <w:sz w:val="17"/>
              </w:rPr>
              <w:t>Disqualification</w:t>
            </w:r>
          </w:p>
        </w:tc>
      </w:tr>
    </w:tbl>
    <w:p>
      <w:pPr>
        <w:spacing w:after="80" w:before="0"/>
      </w:pPr>
    </w:p>
    <w:p>
      <w:r>
        <w:t>Penalties up to 3 points are imposed by judges on the scoresheet. Disqualification is imposed only by the Committee.</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Competition Framework &amp; Governance</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8B08DB3-BBC5-4CF6-84E3-586E182052D1}"/>
</file>

<file path=customXml/itemProps3.xml><?xml version="1.0" encoding="utf-8"?>
<ds:datastoreItem xmlns:ds="http://schemas.openxmlformats.org/officeDocument/2006/customXml" ds:itemID="{2094D15F-595F-4C18-B18E-0D2308468048}"/>
</file>

<file path=customXml/itemProps4.xml><?xml version="1.0" encoding="utf-8"?>
<ds:datastoreItem xmlns:ds="http://schemas.openxmlformats.org/officeDocument/2006/customXml" ds:itemID="{E335349C-A2E4-4032-816C-2A92C7D8922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