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Team Handbook &amp; Registration Pack</w:t>
      </w:r>
    </w:p>
    <w:p>
      <w:pPr>
        <w:spacing w:after="280" w:line="276" w:lineRule="auto"/>
      </w:pPr>
      <w:r>
        <w:rPr>
          <w:rFonts w:ascii="Calibri" w:hAnsi="Calibri"/>
          <w:i/>
          <w:color w:val="3E6B8A"/>
          <w:sz w:val="25"/>
        </w:rPr>
        <w:t>Everything a competing team and its coach need — registration, preparation guidance, what to expect, and what will get you disqualified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EQ-UAP-070</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Public</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Welcome</w:t>
      </w:r>
    </w:p>
    <w:p>
      <w:r>
        <w:t>You are entering a mediation competition, which is different from a moot. Nobody wins by being the most forceful advocate in the room. You win by understanding what your client actually needs, finding out what the other side actually needs, and constructing something that serves both better than a fight would.</w:t>
      </w:r>
    </w:p>
    <w:p>
      <w:r>
        <w:t xml:space="preserve">This handbook tells you how the Championship runs, how you will be scored, and how to prepare. </w:t>
      </w:r>
      <w:r>
        <w:rPr>
          <w:b/>
        </w:rPr>
        <w:t>Read the Official Rules and the Scoresheet as well.</w:t>
      </w:r>
      <w:r>
        <w:t xml:space="preserve"> They are published deliberately, so that you can prepare against the criteria on which you will actually be assessed.</w:t>
      </w:r>
    </w:p>
    <w:p>
      <w:pPr>
        <w:spacing w:before="80" w:after="160"/>
        <w:pBdr>
          <w:bottom w:val="single" w:sz="6" w:space="1" w:color="C9D6DE"/>
        </w:pBdr>
      </w:pPr>
    </w:p>
    <w:p>
      <w:pPr>
        <w:pStyle w:val="Heading1"/>
        <w:pBdr>
          <w:bottom w:val="single" w:sz="8" w:space="4" w:color="C9D6DE"/>
        </w:pBdr>
      </w:pPr>
      <w:r>
        <w:t>1. Registration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766"/>
            <w:shd w:val="clear" w:color="auto" w:fill="10375C"/>
          </w:tcPr>
          <w:p>
            <w:pPr>
              <w:spacing w:after="50" w:before="50"/>
            </w:pPr>
            <w:r>
              <w:rPr>
                <w:b/>
                <w:color w:val="FFFFFF"/>
                <w:sz w:val="17"/>
              </w:rPr>
              <w:t>Item</w:t>
            </w:r>
          </w:p>
        </w:tc>
        <w:tc>
          <w:tcPr>
            <w:tcW w:type="dxa" w:w="5702"/>
            <w:shd w:val="clear" w:color="auto" w:fill="10375C"/>
          </w:tcPr>
          <w:p>
            <w:pPr>
              <w:spacing w:after="50" w:before="50"/>
            </w:pPr>
            <w:r>
              <w:rPr>
                <w:b/>
                <w:color w:val="FFFFFF"/>
                <w:sz w:val="17"/>
              </w:rPr>
              <w:t>Detail</w:t>
            </w:r>
          </w:p>
        </w:tc>
      </w:tr>
      <w:tr>
        <w:tc>
          <w:tcPr>
            <w:tcW w:type="dxa" w:w="3766"/>
          </w:tcPr>
          <w:p>
            <w:pPr>
              <w:spacing w:after="50" w:before="50" w:line="252" w:lineRule="auto"/>
            </w:pPr>
            <w:r>
              <w:rPr>
                <w:sz w:val="17"/>
              </w:rPr>
              <w:t>Team size</w:t>
            </w:r>
          </w:p>
        </w:tc>
        <w:tc>
          <w:tcPr>
            <w:tcW w:type="dxa" w:w="5702"/>
          </w:tcPr>
          <w:p>
            <w:pPr>
              <w:spacing w:after="50" w:before="50" w:line="252" w:lineRule="auto"/>
            </w:pPr>
            <w:r>
              <w:rPr>
                <w:sz w:val="17"/>
              </w:rPr>
              <w:t>Four students from one institution</w:t>
            </w:r>
          </w:p>
        </w:tc>
      </w:tr>
      <w:tr>
        <w:tc>
          <w:tcPr>
            <w:tcW w:type="dxa" w:w="3766"/>
            <w:shd w:val="clear" w:color="auto" w:fill="EAF1F4"/>
          </w:tcPr>
          <w:p>
            <w:pPr>
              <w:spacing w:after="50" w:before="50" w:line="252" w:lineRule="auto"/>
            </w:pPr>
            <w:r>
              <w:rPr>
                <w:sz w:val="17"/>
              </w:rPr>
              <w:t>Teams per institution</w:t>
            </w:r>
          </w:p>
        </w:tc>
        <w:tc>
          <w:tcPr>
            <w:tcW w:type="dxa" w:w="5702"/>
            <w:shd w:val="clear" w:color="auto" w:fill="EAF1F4"/>
          </w:tcPr>
          <w:p>
            <w:pPr>
              <w:spacing w:after="50" w:before="50" w:line="252" w:lineRule="auto"/>
            </w:pPr>
            <w:r>
              <w:rPr>
                <w:sz w:val="17"/>
              </w:rPr>
              <w:t>Up to two</w:t>
            </w:r>
          </w:p>
        </w:tc>
      </w:tr>
      <w:tr>
        <w:tc>
          <w:tcPr>
            <w:tcW w:type="dxa" w:w="3766"/>
          </w:tcPr>
          <w:p>
            <w:pPr>
              <w:spacing w:after="50" w:before="50" w:line="252" w:lineRule="auto"/>
            </w:pPr>
            <w:r>
              <w:rPr>
                <w:sz w:val="17"/>
              </w:rPr>
              <w:t>Registration fee</w:t>
            </w:r>
          </w:p>
        </w:tc>
        <w:tc>
          <w:tcPr>
            <w:tcW w:type="dxa" w:w="5702"/>
          </w:tcPr>
          <w:p>
            <w:pPr>
              <w:spacing w:after="50" w:before="50" w:line="252" w:lineRule="auto"/>
            </w:pPr>
            <w:r>
              <w:rPr>
                <w:sz w:val="17"/>
              </w:rPr>
              <w:t>₹[●] per team</w:t>
            </w:r>
          </w:p>
        </w:tc>
      </w:tr>
      <w:tr>
        <w:tc>
          <w:tcPr>
            <w:tcW w:type="dxa" w:w="3766"/>
            <w:shd w:val="clear" w:color="auto" w:fill="EAF1F4"/>
          </w:tcPr>
          <w:p>
            <w:pPr>
              <w:spacing w:after="50" w:before="50" w:line="252" w:lineRule="auto"/>
            </w:pPr>
            <w:r>
              <w:rPr>
                <w:sz w:val="17"/>
              </w:rPr>
              <w:t>Registration opens</w:t>
            </w:r>
          </w:p>
        </w:tc>
        <w:tc>
          <w:tcPr>
            <w:tcW w:type="dxa" w:w="5702"/>
            <w:shd w:val="clear" w:color="auto" w:fill="EAF1F4"/>
          </w:tcPr>
          <w:p>
            <w:pPr>
              <w:spacing w:after="50" w:before="50" w:line="252" w:lineRule="auto"/>
            </w:pPr>
            <w:r>
              <w:rPr>
                <w:sz w:val="17"/>
              </w:rPr>
              <w:t>[●]</w:t>
            </w:r>
          </w:p>
        </w:tc>
      </w:tr>
      <w:tr>
        <w:tc>
          <w:tcPr>
            <w:tcW w:type="dxa" w:w="3766"/>
          </w:tcPr>
          <w:p>
            <w:pPr>
              <w:spacing w:after="50" w:before="50" w:line="252" w:lineRule="auto"/>
            </w:pPr>
            <w:r>
              <w:rPr>
                <w:sz w:val="17"/>
              </w:rPr>
              <w:t>Registration closes</w:t>
            </w:r>
          </w:p>
        </w:tc>
        <w:tc>
          <w:tcPr>
            <w:tcW w:type="dxa" w:w="5702"/>
          </w:tcPr>
          <w:p>
            <w:pPr>
              <w:spacing w:after="50" w:before="50" w:line="252" w:lineRule="auto"/>
            </w:pPr>
            <w:r>
              <w:rPr>
                <w:sz w:val="17"/>
              </w:rPr>
              <w:t>[●]</w:t>
            </w:r>
          </w:p>
        </w:tc>
      </w:tr>
      <w:tr>
        <w:tc>
          <w:tcPr>
            <w:tcW w:type="dxa" w:w="3766"/>
            <w:shd w:val="clear" w:color="auto" w:fill="EAF1F4"/>
          </w:tcPr>
          <w:p>
            <w:pPr>
              <w:spacing w:after="50" w:before="50" w:line="252" w:lineRule="auto"/>
            </w:pPr>
            <w:r>
              <w:rPr>
                <w:sz w:val="17"/>
              </w:rPr>
              <w:t>Materials released</w:t>
            </w:r>
          </w:p>
        </w:tc>
        <w:tc>
          <w:tcPr>
            <w:tcW w:type="dxa" w:w="5702"/>
            <w:shd w:val="clear" w:color="auto" w:fill="EAF1F4"/>
          </w:tcPr>
          <w:p>
            <w:pPr>
              <w:spacing w:after="50" w:before="50" w:line="252" w:lineRule="auto"/>
            </w:pPr>
            <w:r>
              <w:rPr>
                <w:sz w:val="17"/>
              </w:rPr>
              <w:t>General Information [●]; Confidential Information [●]</w:t>
            </w:r>
          </w:p>
        </w:tc>
      </w:tr>
      <w:tr>
        <w:tc>
          <w:tcPr>
            <w:tcW w:type="dxa" w:w="3766"/>
          </w:tcPr>
          <w:p>
            <w:pPr>
              <w:spacing w:after="50" w:before="50" w:line="252" w:lineRule="auto"/>
            </w:pPr>
            <w:r>
              <w:rPr>
                <w:sz w:val="17"/>
              </w:rPr>
              <w:t>Championship dates</w:t>
            </w:r>
          </w:p>
        </w:tc>
        <w:tc>
          <w:tcPr>
            <w:tcW w:type="dxa" w:w="5702"/>
          </w:tcPr>
          <w:p>
            <w:pPr>
              <w:spacing w:after="50" w:before="50" w:line="252" w:lineRule="auto"/>
            </w:pPr>
            <w:r>
              <w:rPr>
                <w:sz w:val="17"/>
              </w:rPr>
              <w:t>[●]</w:t>
            </w:r>
          </w:p>
        </w:tc>
      </w:tr>
      <w:tr>
        <w:tc>
          <w:tcPr>
            <w:tcW w:type="dxa" w:w="3766"/>
            <w:shd w:val="clear" w:color="auto" w:fill="EAF1F4"/>
          </w:tcPr>
          <w:p>
            <w:pPr>
              <w:spacing w:after="50" w:before="50" w:line="252" w:lineRule="auto"/>
            </w:pPr>
            <w:r>
              <w:rPr>
                <w:sz w:val="17"/>
              </w:rPr>
              <w:t>Venue</w:t>
            </w:r>
          </w:p>
        </w:tc>
        <w:tc>
          <w:tcPr>
            <w:tcW w:type="dxa" w:w="5702"/>
            <w:shd w:val="clear" w:color="auto" w:fill="EAF1F4"/>
          </w:tcPr>
          <w:p>
            <w:pPr>
              <w:spacing w:after="50" w:before="50" w:line="252" w:lineRule="auto"/>
            </w:pPr>
            <w:r>
              <w:rPr>
                <w:sz w:val="17"/>
              </w:rPr>
              <w:t>[●]</w:t>
            </w:r>
          </w:p>
        </w:tc>
      </w:tr>
    </w:tbl>
    <w:p>
      <w:pPr>
        <w:spacing w:after="80" w:before="0"/>
      </w:pPr>
    </w:p>
    <w:p>
      <w:pPr>
        <w:pStyle w:val="Heading2"/>
      </w:pPr>
      <w:r>
        <w:t>1.1 Eligibility</w:t>
      </w:r>
    </w:p>
    <w:p>
      <w:r>
        <w:t>Each team member must, on the first day of the Championship, be enrolled in a full-time undergraduate or postgraduate programme at the registering institution; must not hold a professional qualification permitting independent practice; must not be employed in the practice of law or dispute resolution other than as an intern or trainee; and must not have participated in more than two previous editions.</w:t>
      </w:r>
    </w:p>
    <w:p>
      <w:r>
        <w:t>Your institution certifies eligibility on registration. Misrepresentation results in disqualification and voiding of results.</w:t>
      </w:r>
    </w:p>
    <w:p>
      <w:pPr>
        <w:pStyle w:val="Heading2"/>
      </w:pPr>
      <w:r>
        <w:t>1.2 What registration includes</w:t>
      </w:r>
    </w:p>
    <w:p>
      <w:r>
        <w:t>Materials; participation in all rounds for which you qualify; certificates; refreshments during Championship hours; access to the masterclass and the valedictory session.</w:t>
      </w:r>
    </w:p>
    <w:p>
      <w:r>
        <w:rPr>
          <w:b/>
        </w:rPr>
        <w:t>It does not include</w:t>
      </w:r>
      <w:r>
        <w:t xml:space="preserve"> travel, accommodation unless separately arranged with the host, or meals outside Championship hours.</w:t>
      </w:r>
    </w:p>
    <w:p>
      <w:pPr>
        <w:pStyle w:val="Heading2"/>
      </w:pPr>
      <w:r>
        <w:t>1.3 Registration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Item</w:t>
            </w:r>
          </w:p>
        </w:tc>
        <w:tc>
          <w:tcPr>
            <w:tcW w:type="dxa" w:w="850"/>
            <w:shd w:val="clear" w:color="auto" w:fill="10375C"/>
          </w:tcPr>
          <w:p>
            <w:pPr>
              <w:spacing w:after="50" w:before="50"/>
            </w:pPr>
            <w:r>
              <w:rPr>
                <w:b/>
                <w:color w:val="FFFFFF"/>
                <w:sz w:val="17"/>
              </w:rPr>
              <w:t>☐</w:t>
            </w:r>
          </w:p>
        </w:tc>
      </w:tr>
      <w:tr>
        <w:tc>
          <w:tcPr>
            <w:tcW w:type="dxa" w:w="850"/>
          </w:tcPr>
          <w:p>
            <w:pPr>
              <w:spacing w:after="50" w:before="50" w:line="252" w:lineRule="auto"/>
            </w:pPr>
            <w:r>
              <w:rPr>
                <w:sz w:val="17"/>
              </w:rPr>
              <w:t>1</w:t>
            </w:r>
          </w:p>
        </w:tc>
        <w:tc>
          <w:tcPr>
            <w:tcW w:type="dxa" w:w="7890"/>
          </w:tcPr>
          <w:p>
            <w:pPr>
              <w:spacing w:after="50" w:before="50" w:line="252" w:lineRule="auto"/>
            </w:pPr>
            <w:r>
              <w:rPr>
                <w:sz w:val="17"/>
              </w:rPr>
              <w:t>Team registration form, four members named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890"/>
            <w:shd w:val="clear" w:color="auto" w:fill="EAF1F4"/>
          </w:tcPr>
          <w:p>
            <w:pPr>
              <w:spacing w:after="50" w:before="50" w:line="252" w:lineRule="auto"/>
            </w:pPr>
            <w:r>
              <w:rPr>
                <w:sz w:val="17"/>
              </w:rPr>
              <w:t>Institutional certification of eligibility, signed by the Dean or Registrar</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7890"/>
          </w:tcPr>
          <w:p>
            <w:pPr>
              <w:spacing w:after="50" w:before="50" w:line="252" w:lineRule="auto"/>
            </w:pPr>
            <w:r>
              <w:rPr>
                <w:sz w:val="17"/>
              </w:rPr>
              <w:t>Participant declaration (F-06) from each member</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7890"/>
            <w:shd w:val="clear" w:color="auto" w:fill="EAF1F4"/>
          </w:tcPr>
          <w:p>
            <w:pPr>
              <w:spacing w:after="50" w:before="50" w:line="252" w:lineRule="auto"/>
            </w:pPr>
            <w:r>
              <w:rPr>
                <w:sz w:val="17"/>
              </w:rPr>
              <w:t>Coach declaration (F-08)</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890"/>
          </w:tcPr>
          <w:p>
            <w:pPr>
              <w:spacing w:after="50" w:before="50" w:line="252" w:lineRule="auto"/>
            </w:pPr>
            <w:r>
              <w:rPr>
                <w:sz w:val="17"/>
              </w:rPr>
              <w:t>Registration fee paid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890"/>
            <w:shd w:val="clear" w:color="auto" w:fill="EAF1F4"/>
          </w:tcPr>
          <w:p>
            <w:pPr>
              <w:spacing w:after="50" w:before="50" w:line="252" w:lineRule="auto"/>
            </w:pPr>
            <w:r>
              <w:rPr>
                <w:sz w:val="17"/>
              </w:rPr>
              <w:t>Accessibility or dietary requirements notified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890"/>
          </w:tcPr>
          <w:p>
            <w:pPr>
              <w:spacing w:after="50" w:before="50" w:line="252" w:lineRule="auto"/>
            </w:pPr>
            <w:r>
              <w:rPr>
                <w:sz w:val="17"/>
              </w:rPr>
              <w:t>Accommodation requirement notified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890"/>
            <w:shd w:val="clear" w:color="auto" w:fill="EAF1F4"/>
          </w:tcPr>
          <w:p>
            <w:pPr>
              <w:spacing w:after="50" w:before="50" w:line="252" w:lineRule="auto"/>
            </w:pPr>
            <w:r>
              <w:rPr>
                <w:sz w:val="17"/>
              </w:rPr>
              <w:t>Media consent completed by each member (optional)</w:t>
            </w:r>
          </w:p>
        </w:tc>
        <w:tc>
          <w:tcPr>
            <w:tcW w:type="dxa" w:w="850"/>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2. Format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71"/>
            <w:shd w:val="clear" w:color="auto" w:fill="10375C"/>
          </w:tcPr>
          <w:p>
            <w:pPr>
              <w:spacing w:after="50" w:before="50"/>
            </w:pPr>
            <w:r>
              <w:rPr>
                <w:b/>
                <w:color w:val="FFFFFF"/>
                <w:sz w:val="17"/>
              </w:rPr>
              <w:t>Element</w:t>
            </w:r>
          </w:p>
        </w:tc>
        <w:tc>
          <w:tcPr>
            <w:tcW w:type="dxa" w:w="7096"/>
            <w:shd w:val="clear" w:color="auto" w:fill="10375C"/>
          </w:tcPr>
          <w:p>
            <w:pPr>
              <w:spacing w:after="50" w:before="50"/>
            </w:pPr>
            <w:r>
              <w:rPr>
                <w:b/>
                <w:color w:val="FFFFFF"/>
                <w:sz w:val="17"/>
              </w:rPr>
              <w:t>Detail</w:t>
            </w:r>
          </w:p>
        </w:tc>
      </w:tr>
      <w:tr>
        <w:tc>
          <w:tcPr>
            <w:tcW w:type="dxa" w:w="2371"/>
          </w:tcPr>
          <w:p>
            <w:pPr>
              <w:spacing w:after="50" w:before="50" w:line="252" w:lineRule="auto"/>
            </w:pPr>
            <w:r>
              <w:rPr>
                <w:sz w:val="17"/>
              </w:rPr>
              <w:t>Preliminary rounds</w:t>
            </w:r>
          </w:p>
        </w:tc>
        <w:tc>
          <w:tcPr>
            <w:tcW w:type="dxa" w:w="7096"/>
          </w:tcPr>
          <w:p>
            <w:pPr>
              <w:spacing w:after="50" w:before="50" w:line="252" w:lineRule="auto"/>
            </w:pPr>
            <w:r>
              <w:rPr>
                <w:sz w:val="17"/>
              </w:rPr>
              <w:t>Three sessions per team</w:t>
            </w:r>
          </w:p>
        </w:tc>
      </w:tr>
      <w:tr>
        <w:tc>
          <w:tcPr>
            <w:tcW w:type="dxa" w:w="2371"/>
            <w:shd w:val="clear" w:color="auto" w:fill="EAF1F4"/>
          </w:tcPr>
          <w:p>
            <w:pPr>
              <w:spacing w:after="50" w:before="50" w:line="252" w:lineRule="auto"/>
            </w:pPr>
            <w:r>
              <w:rPr>
                <w:sz w:val="17"/>
              </w:rPr>
              <w:t>Session length</w:t>
            </w:r>
          </w:p>
        </w:tc>
        <w:tc>
          <w:tcPr>
            <w:tcW w:type="dxa" w:w="7096"/>
            <w:shd w:val="clear" w:color="auto" w:fill="EAF1F4"/>
          </w:tcPr>
          <w:p>
            <w:pPr>
              <w:spacing w:after="50" w:before="50" w:line="252" w:lineRule="auto"/>
            </w:pPr>
            <w:r>
              <w:rPr>
                <w:b/>
                <w:sz w:val="17"/>
              </w:rPr>
              <w:t>85 minutes</w:t>
            </w:r>
            <w:r>
              <w:rPr>
                <w:sz w:val="17"/>
              </w:rPr>
              <w:t>, plus 10 minutes of judges' feedback</w:t>
            </w:r>
          </w:p>
        </w:tc>
      </w:tr>
      <w:tr>
        <w:tc>
          <w:tcPr>
            <w:tcW w:type="dxa" w:w="2371"/>
          </w:tcPr>
          <w:p>
            <w:pPr>
              <w:spacing w:after="50" w:before="50" w:line="252" w:lineRule="auto"/>
            </w:pPr>
            <w:r>
              <w:rPr>
                <w:sz w:val="17"/>
              </w:rPr>
              <w:t>Roles</w:t>
            </w:r>
          </w:p>
        </w:tc>
        <w:tc>
          <w:tcPr>
            <w:tcW w:type="dxa" w:w="7096"/>
          </w:tcPr>
          <w:p>
            <w:pPr>
              <w:spacing w:after="50" w:before="50" w:line="252" w:lineRule="auto"/>
            </w:pPr>
            <w:r>
              <w:rPr>
                <w:sz w:val="17"/>
              </w:rPr>
              <w:t xml:space="preserve">In each session, one member is </w:t>
            </w:r>
            <w:r>
              <w:rPr>
                <w:b/>
                <w:sz w:val="17"/>
              </w:rPr>
              <w:t>Client</w:t>
            </w:r>
            <w:r>
              <w:rPr>
                <w:sz w:val="17"/>
              </w:rPr>
              <w:t xml:space="preserve"> and one is </w:t>
            </w:r>
            <w:r>
              <w:rPr>
                <w:b/>
                <w:sz w:val="17"/>
              </w:rPr>
              <w:t>Counsel</w:t>
            </w:r>
            <w:r>
              <w:rPr>
                <w:sz w:val="17"/>
              </w:rPr>
              <w:t xml:space="preserve">; the other two rotate across sessions. </w:t>
            </w:r>
            <w:r>
              <w:rPr>
                <w:b/>
                <w:sz w:val="17"/>
              </w:rPr>
              <w:t>Every member must appear in at least one preliminary session</w:t>
            </w:r>
          </w:p>
        </w:tc>
      </w:tr>
      <w:tr>
        <w:tc>
          <w:tcPr>
            <w:tcW w:type="dxa" w:w="2371"/>
            <w:shd w:val="clear" w:color="auto" w:fill="EAF1F4"/>
          </w:tcPr>
          <w:p>
            <w:pPr>
              <w:spacing w:after="50" w:before="50" w:line="252" w:lineRule="auto"/>
            </w:pPr>
            <w:r>
              <w:rPr>
                <w:sz w:val="17"/>
              </w:rPr>
              <w:t>Who else is in the room</w:t>
            </w:r>
          </w:p>
        </w:tc>
        <w:tc>
          <w:tcPr>
            <w:tcW w:type="dxa" w:w="7096"/>
            <w:shd w:val="clear" w:color="auto" w:fill="EAF1F4"/>
          </w:tcPr>
          <w:p>
            <w:pPr>
              <w:spacing w:after="50" w:before="50" w:line="252" w:lineRule="auto"/>
            </w:pPr>
            <w:r>
              <w:rPr>
                <w:sz w:val="17"/>
              </w:rPr>
              <w:t>A professional mediator (who does not score), two judges (who do), a supervisor</w:t>
            </w:r>
          </w:p>
        </w:tc>
      </w:tr>
      <w:tr>
        <w:tc>
          <w:tcPr>
            <w:tcW w:type="dxa" w:w="2371"/>
          </w:tcPr>
          <w:p>
            <w:pPr>
              <w:spacing w:after="50" w:before="50" w:line="252" w:lineRule="auto"/>
            </w:pPr>
            <w:r>
              <w:rPr>
                <w:sz w:val="17"/>
              </w:rPr>
              <w:t>Mediation Plan</w:t>
            </w:r>
          </w:p>
        </w:tc>
        <w:tc>
          <w:tcPr>
            <w:tcW w:type="dxa" w:w="7096"/>
          </w:tcPr>
          <w:p>
            <w:pPr>
              <w:spacing w:after="50" w:before="50" w:line="252" w:lineRule="auto"/>
            </w:pPr>
            <w:r>
              <w:rPr>
                <w:sz w:val="17"/>
              </w:rPr>
              <w:t>Two pages, submitted before each preliminary session, scored out of 4</w:t>
            </w:r>
          </w:p>
        </w:tc>
      </w:tr>
      <w:tr>
        <w:tc>
          <w:tcPr>
            <w:tcW w:type="dxa" w:w="2371"/>
            <w:shd w:val="clear" w:color="auto" w:fill="EAF1F4"/>
          </w:tcPr>
          <w:p>
            <w:pPr>
              <w:spacing w:after="50" w:before="50" w:line="252" w:lineRule="auto"/>
            </w:pPr>
            <w:r>
              <w:rPr>
                <w:sz w:val="17"/>
              </w:rPr>
              <w:t>Scoring</w:t>
            </w:r>
          </w:p>
        </w:tc>
        <w:tc>
          <w:tcPr>
            <w:tcW w:type="dxa" w:w="7096"/>
            <w:shd w:val="clear" w:color="auto" w:fill="EAF1F4"/>
          </w:tcPr>
          <w:p>
            <w:pPr>
              <w:spacing w:after="50" w:before="50" w:line="252" w:lineRule="auto"/>
            </w:pPr>
            <w:r>
              <w:rPr>
                <w:sz w:val="17"/>
              </w:rPr>
              <w:t>50 marks per session</w:t>
            </w:r>
          </w:p>
        </w:tc>
      </w:tr>
      <w:tr>
        <w:tc>
          <w:tcPr>
            <w:tcW w:type="dxa" w:w="2371"/>
          </w:tcPr>
          <w:p>
            <w:pPr>
              <w:spacing w:after="50" w:before="50" w:line="252" w:lineRule="auto"/>
            </w:pPr>
            <w:r>
              <w:rPr>
                <w:sz w:val="17"/>
              </w:rPr>
              <w:t>Advancement</w:t>
            </w:r>
          </w:p>
        </w:tc>
        <w:tc>
          <w:tcPr>
            <w:tcW w:type="dxa" w:w="7096"/>
          </w:tcPr>
          <w:p>
            <w:pPr>
              <w:spacing w:after="50" w:before="50" w:line="252" w:lineRule="auto"/>
            </w:pPr>
            <w:r>
              <w:rPr>
                <w:sz w:val="17"/>
              </w:rPr>
              <w:t>Eight teams to the quarter-finals, on wins, then points, then differential</w:t>
            </w:r>
          </w:p>
        </w:tc>
      </w:tr>
      <w:tr>
        <w:tc>
          <w:tcPr>
            <w:tcW w:type="dxa" w:w="2371"/>
            <w:shd w:val="clear" w:color="auto" w:fill="EAF1F4"/>
          </w:tcPr>
          <w:p>
            <w:pPr>
              <w:spacing w:after="50" w:before="50" w:line="252" w:lineRule="auto"/>
            </w:pPr>
            <w:r>
              <w:rPr>
                <w:sz w:val="17"/>
              </w:rPr>
              <w:t>Knockouts</w:t>
            </w:r>
          </w:p>
        </w:tc>
        <w:tc>
          <w:tcPr>
            <w:tcW w:type="dxa" w:w="7096"/>
            <w:shd w:val="clear" w:color="auto" w:fill="EAF1F4"/>
          </w:tcPr>
          <w:p>
            <w:pPr>
              <w:spacing w:after="50" w:before="50" w:line="252" w:lineRule="auto"/>
            </w:pPr>
            <w:r>
              <w:rPr>
                <w:sz w:val="17"/>
              </w:rPr>
              <w:t>Quarter-final, semi-final, final</w:t>
            </w:r>
          </w:p>
        </w:tc>
      </w:tr>
    </w:tbl>
    <w:p>
      <w:pPr>
        <w:spacing w:after="80" w:before="0"/>
      </w:pPr>
    </w:p>
    <w:p>
      <w:pPr>
        <w:spacing w:before="80" w:after="160"/>
        <w:pBdr>
          <w:bottom w:val="single" w:sz="6" w:space="1" w:color="C9D6DE"/>
        </w:pBdr>
      </w:pPr>
    </w:p>
    <w:p>
      <w:pPr>
        <w:pStyle w:val="Heading1"/>
        <w:pBdr>
          <w:bottom w:val="single" w:sz="8" w:space="4" w:color="C9D6DE"/>
        </w:pBdr>
      </w:pPr>
      <w:r>
        <w:t>3. How to prepare</w:t>
      </w:r>
    </w:p>
    <w:p>
      <w:pPr>
        <w:pStyle w:val="Heading2"/>
      </w:pPr>
      <w:r>
        <w:t>3.1 Read the criteria first</w:t>
      </w:r>
    </w:p>
    <w:p>
      <w:r>
        <w:t xml:space="preserve">Most teams read the problem first and the scoresheet last. Reverse that. For each criterion, ask: </w:t>
      </w:r>
      <w:r>
        <w:rPr>
          <w:i/>
        </w:rPr>
        <w:t>what would a judge have to see me do to award full marks here?</w:t>
      </w:r>
    </w:p>
    <w:p>
      <w:r>
        <w:t>Note in particular:</w:t>
      </w:r>
    </w:p>
    <w:p>
      <w:pPr>
        <w:pStyle w:val="ListBullet"/>
      </w:pPr>
      <w:r>
        <w:rPr>
          <w:b/>
          <w:sz w:val="21"/>
        </w:rPr>
        <w:t>Section B — working with the other party — is worth as much as Section A</w:t>
      </w:r>
      <w:r>
        <w:rPr>
          <w:sz w:val="21"/>
        </w:rPr>
        <w:t>, advancing your own case. How you treat the other side is weighted equally with how well you argue.</w:t>
      </w:r>
    </w:p>
    <w:p>
      <w:pPr>
        <w:pStyle w:val="ListBullet"/>
      </w:pPr>
      <w:r>
        <w:rPr>
          <w:b/>
          <w:sz w:val="21"/>
        </w:rPr>
        <w:t>Section C — working with the mediator — is worth 8 marks</w:t>
      </w:r>
      <w:r>
        <w:rPr>
          <w:sz w:val="21"/>
        </w:rPr>
        <w:t>, more than your opening statement.</w:t>
      </w:r>
    </w:p>
    <w:p>
      <w:pPr>
        <w:pStyle w:val="ListBullet"/>
      </w:pPr>
      <w:r>
        <w:rPr>
          <w:b/>
          <w:sz w:val="21"/>
        </w:rPr>
        <w:t>B1, information gathering and understanding the other party's interests, is the single highest-scoring criterion at 7 marks.</w:t>
      </w:r>
      <w:r>
        <w:rPr>
          <w:sz w:val="21"/>
        </w:rPr>
        <w:t xml:space="preserve"> If you ask no genuine questions, you cannot score well however fluent you are.</w:t>
      </w:r>
    </w:p>
    <w:p>
      <w:pPr>
        <w:pStyle w:val="Heading2"/>
      </w:pPr>
      <w:r>
        <w:t>3.2 Work out what your client actually needs</w:t>
      </w:r>
    </w:p>
    <w:p>
      <w:r>
        <w:t>Your confidential brief contains more than a number. Somewhere in it is a pressure, a constraint or a relationship that matters more than the money. Find it. Rank your client's interests. Then ask what you would accept if you could not have cash at all.</w:t>
      </w:r>
    </w:p>
    <w:p>
      <w:pPr>
        <w:pStyle w:val="Heading2"/>
      </w:pPr>
      <w:r>
        <w:t>3.3 Work out what the other side probably needs</w:t>
      </w:r>
    </w:p>
    <w:p>
      <w:r>
        <w:t>You do not have their brief and must not seek it. But you can infer. What kind of organisation are they? What is happening to them commercially? What would they be frightened of? Prepare three questions designed to find out, and be prepared to be wrong.</w:t>
      </w:r>
    </w:p>
    <w:p>
      <w:pPr>
        <w:pStyle w:val="Heading2"/>
      </w:pPr>
      <w:r>
        <w:t>3.4 Build your information strategy</w:t>
      </w:r>
    </w:p>
    <w:p>
      <w:r>
        <w:t xml:space="preserve">Decide, in advance: what you must find out; what you will disclose and when; what you will disclose only in caucus; and what you will not disclose at all. Then be prepared to abandon the plan, because the other side will do something you did not expect. </w:t>
      </w:r>
      <w:r>
        <w:rPr>
          <w:b/>
        </w:rPr>
        <w:t>Adaptation is expressly scored under A2.</w:t>
      </w:r>
    </w:p>
    <w:p>
      <w:pPr>
        <w:pStyle w:val="Heading2"/>
      </w:pPr>
      <w:r>
        <w:t>3.5 Generate options before you enter the room</w:t>
      </w:r>
    </w:p>
    <w:p>
      <w:r>
        <w:t>List every currency in the dispute — money, time, future business, information, apology, documentation, publicity, relationships, process. Most problems have at least four non-monetary currencies. A team that negotiates only about money has already limited its score.</w:t>
      </w:r>
    </w:p>
    <w:p>
      <w:pPr>
        <w:pStyle w:val="Heading2"/>
      </w:pPr>
      <w:r>
        <w:t>3.6 Practise</w:t>
      </w:r>
    </w:p>
    <w:p>
      <w:r>
        <w:t>Run the session at full length, more than once, with different people playing the other side. Have someone score you against the published sheet. Practise the opening until it is 90 seconds and contains interests rather than allegations.</w:t>
      </w:r>
    </w:p>
    <w:p>
      <w:pPr>
        <w:pStyle w:val="Heading2"/>
      </w:pPr>
      <w:r>
        <w:t>3.7 Decide who does what</w:t>
      </w:r>
    </w:p>
    <w:p>
      <w:r>
        <w:t>Client and Counsel are both scored, and D1 rewards visible teamwork. A session in which Counsel answers every question put to the Client scores badly. Agree signals. Agree who takes the lead on which issue. Agree what to do if one of you is asked something you have not prepared.</w:t>
      </w:r>
    </w:p>
    <w:p>
      <w:pPr>
        <w:spacing w:before="80" w:after="160"/>
        <w:pBdr>
          <w:bottom w:val="single" w:sz="6" w:space="1" w:color="C9D6DE"/>
        </w:pBdr>
      </w:pPr>
    </w:p>
    <w:p>
      <w:pPr>
        <w:pStyle w:val="Heading1"/>
        <w:pBdr>
          <w:bottom w:val="single" w:sz="8" w:space="4" w:color="C9D6DE"/>
        </w:pBdr>
      </w:pPr>
      <w:r>
        <w:t>4. On the day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333"/>
            <w:shd w:val="clear" w:color="auto" w:fill="10375C"/>
          </w:tcPr>
          <w:p>
            <w:pPr>
              <w:spacing w:after="50" w:before="50"/>
            </w:pPr>
            <w:r>
              <w:rPr>
                <w:b/>
                <w:color w:val="FFFFFF"/>
                <w:sz w:val="17"/>
              </w:rPr>
              <w:t>Item</w:t>
            </w:r>
          </w:p>
        </w:tc>
        <w:tc>
          <w:tcPr>
            <w:tcW w:type="dxa" w:w="8135"/>
            <w:shd w:val="clear" w:color="auto" w:fill="10375C"/>
          </w:tcPr>
          <w:p>
            <w:pPr>
              <w:spacing w:after="50" w:before="50"/>
            </w:pPr>
            <w:r>
              <w:rPr>
                <w:b/>
                <w:color w:val="FFFFFF"/>
                <w:sz w:val="17"/>
              </w:rPr>
              <w:t>Guidance</w:t>
            </w:r>
          </w:p>
        </w:tc>
      </w:tr>
      <w:tr>
        <w:tc>
          <w:tcPr>
            <w:tcW w:type="dxa" w:w="1333"/>
          </w:tcPr>
          <w:p>
            <w:pPr>
              <w:spacing w:after="50" w:before="50" w:line="252" w:lineRule="auto"/>
            </w:pPr>
            <w:r>
              <w:rPr>
                <w:sz w:val="17"/>
              </w:rPr>
              <w:t>Arrive</w:t>
            </w:r>
          </w:p>
        </w:tc>
        <w:tc>
          <w:tcPr>
            <w:tcW w:type="dxa" w:w="8135"/>
          </w:tcPr>
          <w:p>
            <w:pPr>
              <w:spacing w:after="50" w:before="50" w:line="252" w:lineRule="auto"/>
            </w:pPr>
            <w:r>
              <w:rPr>
                <w:sz w:val="17"/>
              </w:rPr>
              <w:t>30 minutes before your session</w:t>
            </w:r>
          </w:p>
        </w:tc>
      </w:tr>
      <w:tr>
        <w:tc>
          <w:tcPr>
            <w:tcW w:type="dxa" w:w="1333"/>
            <w:shd w:val="clear" w:color="auto" w:fill="EAF1F4"/>
          </w:tcPr>
          <w:p>
            <w:pPr>
              <w:spacing w:after="50" w:before="50" w:line="252" w:lineRule="auto"/>
            </w:pPr>
            <w:r>
              <w:rPr>
                <w:sz w:val="17"/>
              </w:rPr>
              <w:t>Dress</w:t>
            </w:r>
          </w:p>
        </w:tc>
        <w:tc>
          <w:tcPr>
            <w:tcW w:type="dxa" w:w="8135"/>
            <w:shd w:val="clear" w:color="auto" w:fill="EAF1F4"/>
          </w:tcPr>
          <w:p>
            <w:pPr>
              <w:spacing w:after="50" w:before="50" w:line="252" w:lineRule="auto"/>
            </w:pPr>
            <w:r>
              <w:rPr>
                <w:sz w:val="17"/>
              </w:rPr>
              <w:t>Business formal</w:t>
            </w:r>
          </w:p>
        </w:tc>
      </w:tr>
      <w:tr>
        <w:tc>
          <w:tcPr>
            <w:tcW w:type="dxa" w:w="1333"/>
          </w:tcPr>
          <w:p>
            <w:pPr>
              <w:spacing w:after="50" w:before="50" w:line="252" w:lineRule="auto"/>
            </w:pPr>
            <w:r>
              <w:rPr>
                <w:sz w:val="17"/>
              </w:rPr>
              <w:t>Bring</w:t>
            </w:r>
          </w:p>
        </w:tc>
        <w:tc>
          <w:tcPr>
            <w:tcW w:type="dxa" w:w="8135"/>
          </w:tcPr>
          <w:p>
            <w:pPr>
              <w:spacing w:after="50" w:before="50" w:line="252" w:lineRule="auto"/>
            </w:pPr>
            <w:r>
              <w:rPr>
                <w:sz w:val="17"/>
              </w:rPr>
              <w:t>The Materials, your notes, your Mediation Plan. Nothing else</w:t>
            </w:r>
          </w:p>
        </w:tc>
      </w:tr>
      <w:tr>
        <w:tc>
          <w:tcPr>
            <w:tcW w:type="dxa" w:w="1333"/>
            <w:shd w:val="clear" w:color="auto" w:fill="EAF1F4"/>
          </w:tcPr>
          <w:p>
            <w:pPr>
              <w:spacing w:after="50" w:before="50" w:line="252" w:lineRule="auto"/>
            </w:pPr>
            <w:r>
              <w:rPr>
                <w:sz w:val="17"/>
              </w:rPr>
              <w:t>Devices</w:t>
            </w:r>
          </w:p>
        </w:tc>
        <w:tc>
          <w:tcPr>
            <w:tcW w:type="dxa" w:w="8135"/>
            <w:shd w:val="clear" w:color="auto" w:fill="EAF1F4"/>
          </w:tcPr>
          <w:p>
            <w:pPr>
              <w:spacing w:after="50" w:before="50" w:line="252" w:lineRule="auto"/>
            </w:pPr>
            <w:r>
              <w:rPr>
                <w:b/>
                <w:sz w:val="17"/>
              </w:rPr>
              <w:t>Switched off and surrendered to the supervisor.</w:t>
            </w:r>
            <w:r>
              <w:rPr>
                <w:sz w:val="17"/>
              </w:rPr>
              <w:t xml:space="preserve"> Using a device during a session attracts a penalty</w:t>
            </w:r>
          </w:p>
        </w:tc>
      </w:tr>
      <w:tr>
        <w:tc>
          <w:tcPr>
            <w:tcW w:type="dxa" w:w="1333"/>
          </w:tcPr>
          <w:p>
            <w:pPr>
              <w:spacing w:after="50" w:before="50" w:line="252" w:lineRule="auto"/>
            </w:pPr>
            <w:r>
              <w:rPr>
                <w:sz w:val="17"/>
              </w:rPr>
              <w:t>Your coach</w:t>
            </w:r>
          </w:p>
        </w:tc>
        <w:tc>
          <w:tcPr>
            <w:tcW w:type="dxa" w:w="8135"/>
          </w:tcPr>
          <w:p>
            <w:pPr>
              <w:spacing w:after="50" w:before="50" w:line="252" w:lineRule="auto"/>
            </w:pPr>
            <w:r>
              <w:rPr>
                <w:sz w:val="17"/>
              </w:rPr>
              <w:t>Cannot enter the room and cannot communicate with you during the session</w:t>
            </w:r>
          </w:p>
        </w:tc>
      </w:tr>
      <w:tr>
        <w:tc>
          <w:tcPr>
            <w:tcW w:type="dxa" w:w="1333"/>
            <w:shd w:val="clear" w:color="auto" w:fill="EAF1F4"/>
          </w:tcPr>
          <w:p>
            <w:pPr>
              <w:spacing w:after="50" w:before="50" w:line="252" w:lineRule="auto"/>
            </w:pPr>
            <w:r>
              <w:rPr>
                <w:sz w:val="17"/>
              </w:rPr>
              <w:t>Timing</w:t>
            </w:r>
          </w:p>
        </w:tc>
        <w:tc>
          <w:tcPr>
            <w:tcW w:type="dxa" w:w="8135"/>
            <w:shd w:val="clear" w:color="auto" w:fill="EAF1F4"/>
          </w:tcPr>
          <w:p>
            <w:pPr>
              <w:spacing w:after="50" w:before="50" w:line="252" w:lineRule="auto"/>
            </w:pPr>
            <w:r>
              <w:rPr>
                <w:sz w:val="17"/>
              </w:rPr>
              <w:t>85 minutes. You will be warned at 15 and at 5 minutes. The session stops at 85</w:t>
            </w:r>
          </w:p>
        </w:tc>
      </w:tr>
      <w:tr>
        <w:tc>
          <w:tcPr>
            <w:tcW w:type="dxa" w:w="1333"/>
          </w:tcPr>
          <w:p>
            <w:pPr>
              <w:spacing w:after="50" w:before="50" w:line="252" w:lineRule="auto"/>
            </w:pPr>
            <w:r>
              <w:rPr>
                <w:sz w:val="17"/>
              </w:rPr>
              <w:t>Feedback</w:t>
            </w:r>
          </w:p>
        </w:tc>
        <w:tc>
          <w:tcPr>
            <w:tcW w:type="dxa" w:w="8135"/>
          </w:tcPr>
          <w:p>
            <w:pPr>
              <w:spacing w:after="50" w:before="50" w:line="252" w:lineRule="auto"/>
            </w:pPr>
            <w:r>
              <w:rPr>
                <w:sz w:val="17"/>
              </w:rPr>
              <w:t>Listen to it. It is the most useful part of the Championship and it is not scored</w:t>
            </w:r>
          </w:p>
        </w:tc>
      </w:tr>
      <w:tr>
        <w:tc>
          <w:tcPr>
            <w:tcW w:type="dxa" w:w="1333"/>
            <w:shd w:val="clear" w:color="auto" w:fill="EAF1F4"/>
          </w:tcPr>
          <w:p>
            <w:pPr>
              <w:spacing w:after="50" w:before="50" w:line="252" w:lineRule="auto"/>
            </w:pPr>
            <w:r>
              <w:rPr>
                <w:sz w:val="17"/>
              </w:rPr>
              <w:t>Scores</w:t>
            </w:r>
          </w:p>
        </w:tc>
        <w:tc>
          <w:tcPr>
            <w:tcW w:type="dxa" w:w="8135"/>
            <w:shd w:val="clear" w:color="auto" w:fill="EAF1F4"/>
          </w:tcPr>
          <w:p>
            <w:pPr>
              <w:spacing w:after="50" w:before="50" w:line="252" w:lineRule="auto"/>
            </w:pPr>
            <w:r>
              <w:rPr>
                <w:sz w:val="17"/>
              </w:rPr>
              <w:t>Not disclosed on the day. Scoresheets are returned after the Championship</w:t>
            </w:r>
          </w:p>
        </w:tc>
      </w:tr>
    </w:tbl>
    <w:p>
      <w:pPr>
        <w:spacing w:after="80" w:before="0"/>
      </w:pPr>
    </w:p>
    <w:p>
      <w:pPr>
        <w:spacing w:before="80" w:after="160"/>
        <w:pBdr>
          <w:bottom w:val="single" w:sz="6" w:space="1" w:color="C9D6DE"/>
        </w:pBdr>
      </w:pPr>
    </w:p>
    <w:p>
      <w:pPr>
        <w:pStyle w:val="Heading1"/>
        <w:pBdr>
          <w:bottom w:val="single" w:sz="8" w:space="4" w:color="C9D6DE"/>
        </w:pBdr>
      </w:pPr>
      <w:r>
        <w:t>5. What will get you penalised or disqualified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185"/>
            <w:shd w:val="clear" w:color="auto" w:fill="10375C"/>
          </w:tcPr>
          <w:p>
            <w:pPr>
              <w:spacing w:after="50" w:before="50"/>
            </w:pPr>
            <w:r>
              <w:rPr>
                <w:b/>
                <w:color w:val="FFFFFF"/>
                <w:sz w:val="17"/>
              </w:rPr>
              <w:t>Conduct</w:t>
            </w:r>
          </w:p>
        </w:tc>
        <w:tc>
          <w:tcPr>
            <w:tcW w:type="dxa" w:w="4283"/>
            <w:shd w:val="clear" w:color="auto" w:fill="10375C"/>
          </w:tcPr>
          <w:p>
            <w:pPr>
              <w:spacing w:after="50" w:before="50"/>
            </w:pPr>
            <w:r>
              <w:rPr>
                <w:b/>
                <w:color w:val="FFFFFF"/>
                <w:sz w:val="17"/>
              </w:rPr>
              <w:t>Consequence</w:t>
            </w:r>
          </w:p>
        </w:tc>
      </w:tr>
      <w:tr>
        <w:tc>
          <w:tcPr>
            <w:tcW w:type="dxa" w:w="5185"/>
          </w:tcPr>
          <w:p>
            <w:pPr>
              <w:spacing w:after="50" w:before="50" w:line="252" w:lineRule="auto"/>
            </w:pPr>
            <w:r>
              <w:rPr>
                <w:sz w:val="17"/>
              </w:rPr>
              <w:t>Exceeding a time limit</w:t>
            </w:r>
          </w:p>
        </w:tc>
        <w:tc>
          <w:tcPr>
            <w:tcW w:type="dxa" w:w="4283"/>
          </w:tcPr>
          <w:p>
            <w:pPr>
              <w:spacing w:after="50" w:before="50" w:line="252" w:lineRule="auto"/>
            </w:pPr>
            <w:r>
              <w:rPr>
                <w:sz w:val="17"/>
              </w:rPr>
              <w:t>Up to 3 points</w:t>
            </w:r>
          </w:p>
        </w:tc>
      </w:tr>
      <w:tr>
        <w:tc>
          <w:tcPr>
            <w:tcW w:type="dxa" w:w="5185"/>
            <w:shd w:val="clear" w:color="auto" w:fill="EAF1F4"/>
          </w:tcPr>
          <w:p>
            <w:pPr>
              <w:spacing w:after="50" w:before="50" w:line="252" w:lineRule="auto"/>
            </w:pPr>
            <w:r>
              <w:rPr>
                <w:sz w:val="17"/>
              </w:rPr>
              <w:t>Introducing a material fact contradicting the Materials</w:t>
            </w:r>
          </w:p>
        </w:tc>
        <w:tc>
          <w:tcPr>
            <w:tcW w:type="dxa" w:w="4283"/>
            <w:shd w:val="clear" w:color="auto" w:fill="EAF1F4"/>
          </w:tcPr>
          <w:p>
            <w:pPr>
              <w:spacing w:after="50" w:before="50" w:line="252" w:lineRule="auto"/>
            </w:pPr>
            <w:r>
              <w:rPr>
                <w:sz w:val="17"/>
              </w:rPr>
              <w:t>Up to 3 points</w:t>
            </w:r>
          </w:p>
        </w:tc>
      </w:tr>
      <w:tr>
        <w:tc>
          <w:tcPr>
            <w:tcW w:type="dxa" w:w="5185"/>
          </w:tcPr>
          <w:p>
            <w:pPr>
              <w:spacing w:after="50" w:before="50" w:line="252" w:lineRule="auto"/>
            </w:pPr>
            <w:r>
              <w:rPr>
                <w:sz w:val="17"/>
              </w:rPr>
              <w:t>Discourtesy to any person</w:t>
            </w:r>
          </w:p>
        </w:tc>
        <w:tc>
          <w:tcPr>
            <w:tcW w:type="dxa" w:w="4283"/>
          </w:tcPr>
          <w:p>
            <w:pPr>
              <w:spacing w:after="50" w:before="50" w:line="252" w:lineRule="auto"/>
            </w:pPr>
            <w:r>
              <w:rPr>
                <w:sz w:val="17"/>
              </w:rPr>
              <w:t>Up to 3 points; serious cases, disqualification</w:t>
            </w:r>
          </w:p>
        </w:tc>
      </w:tr>
      <w:tr>
        <w:tc>
          <w:tcPr>
            <w:tcW w:type="dxa" w:w="5185"/>
            <w:shd w:val="clear" w:color="auto" w:fill="EAF1F4"/>
          </w:tcPr>
          <w:p>
            <w:pPr>
              <w:spacing w:after="50" w:before="50" w:line="252" w:lineRule="auto"/>
            </w:pPr>
            <w:r>
              <w:rPr>
                <w:sz w:val="17"/>
              </w:rPr>
              <w:t>Using a device during a session</w:t>
            </w:r>
          </w:p>
        </w:tc>
        <w:tc>
          <w:tcPr>
            <w:tcW w:type="dxa" w:w="4283"/>
            <w:shd w:val="clear" w:color="auto" w:fill="EAF1F4"/>
          </w:tcPr>
          <w:p>
            <w:pPr>
              <w:spacing w:after="50" w:before="50" w:line="252" w:lineRule="auto"/>
            </w:pPr>
            <w:r>
              <w:rPr>
                <w:sz w:val="17"/>
              </w:rPr>
              <w:t>Up to 3 points</w:t>
            </w:r>
          </w:p>
        </w:tc>
      </w:tr>
      <w:tr>
        <w:tc>
          <w:tcPr>
            <w:tcW w:type="dxa" w:w="5185"/>
          </w:tcPr>
          <w:p>
            <w:pPr>
              <w:spacing w:after="50" w:before="50" w:line="252" w:lineRule="auto"/>
            </w:pPr>
            <w:r>
              <w:rPr>
                <w:sz w:val="17"/>
              </w:rPr>
              <w:t>Coach communicating with you during a session</w:t>
            </w:r>
          </w:p>
        </w:tc>
        <w:tc>
          <w:tcPr>
            <w:tcW w:type="dxa" w:w="4283"/>
          </w:tcPr>
          <w:p>
            <w:pPr>
              <w:spacing w:after="50" w:before="50" w:line="252" w:lineRule="auto"/>
            </w:pPr>
            <w:r>
              <w:rPr>
                <w:sz w:val="17"/>
              </w:rPr>
              <w:t>Up to 3 points; repeat, disqualification</w:t>
            </w:r>
          </w:p>
        </w:tc>
      </w:tr>
      <w:tr>
        <w:tc>
          <w:tcPr>
            <w:tcW w:type="dxa" w:w="5185"/>
            <w:shd w:val="clear" w:color="auto" w:fill="EAF1F4"/>
          </w:tcPr>
          <w:p>
            <w:pPr>
              <w:spacing w:after="50" w:before="50" w:line="252" w:lineRule="auto"/>
            </w:pPr>
            <w:r>
              <w:rPr>
                <w:b/>
                <w:sz w:val="17"/>
              </w:rPr>
              <w:t>Reading the other side's Confidential Information</w:t>
            </w:r>
          </w:p>
        </w:tc>
        <w:tc>
          <w:tcPr>
            <w:tcW w:type="dxa" w:w="4283"/>
            <w:shd w:val="clear" w:color="auto" w:fill="EAF1F4"/>
          </w:tcPr>
          <w:p>
            <w:pPr>
              <w:spacing w:after="50" w:before="50" w:line="252" w:lineRule="auto"/>
            </w:pPr>
            <w:r>
              <w:rPr>
                <w:b/>
                <w:sz w:val="17"/>
              </w:rPr>
              <w:t>Disqualification; institution informed</w:t>
            </w:r>
          </w:p>
        </w:tc>
      </w:tr>
      <w:tr>
        <w:tc>
          <w:tcPr>
            <w:tcW w:type="dxa" w:w="5185"/>
          </w:tcPr>
          <w:p>
            <w:pPr>
              <w:spacing w:after="50" w:before="50" w:line="252" w:lineRule="auto"/>
            </w:pPr>
            <w:r>
              <w:rPr>
                <w:b/>
                <w:sz w:val="17"/>
              </w:rPr>
              <w:t>Recording a session by any means</w:t>
            </w:r>
          </w:p>
        </w:tc>
        <w:tc>
          <w:tcPr>
            <w:tcW w:type="dxa" w:w="4283"/>
          </w:tcPr>
          <w:p>
            <w:pPr>
              <w:spacing w:after="50" w:before="50" w:line="252" w:lineRule="auto"/>
            </w:pPr>
            <w:r>
              <w:rPr>
                <w:b/>
                <w:sz w:val="17"/>
              </w:rPr>
              <w:t>Disqualification; institution informed</w:t>
            </w:r>
          </w:p>
        </w:tc>
      </w:tr>
      <w:tr>
        <w:tc>
          <w:tcPr>
            <w:tcW w:type="dxa" w:w="5185"/>
            <w:shd w:val="clear" w:color="auto" w:fill="EAF1F4"/>
          </w:tcPr>
          <w:p>
            <w:pPr>
              <w:spacing w:after="50" w:before="50" w:line="252" w:lineRule="auto"/>
            </w:pPr>
            <w:r>
              <w:rPr>
                <w:sz w:val="17"/>
              </w:rPr>
              <w:t>Approaching a judge about a session</w:t>
            </w:r>
          </w:p>
        </w:tc>
        <w:tc>
          <w:tcPr>
            <w:tcW w:type="dxa" w:w="4283"/>
            <w:shd w:val="clear" w:color="auto" w:fill="EAF1F4"/>
          </w:tcPr>
          <w:p>
            <w:pPr>
              <w:spacing w:after="50" w:before="50" w:line="252" w:lineRule="auto"/>
            </w:pPr>
            <w:r>
              <w:rPr>
                <w:sz w:val="17"/>
              </w:rPr>
              <w:t>Disqualification</w:t>
            </w:r>
          </w:p>
        </w:tc>
      </w:tr>
      <w:tr>
        <w:tc>
          <w:tcPr>
            <w:tcW w:type="dxa" w:w="5185"/>
          </w:tcPr>
          <w:p>
            <w:pPr>
              <w:spacing w:after="50" w:before="50" w:line="252" w:lineRule="auto"/>
            </w:pPr>
            <w:r>
              <w:rPr>
                <w:sz w:val="17"/>
              </w:rPr>
              <w:t>Misrepresenting eligibility</w:t>
            </w:r>
          </w:p>
        </w:tc>
        <w:tc>
          <w:tcPr>
            <w:tcW w:type="dxa" w:w="4283"/>
          </w:tcPr>
          <w:p>
            <w:pPr>
              <w:spacing w:after="50" w:before="50" w:line="252" w:lineRule="auto"/>
            </w:pPr>
            <w:r>
              <w:rPr>
                <w:sz w:val="17"/>
              </w:rPr>
              <w:t>Disqualification; results voided</w:t>
            </w:r>
          </w:p>
        </w:tc>
      </w:tr>
    </w:tbl>
    <w:p>
      <w:pPr>
        <w:spacing w:after="80" w:before="0"/>
      </w:pPr>
    </w:p>
    <w:p>
      <w:r>
        <w:rPr>
          <w:b/>
        </w:rPr>
        <w:t>If the other side's confidential information reaches you by accident, tell the Convenor immediately.</w:t>
      </w:r>
      <w:r>
        <w:t xml:space="preserve"> Immediate, good-faith disclosure will ordinarily result in a remedial direction. Concealment will not.</w:t>
      </w:r>
    </w:p>
    <w:p>
      <w:pPr>
        <w:spacing w:before="80" w:after="160"/>
        <w:pBdr>
          <w:bottom w:val="single" w:sz="6" w:space="1" w:color="C9D6DE"/>
        </w:pBdr>
      </w:pPr>
    </w:p>
    <w:p>
      <w:pPr>
        <w:pStyle w:val="Heading1"/>
        <w:pBdr>
          <w:bottom w:val="single" w:sz="8" w:space="4" w:color="C9D6DE"/>
        </w:pBdr>
      </w:pPr>
      <w:r>
        <w:t>6. Ten things that separate the teams who place</w:t>
      </w:r>
    </w:p>
    <w:p>
      <w:pPr>
        <w:pStyle w:val="ListNumber"/>
      </w:pPr>
      <w:r>
        <w:rPr>
          <w:sz w:val="21"/>
        </w:rPr>
        <w:t>They read the scoresheet before they read the problem.</w:t>
      </w:r>
    </w:p>
    <w:p>
      <w:pPr>
        <w:pStyle w:val="ListNumber"/>
      </w:pPr>
      <w:r>
        <w:rPr>
          <w:sz w:val="21"/>
        </w:rPr>
        <w:t>Their opening is 90 seconds long and is about interests, not allegations.</w:t>
      </w:r>
    </w:p>
    <w:p>
      <w:pPr>
        <w:pStyle w:val="ListNumber"/>
      </w:pPr>
      <w:r>
        <w:rPr>
          <w:sz w:val="21"/>
        </w:rPr>
        <w:t>They address the other party, not the mediator.</w:t>
      </w:r>
    </w:p>
    <w:p>
      <w:pPr>
        <w:pStyle w:val="ListNumber"/>
      </w:pPr>
      <w:r>
        <w:rPr>
          <w:sz w:val="21"/>
        </w:rPr>
        <w:t>They ask questions to which they do not know the answer.</w:t>
      </w:r>
    </w:p>
    <w:p>
      <w:pPr>
        <w:pStyle w:val="ListNumber"/>
      </w:pPr>
      <w:r>
        <w:rPr>
          <w:sz w:val="21"/>
        </w:rPr>
        <w:t>They notice when the other side reveals something and they follow it.</w:t>
      </w:r>
    </w:p>
    <w:p>
      <w:pPr>
        <w:pStyle w:val="ListNumber"/>
      </w:pPr>
      <w:r>
        <w:rPr>
          <w:sz w:val="21"/>
        </w:rPr>
        <w:t>They put non-monetary options on the table before anyone mentions a number.</w:t>
      </w:r>
    </w:p>
    <w:p>
      <w:pPr>
        <w:pStyle w:val="ListNumber"/>
      </w:pPr>
      <w:r>
        <w:rPr>
          <w:sz w:val="21"/>
        </w:rPr>
        <w:t>They use caucus for a reason they can state.</w:t>
      </w:r>
    </w:p>
    <w:p>
      <w:pPr>
        <w:pStyle w:val="ListNumber"/>
      </w:pPr>
      <w:r>
        <w:rPr>
          <w:sz w:val="21"/>
        </w:rPr>
        <w:t>Both members speak, and the Client is not a passenger.</w:t>
      </w:r>
    </w:p>
    <w:p>
      <w:pPr>
        <w:pStyle w:val="ListNumber"/>
      </w:pPr>
      <w:r>
        <w:rPr>
          <w:sz w:val="21"/>
        </w:rPr>
        <w:t>When they concede something, they say what they want in return.</w:t>
      </w:r>
    </w:p>
    <w:p>
      <w:pPr>
        <w:pStyle w:val="ListNumber"/>
      </w:pPr>
      <w:r>
        <w:rPr>
          <w:sz w:val="21"/>
        </w:rPr>
        <w:t>They do not settle at any price to be seen to settle — and they know that no marks are awarded for settling.</w:t>
      </w:r>
    </w:p>
    <w:p>
      <w:pPr>
        <w:spacing w:before="80" w:after="160"/>
        <w:pBdr>
          <w:bottom w:val="single" w:sz="6" w:space="1" w:color="C9D6DE"/>
        </w:pBdr>
      </w:pPr>
    </w:p>
    <w:p>
      <w:pPr>
        <w:pStyle w:val="Heading1"/>
        <w:pBdr>
          <w:bottom w:val="single" w:sz="8" w:space="4" w:color="C9D6DE"/>
        </w:pBdr>
      </w:pPr>
      <w:r>
        <w:t>7. Frequently asked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878"/>
            <w:shd w:val="clear" w:color="auto" w:fill="10375C"/>
          </w:tcPr>
          <w:p>
            <w:pPr>
              <w:spacing w:after="50" w:before="50"/>
            </w:pPr>
            <w:r>
              <w:rPr>
                <w:b/>
                <w:color w:val="FFFFFF"/>
                <w:sz w:val="17"/>
              </w:rPr>
              <w:t>Question</w:t>
            </w:r>
          </w:p>
        </w:tc>
        <w:tc>
          <w:tcPr>
            <w:tcW w:type="dxa" w:w="5590"/>
            <w:shd w:val="clear" w:color="auto" w:fill="10375C"/>
          </w:tcPr>
          <w:p>
            <w:pPr>
              <w:spacing w:after="50" w:before="50"/>
            </w:pPr>
            <w:r>
              <w:rPr>
                <w:b/>
                <w:color w:val="FFFFFF"/>
                <w:sz w:val="17"/>
              </w:rPr>
              <w:t>Answer</w:t>
            </w:r>
          </w:p>
        </w:tc>
      </w:tr>
      <w:tr>
        <w:tc>
          <w:tcPr>
            <w:tcW w:type="dxa" w:w="3878"/>
          </w:tcPr>
          <w:p>
            <w:pPr>
              <w:spacing w:after="50" w:before="50" w:line="252" w:lineRule="auto"/>
            </w:pPr>
            <w:r>
              <w:rPr>
                <w:sz w:val="17"/>
              </w:rPr>
              <w:t>Do we have to settle?</w:t>
            </w:r>
          </w:p>
        </w:tc>
        <w:tc>
          <w:tcPr>
            <w:tcW w:type="dxa" w:w="5590"/>
          </w:tcPr>
          <w:p>
            <w:pPr>
              <w:spacing w:after="50" w:before="50" w:line="252" w:lineRule="auto"/>
            </w:pPr>
            <w:r>
              <w:rPr>
                <w:sz w:val="17"/>
              </w:rPr>
              <w:t>No. There are no marks for settling. A well-negotiated session without settlement can outscore a poor settlement</w:t>
            </w:r>
          </w:p>
        </w:tc>
      </w:tr>
      <w:tr>
        <w:tc>
          <w:tcPr>
            <w:tcW w:type="dxa" w:w="3878"/>
            <w:shd w:val="clear" w:color="auto" w:fill="EAF1F4"/>
          </w:tcPr>
          <w:p>
            <w:pPr>
              <w:spacing w:after="50" w:before="50" w:line="252" w:lineRule="auto"/>
            </w:pPr>
            <w:r>
              <w:rPr>
                <w:sz w:val="17"/>
              </w:rPr>
              <w:t>Can we agree with the other team beforehand?</w:t>
            </w:r>
          </w:p>
        </w:tc>
        <w:tc>
          <w:tcPr>
            <w:tcW w:type="dxa" w:w="5590"/>
            <w:shd w:val="clear" w:color="auto" w:fill="EAF1F4"/>
          </w:tcPr>
          <w:p>
            <w:pPr>
              <w:spacing w:after="50" w:before="50" w:line="252" w:lineRule="auto"/>
            </w:pPr>
            <w:r>
              <w:rPr>
                <w:sz w:val="17"/>
              </w:rPr>
              <w:t>No. Any pre-arrangement is a serious breach</w:t>
            </w:r>
          </w:p>
        </w:tc>
      </w:tr>
      <w:tr>
        <w:tc>
          <w:tcPr>
            <w:tcW w:type="dxa" w:w="3878"/>
          </w:tcPr>
          <w:p>
            <w:pPr>
              <w:spacing w:after="50" w:before="50" w:line="252" w:lineRule="auto"/>
            </w:pPr>
            <w:r>
              <w:rPr>
                <w:sz w:val="17"/>
              </w:rPr>
              <w:t>Can our coach watch?</w:t>
            </w:r>
          </w:p>
        </w:tc>
        <w:tc>
          <w:tcPr>
            <w:tcW w:type="dxa" w:w="5590"/>
          </w:tcPr>
          <w:p>
            <w:pPr>
              <w:spacing w:after="50" w:before="50" w:line="252" w:lineRule="auto"/>
            </w:pPr>
            <w:r>
              <w:rPr>
                <w:sz w:val="17"/>
              </w:rPr>
              <w:t>No. Coaches are not admitted to session rooms</w:t>
            </w:r>
          </w:p>
        </w:tc>
      </w:tr>
      <w:tr>
        <w:tc>
          <w:tcPr>
            <w:tcW w:type="dxa" w:w="3878"/>
            <w:shd w:val="clear" w:color="auto" w:fill="EAF1F4"/>
          </w:tcPr>
          <w:p>
            <w:pPr>
              <w:spacing w:after="50" w:before="50" w:line="252" w:lineRule="auto"/>
            </w:pPr>
            <w:r>
              <w:rPr>
                <w:sz w:val="17"/>
              </w:rPr>
              <w:t>Can we bring a laptop?</w:t>
            </w:r>
          </w:p>
        </w:tc>
        <w:tc>
          <w:tcPr>
            <w:tcW w:type="dxa" w:w="5590"/>
            <w:shd w:val="clear" w:color="auto" w:fill="EAF1F4"/>
          </w:tcPr>
          <w:p>
            <w:pPr>
              <w:spacing w:after="50" w:before="50" w:line="252" w:lineRule="auto"/>
            </w:pPr>
            <w:r>
              <w:rPr>
                <w:sz w:val="17"/>
              </w:rPr>
              <w:t>No. Devices are surrendered</w:t>
            </w:r>
          </w:p>
        </w:tc>
      </w:tr>
      <w:tr>
        <w:tc>
          <w:tcPr>
            <w:tcW w:type="dxa" w:w="3878"/>
          </w:tcPr>
          <w:p>
            <w:pPr>
              <w:spacing w:after="50" w:before="50" w:line="252" w:lineRule="auto"/>
            </w:pPr>
            <w:r>
              <w:rPr>
                <w:sz w:val="17"/>
              </w:rPr>
              <w:t>What if we disagree with a judge's score?</w:t>
            </w:r>
          </w:p>
        </w:tc>
        <w:tc>
          <w:tcPr>
            <w:tcW w:type="dxa" w:w="5590"/>
          </w:tcPr>
          <w:p>
            <w:pPr>
              <w:spacing w:after="50" w:before="50" w:line="252" w:lineRule="auto"/>
            </w:pPr>
            <w:r>
              <w:rPr>
                <w:sz w:val="17"/>
              </w:rPr>
              <w:t>Challenges lie on process and rule compliance only, within 30 minutes, through your designated speaker. Disagreement with academic judgement is not a ground</w:t>
            </w:r>
          </w:p>
        </w:tc>
      </w:tr>
      <w:tr>
        <w:tc>
          <w:tcPr>
            <w:tcW w:type="dxa" w:w="3878"/>
            <w:shd w:val="clear" w:color="auto" w:fill="EAF1F4"/>
          </w:tcPr>
          <w:p>
            <w:pPr>
              <w:spacing w:after="50" w:before="50" w:line="252" w:lineRule="auto"/>
            </w:pPr>
            <w:r>
              <w:rPr>
                <w:sz w:val="17"/>
              </w:rPr>
              <w:t>Will we get our scoresheets?</w:t>
            </w:r>
          </w:p>
        </w:tc>
        <w:tc>
          <w:tcPr>
            <w:tcW w:type="dxa" w:w="5590"/>
            <w:shd w:val="clear" w:color="auto" w:fill="EAF1F4"/>
          </w:tcPr>
          <w:p>
            <w:pPr>
              <w:spacing w:after="50" w:before="50" w:line="252" w:lineRule="auto"/>
            </w:pPr>
            <w:r>
              <w:rPr>
                <w:sz w:val="17"/>
              </w:rPr>
              <w:t>Yes, after the Championship</w:t>
            </w:r>
          </w:p>
        </w:tc>
      </w:tr>
      <w:tr>
        <w:tc>
          <w:tcPr>
            <w:tcW w:type="dxa" w:w="3878"/>
          </w:tcPr>
          <w:p>
            <w:pPr>
              <w:spacing w:after="50" w:before="50" w:line="252" w:lineRule="auto"/>
            </w:pPr>
            <w:r>
              <w:rPr>
                <w:sz w:val="17"/>
              </w:rPr>
              <w:t>Can we use the problem afterwards?</w:t>
            </w:r>
          </w:p>
        </w:tc>
        <w:tc>
          <w:tcPr>
            <w:tcW w:type="dxa" w:w="5590"/>
          </w:tcPr>
          <w:p>
            <w:pPr>
              <w:spacing w:after="50" w:before="50" w:line="252" w:lineRule="auto"/>
            </w:pPr>
            <w:r>
              <w:rPr>
                <w:sz w:val="17"/>
              </w:rPr>
              <w:t>Not until the Institute publishes it, ordinarily 12 months after the edition</w:t>
            </w:r>
          </w:p>
        </w:tc>
      </w:tr>
      <w:tr>
        <w:tc>
          <w:tcPr>
            <w:tcW w:type="dxa" w:w="3878"/>
            <w:shd w:val="clear" w:color="auto" w:fill="EAF1F4"/>
          </w:tcPr>
          <w:p>
            <w:pPr>
              <w:spacing w:after="50" w:before="50" w:line="252" w:lineRule="auto"/>
            </w:pPr>
            <w:r>
              <w:rPr>
                <w:sz w:val="17"/>
              </w:rPr>
              <w:t>Who do we contact?</w:t>
            </w:r>
          </w:p>
        </w:tc>
        <w:tc>
          <w:tcPr>
            <w:tcW w:type="dxa" w:w="5590"/>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8. Awards</w:t>
      </w:r>
    </w:p>
    <w:p>
      <w:r>
        <w:t xml:space="preserve">Champion team · Runner-up · Best Mediation Advocate · Best Client · Best Mediation Plan · Best Newcomer Institution · </w:t>
      </w:r>
      <w:r>
        <w:rPr>
          <w:b/>
        </w:rPr>
        <w:t>Spirit of Mediation Award</w:t>
      </w:r>
      <w:r>
        <w:t>, voted by the mediators for conduct and good faith rather than for placing, and presented last.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EQ-UAP-070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Team Handbook &amp; Registration Pack</w:t>
    </w:r>
    <w:r>
      <w:rPr>
        <w:rFonts w:ascii="Calibri" w:hAnsi="Calibri"/>
        <w:color w:val="595959"/>
        <w:sz w:val="16"/>
      </w:rPr>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3752DB4-BEB3-4782-BA7A-68EB51931B35}"/>
</file>

<file path=customXml/itemProps3.xml><?xml version="1.0" encoding="utf-8"?>
<ds:datastoreItem xmlns:ds="http://schemas.openxmlformats.org/officeDocument/2006/customXml" ds:itemID="{6DF45E07-9673-41B1-8873-DF84938A6497}"/>
</file>

<file path=customXml/itemProps4.xml><?xml version="1.0" encoding="utf-8"?>
<ds:datastoreItem xmlns:ds="http://schemas.openxmlformats.org/officeDocument/2006/customXml" ds:itemID="{D6E63B9A-AA13-4754-BDF1-320CA5316BA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