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Arbitration Moot Problem</w:t>
      </w:r>
    </w:p>
    <w:p>
      <w:pPr>
        <w:spacing w:after="280" w:line="276" w:lineRule="auto"/>
      </w:pPr>
      <w:r>
        <w:rPr>
          <w:rFonts w:ascii="Calibri" w:hAnsi="Calibri"/>
          <w:i/>
          <w:color w:val="3E6B8A"/>
          <w:sz w:val="25"/>
        </w:rPr>
        <w:t>Vasanth Renewables Private Limited v. Girija Infrastructure Limited — the Equator Arbitration Moot, with procedural order and clarification protocol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until released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Note to participants</w:t>
      </w:r>
    </w:p>
    <w:p>
      <w:r>
        <w:t xml:space="preserve">This is the problem for the </w:t>
      </w:r>
      <w:r>
        <w:rPr>
          <w:b/>
        </w:rPr>
        <w:t>Equator Arbitration Moot</w:t>
      </w:r>
      <w:r>
        <w:t>. Unlike the mediation championship, this is an adversarial exercise before an arbitral tribunal. Both sides receive identical materials; there is no confidential information.</w:t>
      </w:r>
    </w:p>
    <w:p>
      <w:r>
        <w:t>Teams argue both Claimant and Respondent across the rounds. Memorials are submitted in advance and are scored.</w:t>
      </w:r>
    </w:p>
    <w:p>
      <w:pPr>
        <w:spacing w:before="80" w:after="160"/>
        <w:pBdr>
          <w:bottom w:val="single" w:sz="6" w:space="1" w:color="C9D6DE"/>
        </w:pBdr>
      </w:pPr>
    </w:p>
    <w:p>
      <w:pPr>
        <w:pStyle w:val="Heading1"/>
        <w:pBdr>
          <w:bottom w:val="single" w:sz="8" w:space="4" w:color="C9D6DE"/>
        </w:pBdr>
      </w:pPr>
      <w:r>
        <w:t>1. The parties and the project</w:t>
      </w:r>
    </w:p>
    <w:p>
      <w:r>
        <w:rPr>
          <w:b/>
        </w:rPr>
        <w:t>Vasanth Renewables Private Limited</w:t>
      </w:r>
      <w:r>
        <w:t xml:space="preserve"> (</w:t>
      </w:r>
      <w:r>
        <w:rPr>
          <w:b/>
        </w:rPr>
        <w:t>Claimant</w:t>
      </w:r>
      <w:r>
        <w:t>) is an independent power producer incorporated in India, developing utility-scale solar projects.</w:t>
      </w:r>
    </w:p>
    <w:p>
      <w:r>
        <w:rPr>
          <w:b/>
        </w:rPr>
        <w:t>Girija Infrastructure Limited</w:t>
      </w:r>
      <w:r>
        <w:t xml:space="preserve"> (</w:t>
      </w:r>
      <w:r>
        <w:rPr>
          <w:b/>
        </w:rPr>
        <w:t>Respondent</w:t>
      </w:r>
      <w:r>
        <w:t>) is a listed engineering, procurement and construction contractor.</w:t>
      </w:r>
    </w:p>
    <w:p>
      <w:r>
        <w:t xml:space="preserve">On </w:t>
      </w:r>
      <w:r>
        <w:rPr>
          <w:b/>
        </w:rPr>
        <w:t>11 January 2023</w:t>
      </w:r>
      <w:r>
        <w:t xml:space="preserve">, the parties executed an </w:t>
      </w:r>
      <w:r>
        <w:rPr>
          <w:b/>
        </w:rPr>
        <w:t>Engineering, Procurement and Construction Contract</w:t>
      </w:r>
      <w:r>
        <w:t xml:space="preserve"> for the design, supply, construction and commissioning of a </w:t>
      </w:r>
      <w:r>
        <w:rPr>
          <w:b/>
        </w:rPr>
        <w:t>220 MW solar photovoltaic plant</w:t>
      </w:r>
      <w:r>
        <w:t xml:space="preserve"> at Jaisalmer, Rajasthan, for a lump sum of </w:t>
      </w:r>
      <w:r>
        <w:rPr>
          <w:b/>
        </w:rPr>
        <w:t>₹1,096 crore</w:t>
      </w:r>
      <w:r>
        <w:t>.</w:t>
      </w:r>
    </w:p>
    <w:p>
      <w:pPr>
        <w:pStyle w:val="Heading2"/>
      </w:pPr>
      <w:r>
        <w:t>1.1 Material provisions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Clause</w:t>
            </w:r>
          </w:p>
        </w:tc>
        <w:tc>
          <w:tcPr>
            <w:tcW w:type="dxa" w:w="8607"/>
            <w:shd w:val="clear" w:color="auto" w:fill="10375C"/>
          </w:tcPr>
          <w:p>
            <w:pPr>
              <w:spacing w:after="50" w:before="50"/>
            </w:pPr>
            <w:r>
              <w:rPr>
                <w:b/>
                <w:color w:val="FFFFFF"/>
                <w:sz w:val="17"/>
              </w:rPr>
              <w:t>Provision</w:t>
            </w:r>
          </w:p>
        </w:tc>
      </w:tr>
      <w:tr>
        <w:tc>
          <w:tcPr>
            <w:tcW w:type="dxa" w:w="861"/>
          </w:tcPr>
          <w:p>
            <w:pPr>
              <w:spacing w:after="50" w:before="50" w:line="252" w:lineRule="auto"/>
            </w:pPr>
            <w:r>
              <w:rPr>
                <w:sz w:val="17"/>
              </w:rPr>
              <w:t>5.1</w:t>
            </w:r>
          </w:p>
        </w:tc>
        <w:tc>
          <w:tcPr>
            <w:tcW w:type="dxa" w:w="8607"/>
          </w:tcPr>
          <w:p>
            <w:pPr>
              <w:spacing w:after="50" w:before="50" w:line="252" w:lineRule="auto"/>
            </w:pPr>
            <w:r>
              <w:rPr>
                <w:sz w:val="17"/>
              </w:rPr>
              <w:t>Scheduled commissioning date 30 April 2024</w:t>
            </w:r>
          </w:p>
        </w:tc>
      </w:tr>
      <w:tr>
        <w:tc>
          <w:tcPr>
            <w:tcW w:type="dxa" w:w="861"/>
            <w:shd w:val="clear" w:color="auto" w:fill="EAF1F4"/>
          </w:tcPr>
          <w:p>
            <w:pPr>
              <w:spacing w:after="50" w:before="50" w:line="252" w:lineRule="auto"/>
            </w:pPr>
            <w:r>
              <w:rPr>
                <w:sz w:val="17"/>
              </w:rPr>
              <w:t>5.6</w:t>
            </w:r>
          </w:p>
        </w:tc>
        <w:tc>
          <w:tcPr>
            <w:tcW w:type="dxa" w:w="8607"/>
            <w:shd w:val="clear" w:color="auto" w:fill="EAF1F4"/>
          </w:tcPr>
          <w:p>
            <w:pPr>
              <w:spacing w:after="50" w:before="50" w:line="252" w:lineRule="auto"/>
            </w:pPr>
            <w:r>
              <w:rPr>
                <w:sz w:val="17"/>
              </w:rPr>
              <w:t>Liquidated damages for delay at 0.5% of the contract price per week, capped at 10%</w:t>
            </w:r>
          </w:p>
        </w:tc>
      </w:tr>
      <w:tr>
        <w:tc>
          <w:tcPr>
            <w:tcW w:type="dxa" w:w="861"/>
          </w:tcPr>
          <w:p>
            <w:pPr>
              <w:spacing w:after="50" w:before="50" w:line="252" w:lineRule="auto"/>
            </w:pPr>
            <w:r>
              <w:rPr>
                <w:sz w:val="17"/>
              </w:rPr>
              <w:t>8.2</w:t>
            </w:r>
          </w:p>
        </w:tc>
        <w:tc>
          <w:tcPr>
            <w:tcW w:type="dxa" w:w="8607"/>
          </w:tcPr>
          <w:p>
            <w:pPr>
              <w:spacing w:after="50" w:before="50" w:line="252" w:lineRule="auto"/>
            </w:pPr>
            <w:r>
              <w:rPr>
                <w:sz w:val="17"/>
              </w:rPr>
              <w:t>Respondent to procure modules meeting the specification at Schedule 3, including a first-year degradation limit of 2.0%</w:t>
            </w:r>
          </w:p>
        </w:tc>
      </w:tr>
      <w:tr>
        <w:tc>
          <w:tcPr>
            <w:tcW w:type="dxa" w:w="861"/>
            <w:shd w:val="clear" w:color="auto" w:fill="EAF1F4"/>
          </w:tcPr>
          <w:p>
            <w:pPr>
              <w:spacing w:after="50" w:before="50" w:line="252" w:lineRule="auto"/>
            </w:pPr>
            <w:r>
              <w:rPr>
                <w:sz w:val="17"/>
              </w:rPr>
              <w:t>9.4</w:t>
            </w:r>
          </w:p>
        </w:tc>
        <w:tc>
          <w:tcPr>
            <w:tcW w:type="dxa" w:w="8607"/>
            <w:shd w:val="clear" w:color="auto" w:fill="EAF1F4"/>
          </w:tcPr>
          <w:p>
            <w:pPr>
              <w:spacing w:after="50" w:before="50" w:line="252" w:lineRule="auto"/>
            </w:pPr>
            <w:r>
              <w:rPr>
                <w:sz w:val="17"/>
              </w:rPr>
              <w:t>Claimant to procure and maintain grid connectivity and evacuation approvals</w:t>
            </w:r>
          </w:p>
        </w:tc>
      </w:tr>
      <w:tr>
        <w:tc>
          <w:tcPr>
            <w:tcW w:type="dxa" w:w="861"/>
          </w:tcPr>
          <w:p>
            <w:pPr>
              <w:spacing w:after="50" w:before="50" w:line="252" w:lineRule="auto"/>
            </w:pPr>
            <w:r>
              <w:rPr>
                <w:sz w:val="17"/>
              </w:rPr>
              <w:t>12.1</w:t>
            </w:r>
          </w:p>
        </w:tc>
        <w:tc>
          <w:tcPr>
            <w:tcW w:type="dxa" w:w="8607"/>
          </w:tcPr>
          <w:p>
            <w:pPr>
              <w:spacing w:after="50" w:before="50" w:line="252" w:lineRule="auto"/>
            </w:pPr>
            <w:r>
              <w:rPr>
                <w:sz w:val="17"/>
              </w:rPr>
              <w:t>Change in law relief where a change after the base date increases cost or delays performance</w:t>
            </w:r>
          </w:p>
        </w:tc>
      </w:tr>
      <w:tr>
        <w:tc>
          <w:tcPr>
            <w:tcW w:type="dxa" w:w="861"/>
            <w:shd w:val="clear" w:color="auto" w:fill="EAF1F4"/>
          </w:tcPr>
          <w:p>
            <w:pPr>
              <w:spacing w:after="50" w:before="50" w:line="252" w:lineRule="auto"/>
            </w:pPr>
            <w:r>
              <w:rPr>
                <w:sz w:val="17"/>
              </w:rPr>
              <w:t>14.3</w:t>
            </w:r>
          </w:p>
        </w:tc>
        <w:tc>
          <w:tcPr>
            <w:tcW w:type="dxa" w:w="8607"/>
            <w:shd w:val="clear" w:color="auto" w:fill="EAF1F4"/>
          </w:tcPr>
          <w:p>
            <w:pPr>
              <w:spacing w:after="50" w:before="50" w:line="252" w:lineRule="auto"/>
            </w:pPr>
            <w:r>
              <w:rPr>
                <w:sz w:val="17"/>
              </w:rPr>
              <w:t>Extension of time for Claimant-caused delay, force majeure, or change in law</w:t>
            </w:r>
          </w:p>
        </w:tc>
      </w:tr>
      <w:tr>
        <w:tc>
          <w:tcPr>
            <w:tcW w:type="dxa" w:w="861"/>
          </w:tcPr>
          <w:p>
            <w:pPr>
              <w:spacing w:after="50" w:before="50" w:line="252" w:lineRule="auto"/>
            </w:pPr>
            <w:r>
              <w:rPr>
                <w:sz w:val="17"/>
              </w:rPr>
              <w:t>17.2</w:t>
            </w:r>
          </w:p>
        </w:tc>
        <w:tc>
          <w:tcPr>
            <w:tcW w:type="dxa" w:w="8607"/>
          </w:tcPr>
          <w:p>
            <w:pPr>
              <w:spacing w:after="50" w:before="50" w:line="252" w:lineRule="auto"/>
            </w:pPr>
            <w:r>
              <w:rPr>
                <w:sz w:val="17"/>
              </w:rPr>
              <w:t>Performance guarantee test to be conducted within 60 days of commissioning</w:t>
            </w:r>
          </w:p>
        </w:tc>
      </w:tr>
      <w:tr>
        <w:tc>
          <w:tcPr>
            <w:tcW w:type="dxa" w:w="861"/>
            <w:shd w:val="clear" w:color="auto" w:fill="EAF1F4"/>
          </w:tcPr>
          <w:p>
            <w:pPr>
              <w:spacing w:after="50" w:before="50" w:line="252" w:lineRule="auto"/>
            </w:pPr>
            <w:r>
              <w:rPr>
                <w:sz w:val="17"/>
              </w:rPr>
              <w:t>21</w:t>
            </w:r>
          </w:p>
        </w:tc>
        <w:tc>
          <w:tcPr>
            <w:tcW w:type="dxa" w:w="8607"/>
            <w:shd w:val="clear" w:color="auto" w:fill="EAF1F4"/>
          </w:tcPr>
          <w:p>
            <w:pPr>
              <w:spacing w:after="50" w:before="50" w:line="252" w:lineRule="auto"/>
            </w:pPr>
            <w:r>
              <w:rPr>
                <w:b/>
                <w:sz w:val="17"/>
              </w:rPr>
              <w:t>Disputes to be finally resolved by arbitration under the Arbitration and Conciliation Act, 1996 by a tribunal of three arbitrators, seat New Delhi, governing law India, language English</w:t>
            </w:r>
          </w:p>
        </w:tc>
      </w:tr>
      <w:tr>
        <w:tc>
          <w:tcPr>
            <w:tcW w:type="dxa" w:w="861"/>
          </w:tcPr>
          <w:p>
            <w:pPr>
              <w:spacing w:after="50" w:before="50" w:line="252" w:lineRule="auto"/>
            </w:pPr>
            <w:r>
              <w:rPr>
                <w:sz w:val="17"/>
              </w:rPr>
              <w:t>21.4</w:t>
            </w:r>
          </w:p>
        </w:tc>
        <w:tc>
          <w:tcPr>
            <w:tcW w:type="dxa" w:w="8607"/>
          </w:tcPr>
          <w:p>
            <w:pPr>
              <w:spacing w:after="50" w:before="50" w:line="252" w:lineRule="auto"/>
            </w:pPr>
            <w:r>
              <w:rPr>
                <w:b/>
                <w:sz w:val="17"/>
              </w:rPr>
              <w:t>No party shall commence arbitration unless it has first participated in a mediation conducted in accordance with the Mediation Act, 2023, and thirty days have elapsed from the mediator's first appearance</w:t>
            </w:r>
          </w:p>
        </w:tc>
      </w:tr>
    </w:tbl>
    <w:p>
      <w:pPr>
        <w:spacing w:after="80" w:before="0"/>
      </w:pPr>
    </w:p>
    <w:p>
      <w:pPr>
        <w:spacing w:before="80" w:after="160"/>
        <w:pBdr>
          <w:bottom w:val="single" w:sz="6" w:space="1" w:color="C9D6DE"/>
        </w:pBdr>
      </w:pPr>
    </w:p>
    <w:p>
      <w:pPr>
        <w:pStyle w:val="Heading1"/>
        <w:pBdr>
          <w:bottom w:val="single" w:sz="8" w:space="4" w:color="C9D6DE"/>
        </w:pBdr>
      </w:pPr>
      <w:r>
        <w:t>2. What happened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40"/>
            <w:shd w:val="clear" w:color="auto" w:fill="10375C"/>
          </w:tcPr>
          <w:p>
            <w:pPr>
              <w:spacing w:after="50" w:before="50"/>
            </w:pPr>
            <w:r>
              <w:rPr>
                <w:b/>
                <w:color w:val="FFFFFF"/>
                <w:sz w:val="17"/>
              </w:rPr>
              <w:t>Date</w:t>
            </w:r>
          </w:p>
        </w:tc>
        <w:tc>
          <w:tcPr>
            <w:tcW w:type="dxa" w:w="6928"/>
            <w:shd w:val="clear" w:color="auto" w:fill="10375C"/>
          </w:tcPr>
          <w:p>
            <w:pPr>
              <w:spacing w:after="50" w:before="50"/>
            </w:pPr>
            <w:r>
              <w:rPr>
                <w:b/>
                <w:color w:val="FFFFFF"/>
                <w:sz w:val="17"/>
              </w:rPr>
              <w:t>Event</w:t>
            </w:r>
          </w:p>
        </w:tc>
      </w:tr>
      <w:tr>
        <w:tc>
          <w:tcPr>
            <w:tcW w:type="dxa" w:w="2540"/>
          </w:tcPr>
          <w:p>
            <w:pPr>
              <w:spacing w:after="50" w:before="50" w:line="252" w:lineRule="auto"/>
            </w:pPr>
            <w:r>
              <w:rPr>
                <w:sz w:val="17"/>
              </w:rPr>
              <w:t>Jan–Aug 2023</w:t>
            </w:r>
          </w:p>
        </w:tc>
        <w:tc>
          <w:tcPr>
            <w:tcW w:type="dxa" w:w="6928"/>
          </w:tcPr>
          <w:p>
            <w:pPr>
              <w:spacing w:after="50" w:before="50" w:line="252" w:lineRule="auto"/>
            </w:pPr>
            <w:r>
              <w:rPr>
                <w:sz w:val="17"/>
              </w:rPr>
              <w:t>Design and procurement proceed. Modules ordered from an overseas supplier</w:t>
            </w:r>
          </w:p>
        </w:tc>
      </w:tr>
      <w:tr>
        <w:tc>
          <w:tcPr>
            <w:tcW w:type="dxa" w:w="2540"/>
            <w:shd w:val="clear" w:color="auto" w:fill="EAF1F4"/>
          </w:tcPr>
          <w:p>
            <w:pPr>
              <w:spacing w:after="50" w:before="50" w:line="252" w:lineRule="auto"/>
            </w:pPr>
            <w:r>
              <w:rPr>
                <w:b/>
                <w:sz w:val="17"/>
              </w:rPr>
              <w:t>12 September 2023</w:t>
            </w:r>
          </w:p>
        </w:tc>
        <w:tc>
          <w:tcPr>
            <w:tcW w:type="dxa" w:w="6928"/>
            <w:shd w:val="clear" w:color="auto" w:fill="EAF1F4"/>
          </w:tcPr>
          <w:p>
            <w:pPr>
              <w:spacing w:after="50" w:before="50" w:line="252" w:lineRule="auto"/>
            </w:pPr>
            <w:r>
              <w:rPr>
                <w:sz w:val="17"/>
              </w:rPr>
              <w:t xml:space="preserve">A notification is issued restricting the import of photovoltaic modules of the specified type unless sourced from an approved list. The Respondent's ordered modules are not on the list. </w:t>
            </w:r>
            <w:r>
              <w:rPr>
                <w:i/>
                <w:sz w:val="17"/>
              </w:rPr>
              <w:t>(A fictitious notification created for this problem; do not research it.)</w:t>
            </w:r>
          </w:p>
        </w:tc>
      </w:tr>
      <w:tr>
        <w:tc>
          <w:tcPr>
            <w:tcW w:type="dxa" w:w="2540"/>
          </w:tcPr>
          <w:p>
            <w:pPr>
              <w:spacing w:after="50" w:before="50" w:line="252" w:lineRule="auto"/>
            </w:pPr>
            <w:r>
              <w:rPr>
                <w:sz w:val="17"/>
              </w:rPr>
              <w:t>20 September 2023</w:t>
            </w:r>
          </w:p>
        </w:tc>
        <w:tc>
          <w:tcPr>
            <w:tcW w:type="dxa" w:w="6928"/>
          </w:tcPr>
          <w:p>
            <w:pPr>
              <w:spacing w:after="50" w:before="50" w:line="252" w:lineRule="auto"/>
            </w:pPr>
            <w:r>
              <w:rPr>
                <w:sz w:val="17"/>
              </w:rPr>
              <w:t>Respondent notifies a change in law under clause 12.1 and claims an extension of time and additional cost of ₹68 crore</w:t>
            </w:r>
          </w:p>
        </w:tc>
      </w:tr>
      <w:tr>
        <w:tc>
          <w:tcPr>
            <w:tcW w:type="dxa" w:w="2540"/>
            <w:shd w:val="clear" w:color="auto" w:fill="EAF1F4"/>
          </w:tcPr>
          <w:p>
            <w:pPr>
              <w:spacing w:after="50" w:before="50" w:line="252" w:lineRule="auto"/>
            </w:pPr>
            <w:r>
              <w:rPr>
                <w:sz w:val="17"/>
              </w:rPr>
              <w:t>4 October 2023</w:t>
            </w:r>
          </w:p>
        </w:tc>
        <w:tc>
          <w:tcPr>
            <w:tcW w:type="dxa" w:w="6928"/>
            <w:shd w:val="clear" w:color="auto" w:fill="EAF1F4"/>
          </w:tcPr>
          <w:p>
            <w:pPr>
              <w:spacing w:after="50" w:before="50" w:line="252" w:lineRule="auto"/>
            </w:pPr>
            <w:r>
              <w:rPr>
                <w:sz w:val="17"/>
              </w:rPr>
              <w:t>Claimant disputes the notice, contending the Respondent had been on notice of the policy direction and had failed to mitigate</w:t>
            </w:r>
          </w:p>
        </w:tc>
      </w:tr>
      <w:tr>
        <w:tc>
          <w:tcPr>
            <w:tcW w:type="dxa" w:w="2540"/>
          </w:tcPr>
          <w:p>
            <w:pPr>
              <w:spacing w:after="50" w:before="50" w:line="252" w:lineRule="auto"/>
            </w:pPr>
            <w:r>
              <w:rPr>
                <w:sz w:val="17"/>
              </w:rPr>
              <w:t>Nov 2023 – Feb 2024</w:t>
            </w:r>
          </w:p>
        </w:tc>
        <w:tc>
          <w:tcPr>
            <w:tcW w:type="dxa" w:w="6928"/>
          </w:tcPr>
          <w:p>
            <w:pPr>
              <w:spacing w:after="50" w:before="50" w:line="252" w:lineRule="auto"/>
            </w:pPr>
            <w:r>
              <w:rPr>
                <w:sz w:val="17"/>
              </w:rPr>
              <w:t xml:space="preserve">Respondent re-procures from an approved supplier. The substitute modules meet the specification save that the manufacturer's warranted first-year degradation is </w:t>
            </w:r>
            <w:r>
              <w:rPr>
                <w:b/>
                <w:sz w:val="17"/>
              </w:rPr>
              <w:t>2.4%</w:t>
            </w:r>
            <w:r>
              <w:rPr>
                <w:sz w:val="17"/>
              </w:rPr>
              <w:t xml:space="preserve"> against the 2.0% specified. Respondent notifies the deviation; Claimant does not respond</w:t>
            </w:r>
          </w:p>
        </w:tc>
      </w:tr>
      <w:tr>
        <w:tc>
          <w:tcPr>
            <w:tcW w:type="dxa" w:w="2540"/>
            <w:shd w:val="clear" w:color="auto" w:fill="EAF1F4"/>
          </w:tcPr>
          <w:p>
            <w:pPr>
              <w:spacing w:after="50" w:before="50" w:line="252" w:lineRule="auto"/>
            </w:pPr>
            <w:r>
              <w:rPr>
                <w:sz w:val="17"/>
              </w:rPr>
              <w:t>15 March 2024</w:t>
            </w:r>
          </w:p>
        </w:tc>
        <w:tc>
          <w:tcPr>
            <w:tcW w:type="dxa" w:w="6928"/>
            <w:shd w:val="clear" w:color="auto" w:fill="EAF1F4"/>
          </w:tcPr>
          <w:p>
            <w:pPr>
              <w:spacing w:after="50" w:before="50" w:line="252" w:lineRule="auto"/>
            </w:pPr>
            <w:r>
              <w:rPr>
                <w:sz w:val="17"/>
              </w:rPr>
              <w:t>Claimant's evacuation approval is delayed by the transmission utility. Full evacuation capacity becomes available only on 8 June 2024</w:t>
            </w:r>
          </w:p>
        </w:tc>
      </w:tr>
      <w:tr>
        <w:tc>
          <w:tcPr>
            <w:tcW w:type="dxa" w:w="2540"/>
          </w:tcPr>
          <w:p>
            <w:pPr>
              <w:spacing w:after="50" w:before="50" w:line="252" w:lineRule="auto"/>
            </w:pPr>
            <w:r>
              <w:rPr>
                <w:b/>
                <w:sz w:val="17"/>
              </w:rPr>
              <w:t>27 August 2024</w:t>
            </w:r>
          </w:p>
        </w:tc>
        <w:tc>
          <w:tcPr>
            <w:tcW w:type="dxa" w:w="6928"/>
          </w:tcPr>
          <w:p>
            <w:pPr>
              <w:spacing w:after="50" w:before="50" w:line="252" w:lineRule="auto"/>
            </w:pPr>
            <w:r>
              <w:rPr>
                <w:sz w:val="17"/>
              </w:rPr>
              <w:t>Plant commissioned, 119 days after the scheduled date</w:t>
            </w:r>
          </w:p>
        </w:tc>
      </w:tr>
      <w:tr>
        <w:tc>
          <w:tcPr>
            <w:tcW w:type="dxa" w:w="2540"/>
            <w:shd w:val="clear" w:color="auto" w:fill="EAF1F4"/>
          </w:tcPr>
          <w:p>
            <w:pPr>
              <w:spacing w:after="50" w:before="50" w:line="252" w:lineRule="auto"/>
            </w:pPr>
            <w:r>
              <w:rPr>
                <w:sz w:val="17"/>
              </w:rPr>
              <w:t>21 October 2024</w:t>
            </w:r>
          </w:p>
        </w:tc>
        <w:tc>
          <w:tcPr>
            <w:tcW w:type="dxa" w:w="6928"/>
            <w:shd w:val="clear" w:color="auto" w:fill="EAF1F4"/>
          </w:tcPr>
          <w:p>
            <w:pPr>
              <w:spacing w:after="50" w:before="50" w:line="252" w:lineRule="auto"/>
            </w:pPr>
            <w:r>
              <w:rPr>
                <w:sz w:val="17"/>
              </w:rPr>
              <w:t>Performance guarantee test conducted. Plant achieves 97.1% of guaranteed output</w:t>
            </w:r>
          </w:p>
        </w:tc>
      </w:tr>
      <w:tr>
        <w:tc>
          <w:tcPr>
            <w:tcW w:type="dxa" w:w="2540"/>
          </w:tcPr>
          <w:p>
            <w:pPr>
              <w:spacing w:after="50" w:before="50" w:line="252" w:lineRule="auto"/>
            </w:pPr>
            <w:r>
              <w:rPr>
                <w:sz w:val="17"/>
              </w:rPr>
              <w:t>3 December 2024</w:t>
            </w:r>
          </w:p>
        </w:tc>
        <w:tc>
          <w:tcPr>
            <w:tcW w:type="dxa" w:w="6928"/>
          </w:tcPr>
          <w:p>
            <w:pPr>
              <w:spacing w:after="50" w:before="50" w:line="252" w:lineRule="auto"/>
            </w:pPr>
            <w:r>
              <w:rPr>
                <w:sz w:val="17"/>
              </w:rPr>
              <w:t>Claimant certifies liquidated damages of ₹109.6 crore, being the 10% cap, and withholds it</w:t>
            </w:r>
          </w:p>
        </w:tc>
      </w:tr>
      <w:tr>
        <w:tc>
          <w:tcPr>
            <w:tcW w:type="dxa" w:w="2540"/>
            <w:shd w:val="clear" w:color="auto" w:fill="EAF1F4"/>
          </w:tcPr>
          <w:p>
            <w:pPr>
              <w:spacing w:after="50" w:before="50" w:line="252" w:lineRule="auto"/>
            </w:pPr>
            <w:r>
              <w:rPr>
                <w:sz w:val="17"/>
              </w:rPr>
              <w:t>18 December 2024</w:t>
            </w:r>
          </w:p>
        </w:tc>
        <w:tc>
          <w:tcPr>
            <w:tcW w:type="dxa" w:w="6928"/>
            <w:shd w:val="clear" w:color="auto" w:fill="EAF1F4"/>
          </w:tcPr>
          <w:p>
            <w:pPr>
              <w:spacing w:after="50" w:before="50" w:line="252" w:lineRule="auto"/>
            </w:pPr>
            <w:r>
              <w:rPr>
                <w:sz w:val="17"/>
              </w:rPr>
              <w:t>Respondent invokes clause 21.4 and proposes mediation</w:t>
            </w:r>
          </w:p>
        </w:tc>
      </w:tr>
      <w:tr>
        <w:tc>
          <w:tcPr>
            <w:tcW w:type="dxa" w:w="2540"/>
          </w:tcPr>
          <w:p>
            <w:pPr>
              <w:spacing w:after="50" w:before="50" w:line="252" w:lineRule="auto"/>
            </w:pPr>
            <w:r>
              <w:rPr>
                <w:sz w:val="17"/>
              </w:rPr>
              <w:t>6 February 2025</w:t>
            </w:r>
          </w:p>
        </w:tc>
        <w:tc>
          <w:tcPr>
            <w:tcW w:type="dxa" w:w="6928"/>
          </w:tcPr>
          <w:p>
            <w:pPr>
              <w:spacing w:after="50" w:before="50" w:line="252" w:lineRule="auto"/>
            </w:pPr>
            <w:r>
              <w:rPr>
                <w:sz w:val="17"/>
              </w:rPr>
              <w:t>A mediation is convened. It is attended by the Respondent's project director and by the Claimant's general counsel, who states at the outset that he has authority to discuss but not to settle. The session lasts 90 minutes and is adjourned</w:t>
            </w:r>
          </w:p>
        </w:tc>
      </w:tr>
      <w:tr>
        <w:tc>
          <w:tcPr>
            <w:tcW w:type="dxa" w:w="2540"/>
            <w:shd w:val="clear" w:color="auto" w:fill="EAF1F4"/>
          </w:tcPr>
          <w:p>
            <w:pPr>
              <w:spacing w:after="50" w:before="50" w:line="252" w:lineRule="auto"/>
            </w:pPr>
            <w:r>
              <w:rPr>
                <w:sz w:val="17"/>
              </w:rPr>
              <w:t>27 March 2025</w:t>
            </w:r>
          </w:p>
        </w:tc>
        <w:tc>
          <w:tcPr>
            <w:tcW w:type="dxa" w:w="6928"/>
            <w:shd w:val="clear" w:color="auto" w:fill="EAF1F4"/>
          </w:tcPr>
          <w:p>
            <w:pPr>
              <w:spacing w:after="50" w:before="50" w:line="252" w:lineRule="auto"/>
            </w:pPr>
            <w:r>
              <w:rPr>
                <w:sz w:val="17"/>
              </w:rPr>
              <w:t>Respondent issues a notice of arbitration</w:t>
            </w:r>
          </w:p>
        </w:tc>
      </w:tr>
      <w:tr>
        <w:tc>
          <w:tcPr>
            <w:tcW w:type="dxa" w:w="2540"/>
          </w:tcPr>
          <w:p>
            <w:pPr>
              <w:spacing w:after="50" w:before="50" w:line="252" w:lineRule="auto"/>
            </w:pPr>
            <w:r>
              <w:rPr>
                <w:sz w:val="17"/>
              </w:rPr>
              <w:t>14 April 2025</w:t>
            </w:r>
          </w:p>
        </w:tc>
        <w:tc>
          <w:tcPr>
            <w:tcW w:type="dxa" w:w="6928"/>
          </w:tcPr>
          <w:p>
            <w:pPr>
              <w:spacing w:after="50" w:before="50" w:line="252" w:lineRule="auto"/>
            </w:pPr>
            <w:r>
              <w:rPr>
                <w:sz w:val="17"/>
              </w:rPr>
              <w:t>Claimant objects that the tribunal lacks jurisdiction because clause 21.4 was not complied with, mediation having been a sham</w:t>
            </w:r>
          </w:p>
        </w:tc>
      </w:tr>
    </w:tbl>
    <w:p>
      <w:pPr>
        <w:spacing w:after="80" w:before="0"/>
      </w:pPr>
    </w:p>
    <w:p>
      <w:pPr>
        <w:spacing w:before="80" w:after="160"/>
        <w:pBdr>
          <w:bottom w:val="single" w:sz="6" w:space="1" w:color="C9D6DE"/>
        </w:pBdr>
      </w:pPr>
    </w:p>
    <w:p>
      <w:pPr>
        <w:pStyle w:val="Heading1"/>
        <w:pBdr>
          <w:bottom w:val="single" w:sz="8" w:space="4" w:color="C9D6DE"/>
        </w:pBdr>
      </w:pPr>
      <w:r>
        <w:t>3. The claims</w:t>
      </w:r>
    </w:p>
    <w:p>
      <w:pPr>
        <w:pStyle w:val="Heading2"/>
      </w:pPr>
      <w:r>
        <w:t>3.1 Respondent as Claimant in the arbitration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220"/>
            <w:shd w:val="clear" w:color="auto" w:fill="10375C"/>
          </w:tcPr>
          <w:p>
            <w:pPr>
              <w:spacing w:after="50" w:before="50"/>
            </w:pPr>
            <w:r>
              <w:rPr>
                <w:b/>
                <w:color w:val="FFFFFF"/>
                <w:sz w:val="17"/>
              </w:rPr>
              <w:t>Head</w:t>
            </w:r>
          </w:p>
        </w:tc>
        <w:tc>
          <w:tcPr>
            <w:tcW w:type="dxa" w:w="2248"/>
            <w:shd w:val="clear" w:color="auto" w:fill="10375C"/>
          </w:tcPr>
          <w:p>
            <w:pPr>
              <w:spacing w:after="50" w:before="50"/>
            </w:pPr>
            <w:r>
              <w:rPr>
                <w:b/>
                <w:color w:val="FFFFFF"/>
                <w:sz w:val="17"/>
              </w:rPr>
              <w:t>Amount</w:t>
            </w:r>
          </w:p>
        </w:tc>
      </w:tr>
      <w:tr>
        <w:tc>
          <w:tcPr>
            <w:tcW w:type="dxa" w:w="7220"/>
          </w:tcPr>
          <w:p>
            <w:pPr>
              <w:spacing w:after="50" w:before="50" w:line="252" w:lineRule="auto"/>
            </w:pPr>
            <w:r>
              <w:rPr>
                <w:sz w:val="17"/>
              </w:rPr>
              <w:t>Extension of time of 119 days and relief from liquidated damages</w:t>
            </w:r>
          </w:p>
        </w:tc>
        <w:tc>
          <w:tcPr>
            <w:tcW w:type="dxa" w:w="2248"/>
          </w:tcPr>
          <w:p>
            <w:pPr>
              <w:spacing w:after="50" w:before="50" w:line="252" w:lineRule="auto"/>
            </w:pPr>
            <w:r>
              <w:rPr>
                <w:sz w:val="17"/>
              </w:rPr>
              <w:t>₹109.6 crore</w:t>
            </w:r>
          </w:p>
        </w:tc>
      </w:tr>
      <w:tr>
        <w:tc>
          <w:tcPr>
            <w:tcW w:type="dxa" w:w="7220"/>
            <w:shd w:val="clear" w:color="auto" w:fill="EAF1F4"/>
          </w:tcPr>
          <w:p>
            <w:pPr>
              <w:spacing w:after="50" w:before="50" w:line="252" w:lineRule="auto"/>
            </w:pPr>
            <w:r>
              <w:rPr>
                <w:sz w:val="17"/>
              </w:rPr>
              <w:t>Additional cost of re-procurement under clause 12.1</w:t>
            </w:r>
          </w:p>
        </w:tc>
        <w:tc>
          <w:tcPr>
            <w:tcW w:type="dxa" w:w="2248"/>
            <w:shd w:val="clear" w:color="auto" w:fill="EAF1F4"/>
          </w:tcPr>
          <w:p>
            <w:pPr>
              <w:spacing w:after="50" w:before="50" w:line="252" w:lineRule="auto"/>
            </w:pPr>
            <w:r>
              <w:rPr>
                <w:sz w:val="17"/>
              </w:rPr>
              <w:t>₹68 crore</w:t>
            </w:r>
          </w:p>
        </w:tc>
      </w:tr>
      <w:tr>
        <w:tc>
          <w:tcPr>
            <w:tcW w:type="dxa" w:w="7220"/>
          </w:tcPr>
          <w:p>
            <w:pPr>
              <w:spacing w:after="50" w:before="50" w:line="252" w:lineRule="auto"/>
            </w:pPr>
            <w:r>
              <w:rPr>
                <w:sz w:val="17"/>
              </w:rPr>
              <w:t>Prolongation cost</w:t>
            </w:r>
          </w:p>
        </w:tc>
        <w:tc>
          <w:tcPr>
            <w:tcW w:type="dxa" w:w="2248"/>
          </w:tcPr>
          <w:p>
            <w:pPr>
              <w:spacing w:after="50" w:before="50" w:line="252" w:lineRule="auto"/>
            </w:pPr>
            <w:r>
              <w:rPr>
                <w:sz w:val="17"/>
              </w:rPr>
              <w:t>₹41 crore</w:t>
            </w:r>
          </w:p>
        </w:tc>
      </w:tr>
      <w:tr>
        <w:tc>
          <w:tcPr>
            <w:tcW w:type="dxa" w:w="7220"/>
            <w:shd w:val="clear" w:color="auto" w:fill="EAF1F4"/>
          </w:tcPr>
          <w:p>
            <w:pPr>
              <w:spacing w:after="50" w:before="50" w:line="252" w:lineRule="auto"/>
            </w:pPr>
            <w:r>
              <w:rPr>
                <w:b/>
                <w:sz w:val="17"/>
              </w:rPr>
              <w:t>Total</w:t>
            </w:r>
          </w:p>
        </w:tc>
        <w:tc>
          <w:tcPr>
            <w:tcW w:type="dxa" w:w="2248"/>
            <w:shd w:val="clear" w:color="auto" w:fill="EAF1F4"/>
          </w:tcPr>
          <w:p>
            <w:pPr>
              <w:spacing w:after="50" w:before="50" w:line="252" w:lineRule="auto"/>
            </w:pPr>
            <w:r>
              <w:rPr>
                <w:b/>
                <w:sz w:val="17"/>
              </w:rPr>
              <w:t>₹218.6 crore</w:t>
            </w:r>
          </w:p>
        </w:tc>
      </w:tr>
    </w:tbl>
    <w:p>
      <w:pPr>
        <w:spacing w:after="80" w:before="0"/>
      </w:pPr>
    </w:p>
    <w:p>
      <w:pPr>
        <w:pStyle w:val="Heading2"/>
      </w:pPr>
      <w:r>
        <w:t>3.2 Claimant's counterclaim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601"/>
            <w:shd w:val="clear" w:color="auto" w:fill="10375C"/>
          </w:tcPr>
          <w:p>
            <w:pPr>
              <w:spacing w:after="50" w:before="50"/>
            </w:pPr>
            <w:r>
              <w:rPr>
                <w:b/>
                <w:color w:val="FFFFFF"/>
                <w:sz w:val="17"/>
              </w:rPr>
              <w:t>Head</w:t>
            </w:r>
          </w:p>
        </w:tc>
        <w:tc>
          <w:tcPr>
            <w:tcW w:type="dxa" w:w="2866"/>
            <w:shd w:val="clear" w:color="auto" w:fill="10375C"/>
          </w:tcPr>
          <w:p>
            <w:pPr>
              <w:spacing w:after="50" w:before="50"/>
            </w:pPr>
            <w:r>
              <w:rPr>
                <w:b/>
                <w:color w:val="FFFFFF"/>
                <w:sz w:val="17"/>
              </w:rPr>
              <w:t>Amount</w:t>
            </w:r>
          </w:p>
        </w:tc>
      </w:tr>
      <w:tr>
        <w:tc>
          <w:tcPr>
            <w:tcW w:type="dxa" w:w="6601"/>
          </w:tcPr>
          <w:p>
            <w:pPr>
              <w:spacing w:after="50" w:before="50" w:line="252" w:lineRule="auto"/>
            </w:pPr>
            <w:r>
              <w:rPr>
                <w:sz w:val="17"/>
              </w:rPr>
              <w:t>Liquidated damages</w:t>
            </w:r>
          </w:p>
        </w:tc>
        <w:tc>
          <w:tcPr>
            <w:tcW w:type="dxa" w:w="2866"/>
          </w:tcPr>
          <w:p>
            <w:pPr>
              <w:spacing w:after="50" w:before="50" w:line="252" w:lineRule="auto"/>
            </w:pPr>
            <w:r>
              <w:rPr>
                <w:sz w:val="17"/>
              </w:rPr>
              <w:t>₹109.6 crore</w:t>
            </w:r>
          </w:p>
        </w:tc>
      </w:tr>
      <w:tr>
        <w:tc>
          <w:tcPr>
            <w:tcW w:type="dxa" w:w="6601"/>
            <w:shd w:val="clear" w:color="auto" w:fill="EAF1F4"/>
          </w:tcPr>
          <w:p>
            <w:pPr>
              <w:spacing w:after="50" w:before="50" w:line="252" w:lineRule="auto"/>
            </w:pPr>
            <w:r>
              <w:rPr>
                <w:sz w:val="17"/>
              </w:rPr>
              <w:t>Reduction for degradation deviation</w:t>
            </w:r>
          </w:p>
        </w:tc>
        <w:tc>
          <w:tcPr>
            <w:tcW w:type="dxa" w:w="2866"/>
            <w:shd w:val="clear" w:color="auto" w:fill="EAF1F4"/>
          </w:tcPr>
          <w:p>
            <w:pPr>
              <w:spacing w:after="50" w:before="50" w:line="252" w:lineRule="auto"/>
            </w:pPr>
            <w:r>
              <w:rPr>
                <w:sz w:val="17"/>
              </w:rPr>
              <w:t>₹34 crore</w:t>
            </w:r>
          </w:p>
        </w:tc>
      </w:tr>
      <w:tr>
        <w:tc>
          <w:tcPr>
            <w:tcW w:type="dxa" w:w="6601"/>
          </w:tcPr>
          <w:p>
            <w:pPr>
              <w:spacing w:after="50" w:before="50" w:line="252" w:lineRule="auto"/>
            </w:pPr>
            <w:r>
              <w:rPr>
                <w:sz w:val="17"/>
              </w:rPr>
              <w:t>Shortfall against the performance guarantee</w:t>
            </w:r>
          </w:p>
        </w:tc>
        <w:tc>
          <w:tcPr>
            <w:tcW w:type="dxa" w:w="2866"/>
          </w:tcPr>
          <w:p>
            <w:pPr>
              <w:spacing w:after="50" w:before="50" w:line="252" w:lineRule="auto"/>
            </w:pPr>
            <w:r>
              <w:rPr>
                <w:sz w:val="17"/>
              </w:rPr>
              <w:t>₹27 crore</w:t>
            </w:r>
          </w:p>
        </w:tc>
      </w:tr>
      <w:tr>
        <w:tc>
          <w:tcPr>
            <w:tcW w:type="dxa" w:w="6601"/>
            <w:shd w:val="clear" w:color="auto" w:fill="EAF1F4"/>
          </w:tcPr>
          <w:p>
            <w:pPr>
              <w:spacing w:after="50" w:before="50" w:line="252" w:lineRule="auto"/>
            </w:pPr>
            <w:r>
              <w:rPr>
                <w:b/>
                <w:sz w:val="17"/>
              </w:rPr>
              <w:t>Total</w:t>
            </w:r>
          </w:p>
        </w:tc>
        <w:tc>
          <w:tcPr>
            <w:tcW w:type="dxa" w:w="2866"/>
            <w:shd w:val="clear" w:color="auto" w:fill="EAF1F4"/>
          </w:tcPr>
          <w:p>
            <w:pPr>
              <w:spacing w:after="50" w:before="50" w:line="252" w:lineRule="auto"/>
            </w:pPr>
            <w:r>
              <w:rPr>
                <w:b/>
                <w:sz w:val="17"/>
              </w:rPr>
              <w:t>₹170.6 crore</w:t>
            </w:r>
          </w:p>
        </w:tc>
      </w:tr>
    </w:tbl>
    <w:p>
      <w:pPr>
        <w:spacing w:after="80" w:before="0"/>
      </w:pPr>
    </w:p>
    <w:p>
      <w:pPr>
        <w:spacing w:before="80" w:after="160"/>
        <w:pBdr>
          <w:bottom w:val="single" w:sz="6" w:space="1" w:color="C9D6DE"/>
        </w:pBdr>
      </w:pPr>
    </w:p>
    <w:p>
      <w:pPr>
        <w:pStyle w:val="Heading1"/>
        <w:pBdr>
          <w:bottom w:val="single" w:sz="8" w:space="4" w:color="C9D6DE"/>
        </w:pBdr>
      </w:pPr>
      <w:r>
        <w:t>4. Issues for determination</w:t>
      </w:r>
    </w:p>
    <w:p>
      <w:r>
        <w:rPr>
          <w:b/>
        </w:rPr>
        <w:t>Issue 1 — Jurisdiction.</w:t>
      </w:r>
      <w:r>
        <w:t xml:space="preserve"> Whether the tribunal has jurisdiction, having regard to clause 21.4; whether a pre-arbitration mediation requirement is a condition precedent going to jurisdiction or to admissibility; and whether attendance by a representative without settlement authority constitutes compliance.</w:t>
      </w:r>
    </w:p>
    <w:p>
      <w:r>
        <w:rPr>
          <w:b/>
        </w:rPr>
        <w:t>Issue 2 — Change in law.</w:t>
      </w:r>
      <w:r>
        <w:t xml:space="preserve"> Whether the notification of 12 September 2023 is a change in law within clause 12.1; whether relief is defeated by foreseeability or by failure to mitigate; and the extent of relief in time and cost.</w:t>
      </w:r>
    </w:p>
    <w:p>
      <w:r>
        <w:rPr>
          <w:b/>
        </w:rPr>
        <w:t>Issue 3 — Concurrent delay.</w:t>
      </w:r>
      <w:r>
        <w:t xml:space="preserve"> How delay caused by the change in law and delay caused by the Claimant's evacuation approval are to be treated where they overlap; whether the Respondent is entitled to an extension for the whole of the overlapping period; and the effect on liquidated damages.</w:t>
      </w:r>
    </w:p>
    <w:p>
      <w:r>
        <w:rPr>
          <w:b/>
        </w:rPr>
        <w:t>Issue 4 — Deviation and waiver.</w:t>
      </w:r>
      <w:r>
        <w:t xml:space="preserve"> Whether the degradation deviation is a breach; whether the Claimant's failure to respond to the deviation notice amounts to waiver or acquiescence; and the correct measure of any reduction.</w:t>
      </w:r>
    </w:p>
    <w:p>
      <w:r>
        <w:rPr>
          <w:b/>
        </w:rPr>
        <w:t>Issue 5 — Liquidated damages.</w:t>
      </w:r>
      <w:r>
        <w:t xml:space="preserve"> Whether the liquidated damages provision is enforceable in the circumstances; and whether the cap operates as an exhaustive remedy for delay.</w:t>
      </w:r>
    </w:p>
    <w:p>
      <w:pPr>
        <w:spacing w:before="80" w:after="160"/>
        <w:pBdr>
          <w:bottom w:val="single" w:sz="6" w:space="1" w:color="C9D6DE"/>
        </w:pBdr>
      </w:pPr>
    </w:p>
    <w:p>
      <w:pPr>
        <w:pStyle w:val="Heading1"/>
        <w:pBdr>
          <w:bottom w:val="single" w:sz="8" w:space="4" w:color="C9D6DE"/>
        </w:pBdr>
      </w:pPr>
      <w:r>
        <w:t>5. Procedural order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Direction</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The tribunal comprises three arbitrators. The seat is New Delhi. The governing law is Indian law. The language is English</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Memorials of not more than </w:t>
            </w:r>
            <w:r>
              <w:rPr>
                <w:b/>
                <w:sz w:val="17"/>
              </w:rPr>
              <w:t>35 pages</w:t>
            </w:r>
            <w:r>
              <w:rPr>
                <w:sz w:val="17"/>
              </w:rPr>
              <w:t xml:space="preserve"> excluding the cover, index, list of authorities and annexures, in the format prescribed, are due by [●]</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 xml:space="preserve">Each team submits memorials </w:t>
            </w:r>
            <w:r>
              <w:rPr>
                <w:b/>
                <w:sz w:val="17"/>
              </w:rPr>
              <w:t>for both Claimant and Respondent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 xml:space="preserve">Oral rounds: </w:t>
            </w:r>
            <w:r>
              <w:rPr>
                <w:b/>
                <w:sz w:val="17"/>
              </w:rPr>
              <w:t>35 minutes per side</w:t>
            </w:r>
            <w:r>
              <w:rPr>
                <w:sz w:val="17"/>
              </w:rPr>
              <w:t>, including rebuttal of not more than 5 minutes. Time is allocated between speakers by the team and notified to the presiding arbitrator before commencement</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Two speakers per side per round</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Questions from the tribunal are not deducted from time only at the presiding arbitrator's discretion</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Teams may rely on any authority in force as at [●]. Authorities are to be provided in a compendium</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No new factual assertion may be introduced beyond the record and the clarifications</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Scoring: memorials 40%, oral rounds 60%</w:t>
            </w:r>
          </w:p>
        </w:tc>
      </w:tr>
    </w:tbl>
    <w:p>
      <w:pPr>
        <w:spacing w:after="80" w:before="0"/>
      </w:pPr>
    </w:p>
    <w:p>
      <w:pPr>
        <w:spacing w:before="80" w:after="160"/>
        <w:pBdr>
          <w:bottom w:val="single" w:sz="6" w:space="1" w:color="C9D6DE"/>
        </w:pBdr>
      </w:pPr>
    </w:p>
    <w:p>
      <w:pPr>
        <w:pStyle w:val="Heading1"/>
        <w:pBdr>
          <w:bottom w:val="single" w:sz="8" w:space="4" w:color="C9D6DE"/>
        </w:pBdr>
      </w:pPr>
      <w:r>
        <w:t>6. Clarifications</w:t>
      </w:r>
    </w:p>
    <w:p>
      <w:r>
        <w:t xml:space="preserve">Requests for clarification may be submitted to </w:t>
      </w:r>
      <w:r>
        <w:rPr>
          <w:b/>
        </w:rPr>
        <w:t>[●]</w:t>
      </w:r>
      <w:r>
        <w:t xml:space="preserve"> by </w:t>
      </w:r>
      <w:r>
        <w:rPr>
          <w:b/>
        </w:rPr>
        <w:t>[●]</w:t>
      </w:r>
      <w:r>
        <w:t>. Clarifications are published simultaneously to all teams and form part of the record. Requests seeking legal argument, or seeking to add facts favourable to one side, will not be answered.</w:t>
      </w:r>
    </w:p>
    <w:p>
      <w:pPr>
        <w:spacing w:before="80" w:after="160"/>
        <w:pBdr>
          <w:bottom w:val="single" w:sz="6" w:space="1" w:color="C9D6DE"/>
        </w:pBdr>
      </w:pPr>
    </w:p>
    <w:p>
      <w:pPr>
        <w:pStyle w:val="Heading1"/>
        <w:pBdr>
          <w:bottom w:val="single" w:sz="8" w:space="4" w:color="C9D6DE"/>
        </w:pBdr>
      </w:pPr>
      <w:r>
        <w:t>7. Scoring</w:t>
      </w:r>
    </w:p>
    <w:p>
      <w:pPr>
        <w:pStyle w:val="Heading2"/>
      </w:pPr>
      <w:r>
        <w:t>7.1 Memorial — 100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07"/>
            <w:shd w:val="clear" w:color="auto" w:fill="10375C"/>
          </w:tcPr>
          <w:p>
            <w:pPr>
              <w:spacing w:after="50" w:before="50"/>
            </w:pPr>
            <w:r>
              <w:rPr>
                <w:b/>
                <w:color w:val="FFFFFF"/>
                <w:sz w:val="17"/>
              </w:rPr>
              <w:t>Criterion</w:t>
            </w:r>
          </w:p>
        </w:tc>
        <w:tc>
          <w:tcPr>
            <w:tcW w:type="dxa" w:w="861"/>
            <w:shd w:val="clear" w:color="auto" w:fill="10375C"/>
          </w:tcPr>
          <w:p>
            <w:pPr>
              <w:spacing w:after="50" w:before="50"/>
            </w:pPr>
            <w:r>
              <w:rPr>
                <w:b/>
                <w:color w:val="FFFFFF"/>
                <w:sz w:val="17"/>
              </w:rPr>
              <w:t>Marks</w:t>
            </w:r>
          </w:p>
        </w:tc>
      </w:tr>
      <w:tr>
        <w:tc>
          <w:tcPr>
            <w:tcW w:type="dxa" w:w="8607"/>
          </w:tcPr>
          <w:p>
            <w:pPr>
              <w:spacing w:after="50" w:before="50" w:line="252" w:lineRule="auto"/>
            </w:pPr>
            <w:r>
              <w:rPr>
                <w:sz w:val="17"/>
              </w:rPr>
              <w:t>Identification and framing of the issues</w:t>
            </w:r>
          </w:p>
        </w:tc>
        <w:tc>
          <w:tcPr>
            <w:tcW w:type="dxa" w:w="861"/>
          </w:tcPr>
          <w:p>
            <w:pPr>
              <w:spacing w:after="50" w:before="50" w:line="252" w:lineRule="auto"/>
            </w:pPr>
            <w:r>
              <w:rPr>
                <w:sz w:val="17"/>
              </w:rPr>
              <w:t>15</w:t>
            </w:r>
          </w:p>
        </w:tc>
      </w:tr>
      <w:tr>
        <w:tc>
          <w:tcPr>
            <w:tcW w:type="dxa" w:w="8607"/>
            <w:shd w:val="clear" w:color="auto" w:fill="EAF1F4"/>
          </w:tcPr>
          <w:p>
            <w:pPr>
              <w:spacing w:after="50" w:before="50" w:line="252" w:lineRule="auto"/>
            </w:pPr>
            <w:r>
              <w:rPr>
                <w:sz w:val="17"/>
              </w:rPr>
              <w:t>Quality of legal analysis and use of authority</w:t>
            </w:r>
          </w:p>
        </w:tc>
        <w:tc>
          <w:tcPr>
            <w:tcW w:type="dxa" w:w="861"/>
            <w:shd w:val="clear" w:color="auto" w:fill="EAF1F4"/>
          </w:tcPr>
          <w:p>
            <w:pPr>
              <w:spacing w:after="50" w:before="50" w:line="252" w:lineRule="auto"/>
            </w:pPr>
            <w:r>
              <w:rPr>
                <w:sz w:val="17"/>
              </w:rPr>
              <w:t>30</w:t>
            </w:r>
          </w:p>
        </w:tc>
      </w:tr>
      <w:tr>
        <w:tc>
          <w:tcPr>
            <w:tcW w:type="dxa" w:w="8607"/>
          </w:tcPr>
          <w:p>
            <w:pPr>
              <w:spacing w:after="50" w:before="50" w:line="252" w:lineRule="auto"/>
            </w:pPr>
            <w:r>
              <w:rPr>
                <w:sz w:val="17"/>
              </w:rPr>
              <w:t>Structure, clarity and persuasiveness</w:t>
            </w:r>
          </w:p>
        </w:tc>
        <w:tc>
          <w:tcPr>
            <w:tcW w:type="dxa" w:w="861"/>
          </w:tcPr>
          <w:p>
            <w:pPr>
              <w:spacing w:after="50" w:before="50" w:line="252" w:lineRule="auto"/>
            </w:pPr>
            <w:r>
              <w:rPr>
                <w:sz w:val="17"/>
              </w:rPr>
              <w:t>20</w:t>
            </w:r>
          </w:p>
        </w:tc>
      </w:tr>
      <w:tr>
        <w:tc>
          <w:tcPr>
            <w:tcW w:type="dxa" w:w="8607"/>
            <w:shd w:val="clear" w:color="auto" w:fill="EAF1F4"/>
          </w:tcPr>
          <w:p>
            <w:pPr>
              <w:spacing w:after="50" w:before="50" w:line="252" w:lineRule="auto"/>
            </w:pPr>
            <w:r>
              <w:rPr>
                <w:sz w:val="17"/>
              </w:rPr>
              <w:t>Treatment of the facts and the record</w:t>
            </w:r>
          </w:p>
        </w:tc>
        <w:tc>
          <w:tcPr>
            <w:tcW w:type="dxa" w:w="861"/>
            <w:shd w:val="clear" w:color="auto" w:fill="EAF1F4"/>
          </w:tcPr>
          <w:p>
            <w:pPr>
              <w:spacing w:after="50" w:before="50" w:line="252" w:lineRule="auto"/>
            </w:pPr>
            <w:r>
              <w:rPr>
                <w:sz w:val="17"/>
              </w:rPr>
              <w:t>15</w:t>
            </w:r>
          </w:p>
        </w:tc>
      </w:tr>
      <w:tr>
        <w:tc>
          <w:tcPr>
            <w:tcW w:type="dxa" w:w="8607"/>
          </w:tcPr>
          <w:p>
            <w:pPr>
              <w:spacing w:after="50" w:before="50" w:line="252" w:lineRule="auto"/>
            </w:pPr>
            <w:r>
              <w:rPr>
                <w:sz w:val="17"/>
              </w:rPr>
              <w:t>Anticipation and rebuttal of the opposing case</w:t>
            </w:r>
          </w:p>
        </w:tc>
        <w:tc>
          <w:tcPr>
            <w:tcW w:type="dxa" w:w="861"/>
          </w:tcPr>
          <w:p>
            <w:pPr>
              <w:spacing w:after="50" w:before="50" w:line="252" w:lineRule="auto"/>
            </w:pPr>
            <w:r>
              <w:rPr>
                <w:sz w:val="17"/>
              </w:rPr>
              <w:t>10</w:t>
            </w:r>
          </w:p>
        </w:tc>
      </w:tr>
      <w:tr>
        <w:tc>
          <w:tcPr>
            <w:tcW w:type="dxa" w:w="8607"/>
            <w:shd w:val="clear" w:color="auto" w:fill="EAF1F4"/>
          </w:tcPr>
          <w:p>
            <w:pPr>
              <w:spacing w:after="50" w:before="50" w:line="252" w:lineRule="auto"/>
            </w:pPr>
            <w:r>
              <w:rPr>
                <w:sz w:val="17"/>
              </w:rPr>
              <w:t>Formatting, citation and compliance with the procedural order</w:t>
            </w:r>
          </w:p>
        </w:tc>
        <w:tc>
          <w:tcPr>
            <w:tcW w:type="dxa" w:w="861"/>
            <w:shd w:val="clear" w:color="auto" w:fill="EAF1F4"/>
          </w:tcPr>
          <w:p>
            <w:pPr>
              <w:spacing w:after="50" w:before="50" w:line="252" w:lineRule="auto"/>
            </w:pPr>
            <w:r>
              <w:rPr>
                <w:sz w:val="17"/>
              </w:rPr>
              <w:t>10</w:t>
            </w:r>
          </w:p>
        </w:tc>
      </w:tr>
    </w:tbl>
    <w:p>
      <w:pPr>
        <w:spacing w:after="80" w:before="0"/>
      </w:pPr>
    </w:p>
    <w:p>
      <w:pPr>
        <w:pStyle w:val="Heading2"/>
      </w:pPr>
      <w:r>
        <w:t>7.2 Oral round — 100 marks per speaker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333"/>
            <w:shd w:val="clear" w:color="auto" w:fill="10375C"/>
          </w:tcPr>
          <w:p>
            <w:pPr>
              <w:spacing w:after="50" w:before="50"/>
            </w:pPr>
            <w:r>
              <w:rPr>
                <w:b/>
                <w:color w:val="FFFFFF"/>
                <w:sz w:val="17"/>
              </w:rPr>
              <w:t>Criterion</w:t>
            </w:r>
          </w:p>
        </w:tc>
        <w:tc>
          <w:tcPr>
            <w:tcW w:type="dxa" w:w="1135"/>
            <w:shd w:val="clear" w:color="auto" w:fill="10375C"/>
          </w:tcPr>
          <w:p>
            <w:pPr>
              <w:spacing w:after="50" w:before="50"/>
            </w:pPr>
            <w:r>
              <w:rPr>
                <w:b/>
                <w:color w:val="FFFFFF"/>
                <w:sz w:val="17"/>
              </w:rPr>
              <w:t>Marks</w:t>
            </w:r>
          </w:p>
        </w:tc>
      </w:tr>
      <w:tr>
        <w:tc>
          <w:tcPr>
            <w:tcW w:type="dxa" w:w="8333"/>
          </w:tcPr>
          <w:p>
            <w:pPr>
              <w:spacing w:after="50" w:before="50" w:line="252" w:lineRule="auto"/>
            </w:pPr>
            <w:r>
              <w:rPr>
                <w:sz w:val="17"/>
              </w:rPr>
              <w:t>Knowledge of the record</w:t>
            </w:r>
          </w:p>
        </w:tc>
        <w:tc>
          <w:tcPr>
            <w:tcW w:type="dxa" w:w="1135"/>
          </w:tcPr>
          <w:p>
            <w:pPr>
              <w:spacing w:after="50" w:before="50" w:line="252" w:lineRule="auto"/>
            </w:pPr>
            <w:r>
              <w:rPr>
                <w:sz w:val="17"/>
              </w:rPr>
              <w:t>15</w:t>
            </w:r>
          </w:p>
        </w:tc>
      </w:tr>
      <w:tr>
        <w:tc>
          <w:tcPr>
            <w:tcW w:type="dxa" w:w="8333"/>
            <w:shd w:val="clear" w:color="auto" w:fill="EAF1F4"/>
          </w:tcPr>
          <w:p>
            <w:pPr>
              <w:spacing w:after="50" w:before="50" w:line="252" w:lineRule="auto"/>
            </w:pPr>
            <w:r>
              <w:rPr>
                <w:sz w:val="17"/>
              </w:rPr>
              <w:t>Legal analysis and use of authority</w:t>
            </w:r>
          </w:p>
        </w:tc>
        <w:tc>
          <w:tcPr>
            <w:tcW w:type="dxa" w:w="1135"/>
            <w:shd w:val="clear" w:color="auto" w:fill="EAF1F4"/>
          </w:tcPr>
          <w:p>
            <w:pPr>
              <w:spacing w:after="50" w:before="50" w:line="252" w:lineRule="auto"/>
            </w:pPr>
            <w:r>
              <w:rPr>
                <w:sz w:val="17"/>
              </w:rPr>
              <w:t>25</w:t>
            </w:r>
          </w:p>
        </w:tc>
      </w:tr>
      <w:tr>
        <w:tc>
          <w:tcPr>
            <w:tcW w:type="dxa" w:w="8333"/>
          </w:tcPr>
          <w:p>
            <w:pPr>
              <w:spacing w:after="50" w:before="50" w:line="252" w:lineRule="auto"/>
            </w:pPr>
            <w:r>
              <w:rPr>
                <w:b/>
                <w:sz w:val="17"/>
              </w:rPr>
              <w:t>Response to questions from the tribunal</w:t>
            </w:r>
          </w:p>
        </w:tc>
        <w:tc>
          <w:tcPr>
            <w:tcW w:type="dxa" w:w="1135"/>
          </w:tcPr>
          <w:p>
            <w:pPr>
              <w:spacing w:after="50" w:before="50" w:line="252" w:lineRule="auto"/>
            </w:pPr>
            <w:r>
              <w:rPr>
                <w:sz w:val="17"/>
              </w:rPr>
              <w:t>25</w:t>
            </w:r>
          </w:p>
        </w:tc>
      </w:tr>
      <w:tr>
        <w:tc>
          <w:tcPr>
            <w:tcW w:type="dxa" w:w="8333"/>
            <w:shd w:val="clear" w:color="auto" w:fill="EAF1F4"/>
          </w:tcPr>
          <w:p>
            <w:pPr>
              <w:spacing w:after="50" w:before="50" w:line="252" w:lineRule="auto"/>
            </w:pPr>
            <w:r>
              <w:rPr>
                <w:sz w:val="17"/>
              </w:rPr>
              <w:t>Structure and time management</w:t>
            </w:r>
          </w:p>
        </w:tc>
        <w:tc>
          <w:tcPr>
            <w:tcW w:type="dxa" w:w="1135"/>
            <w:shd w:val="clear" w:color="auto" w:fill="EAF1F4"/>
          </w:tcPr>
          <w:p>
            <w:pPr>
              <w:spacing w:after="50" w:before="50" w:line="252" w:lineRule="auto"/>
            </w:pPr>
            <w:r>
              <w:rPr>
                <w:sz w:val="17"/>
              </w:rPr>
              <w:t>15</w:t>
            </w:r>
          </w:p>
        </w:tc>
      </w:tr>
      <w:tr>
        <w:tc>
          <w:tcPr>
            <w:tcW w:type="dxa" w:w="8333"/>
          </w:tcPr>
          <w:p>
            <w:pPr>
              <w:spacing w:after="50" w:before="50" w:line="252" w:lineRule="auto"/>
            </w:pPr>
            <w:r>
              <w:rPr>
                <w:sz w:val="17"/>
              </w:rPr>
              <w:t>Advocacy, clarity and persuasiveness</w:t>
            </w:r>
          </w:p>
        </w:tc>
        <w:tc>
          <w:tcPr>
            <w:tcW w:type="dxa" w:w="1135"/>
          </w:tcPr>
          <w:p>
            <w:pPr>
              <w:spacing w:after="50" w:before="50" w:line="252" w:lineRule="auto"/>
            </w:pPr>
            <w:r>
              <w:rPr>
                <w:sz w:val="17"/>
              </w:rPr>
              <w:t>15</w:t>
            </w:r>
          </w:p>
        </w:tc>
      </w:tr>
      <w:tr>
        <w:tc>
          <w:tcPr>
            <w:tcW w:type="dxa" w:w="8333"/>
            <w:shd w:val="clear" w:color="auto" w:fill="EAF1F4"/>
          </w:tcPr>
          <w:p>
            <w:pPr>
              <w:spacing w:after="50" w:before="50" w:line="252" w:lineRule="auto"/>
            </w:pPr>
            <w:r>
              <w:rPr>
                <w:sz w:val="17"/>
              </w:rPr>
              <w:t>Courtesy and professionalism</w:t>
            </w:r>
          </w:p>
        </w:tc>
        <w:tc>
          <w:tcPr>
            <w:tcW w:type="dxa" w:w="1135"/>
            <w:shd w:val="clear" w:color="auto" w:fill="EAF1F4"/>
          </w:tcPr>
          <w:p>
            <w:pPr>
              <w:spacing w:after="50" w:before="50" w:line="252" w:lineRule="auto"/>
            </w:pPr>
            <w:r>
              <w:rPr>
                <w:sz w:val="17"/>
              </w:rPr>
              <w:t>5</w:t>
            </w:r>
          </w:p>
        </w:tc>
      </w:tr>
    </w:tbl>
    <w:p>
      <w:pPr>
        <w:spacing w:after="80" w:before="0"/>
      </w:pPr>
    </w:p>
    <w:p>
      <w:r>
        <w:rPr>
          <w:b/>
        </w:rPr>
        <w:t>Response to questions is the highest-weighted criterion.</w:t>
      </w:r>
      <w:r>
        <w:t xml:space="preserve"> A speaker who delivers a prepared submission and evades questions will not place, however polished the delivery.</w:t>
      </w:r>
    </w:p>
    <w:p>
      <w:pPr>
        <w:pStyle w:val="Heading2"/>
      </w:pPr>
      <w:r>
        <w:t>7.3 Awards</w:t>
      </w:r>
    </w:p>
    <w:p>
      <w:r>
        <w:t>Champion · Runner-up · Best Speaker · Best Memorial, Claimant · Best Memorial, Respondent · Best Researcher.</w:t>
      </w:r>
    </w:p>
    <w:p>
      <w:pPr>
        <w:spacing w:before="80" w:after="160"/>
        <w:pBdr>
          <w:bottom w:val="single" w:sz="6" w:space="1" w:color="C9D6DE"/>
        </w:pBdr>
      </w:pPr>
    </w:p>
    <w:p>
      <w:pPr>
        <w:pStyle w:val="Heading1"/>
        <w:pBdr>
          <w:bottom w:val="single" w:sz="8" w:space="4" w:color="C9D6DE"/>
        </w:pBdr>
      </w:pPr>
      <w:r>
        <w:t>8. Note on the design of this problem</w:t>
      </w:r>
    </w:p>
    <w:p>
      <w:r>
        <w:t>Issue 1 is included because pre-arbitration mediation clauses are becoming standard in Indian construction and infrastructure contracts, and the question of what compliance requires — in particular whether attendance without settlement authority suffices — is a live one that most students have never considered. It is deliberately the first issue.</w:t>
      </w:r>
    </w:p>
    <w:p>
      <w:r>
        <w:t>Issue 3 is included because concurrent delay is the hardest thing in construction arbitration and is almost never taught. Teams that engage with it properly will distinguish themselves.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Arbitration Moot Problem</w:t>
    </w:r>
    <w:r>
      <w:rPr>
        <w:rFonts w:ascii="Calibri" w:hAnsi="Calibri"/>
        <w:color w:val="595959"/>
        <w:sz w:val="16"/>
      </w:rPr>
      <w:tab/>
      <w:t>Confidential until released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8D34E1-1262-493B-83A9-EF220E8C64B1}"/>
</file>

<file path=customXml/itemProps3.xml><?xml version="1.0" encoding="utf-8"?>
<ds:datastoreItem xmlns:ds="http://schemas.openxmlformats.org/officeDocument/2006/customXml" ds:itemID="{DA222813-B249-4BCA-A88A-A5C9B7D81AD5}"/>
</file>

<file path=customXml/itemProps4.xml><?xml version="1.0" encoding="utf-8"?>
<ds:datastoreItem xmlns:ds="http://schemas.openxmlformats.org/officeDocument/2006/customXml" ds:itemID="{D4A017CD-9571-4E71-8CF2-B5ADB08C649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