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Negotiation Competition Problem</w:t>
      </w:r>
    </w:p>
    <w:p>
      <w:pPr>
        <w:spacing w:after="280" w:line="276" w:lineRule="auto"/>
      </w:pPr>
      <w:r>
        <w:rPr>
          <w:rFonts w:ascii="Calibri" w:hAnsi="Calibri"/>
          <w:i/>
          <w:color w:val="3E6B8A"/>
          <w:sz w:val="25"/>
        </w:rPr>
        <w:t>The Ashwatha Foods / Nilgiri Farmer Producer Company negotiation — general information and both confidential briefs, for the Equator National Negotiation Championship</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EQ-UAP-072</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Competitions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until released</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Note on format</w:t>
      </w:r>
    </w:p>
    <w:p>
      <w:r>
        <w:t xml:space="preserve">The negotiation championship is designed for </w:t>
      </w:r>
      <w:r>
        <w:rPr>
          <w:b/>
        </w:rPr>
        <w:t>management and commerce students</w:t>
      </w:r>
      <w:r>
        <w:t xml:space="preserve"> as well as law students. Teams of two negotiate directly, without a mediator, in a </w:t>
      </w:r>
      <w:r>
        <w:rPr>
          <w:b/>
        </w:rPr>
        <w:t>60-minute</w:t>
      </w:r>
      <w:r>
        <w:t xml:space="preserve"> session. Scoring rewards value creation and relationship management as well as claimed value.</w:t>
      </w:r>
    </w:p>
    <w:p>
      <w:r>
        <w:t>The general information below is issued to all teams. Each team receives only its own confidential brief.</w:t>
      </w:r>
    </w:p>
    <w:p>
      <w:pPr>
        <w:spacing w:before="80" w:after="160"/>
        <w:pBdr>
          <w:bottom w:val="single" w:sz="6" w:space="1" w:color="C9D6DE"/>
        </w:pBdr>
      </w:pPr>
    </w:p>
    <w:p>
      <w:r>
        <w:br w:type="page"/>
      </w:r>
    </w:p>
    <w:p>
      <w:pPr>
        <w:pStyle w:val="Heading1"/>
        <w:pBdr>
          <w:bottom w:val="single" w:sz="8" w:space="4" w:color="C9D6DE"/>
        </w:pBdr>
      </w:pPr>
      <w:r>
        <w:t>PART 1 · General Information</w:t>
      </w:r>
    </w:p>
    <w:p>
      <w:pPr>
        <w:pStyle w:val="Heading2"/>
      </w:pPr>
      <w:r>
        <w:t>1. The parties</w:t>
      </w:r>
    </w:p>
    <w:p>
      <w:r>
        <w:rPr>
          <w:b/>
        </w:rPr>
        <w:t>Ashwatha Foods Limited</w:t>
      </w:r>
      <w:r>
        <w:t xml:space="preserve"> is a listed Indian packaged foods company with revenue of approximately ₹4,100 crore. Its "Green Fields" range of ready-to-cook vegetable products has grown at 22% annually for three years and now accounts for ₹680 crore of revenue. The range depends on a consistent supply of specific vegetable varieties meeting size, colour and residue specifications.</w:t>
      </w:r>
    </w:p>
    <w:p>
      <w:r>
        <w:rPr>
          <w:b/>
        </w:rPr>
        <w:t>Nilgiri Highland Farmer Producer Company Limited</w:t>
      </w:r>
      <w:r>
        <w:t xml:space="preserve"> is a farmer producer company registered under the Companies Act, 2013, with 4,200 shareholder-farmers across the Nilgiris and adjoining districts. It aggregates, grades and sells vegetables, principally carrots, beans, cabbage and potatoes, with an annual turnover of approximately ₹186 crore.</w:t>
      </w:r>
    </w:p>
    <w:p>
      <w:pPr>
        <w:pStyle w:val="Heading2"/>
      </w:pPr>
      <w:r>
        <w:t>2. The existing arrangement</w:t>
      </w:r>
    </w:p>
    <w:p>
      <w:r>
        <w:t>Since 2022, Ashwatha has purchased from Nilgiri under a rolling annual supply arrangement: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535"/>
            <w:shd w:val="clear" w:color="auto" w:fill="10375C"/>
          </w:tcPr>
          <w:p>
            <w:pPr>
              <w:spacing w:after="50" w:before="50"/>
            </w:pPr>
            <w:r>
              <w:rPr>
                <w:b/>
                <w:color w:val="FFFFFF"/>
                <w:sz w:val="17"/>
              </w:rPr>
              <w:t>Item</w:t>
            </w:r>
          </w:p>
        </w:tc>
        <w:tc>
          <w:tcPr>
            <w:tcW w:type="dxa" w:w="7932"/>
            <w:shd w:val="clear" w:color="auto" w:fill="10375C"/>
          </w:tcPr>
          <w:p>
            <w:pPr>
              <w:spacing w:after="50" w:before="50"/>
            </w:pPr>
            <w:r>
              <w:rPr>
                <w:b/>
                <w:color w:val="FFFFFF"/>
                <w:sz w:val="17"/>
              </w:rPr>
              <w:t>Position</w:t>
            </w:r>
          </w:p>
        </w:tc>
      </w:tr>
      <w:tr>
        <w:tc>
          <w:tcPr>
            <w:tcW w:type="dxa" w:w="1535"/>
          </w:tcPr>
          <w:p>
            <w:pPr>
              <w:spacing w:after="50" w:before="50" w:line="252" w:lineRule="auto"/>
            </w:pPr>
            <w:r>
              <w:rPr>
                <w:sz w:val="17"/>
              </w:rPr>
              <w:t>Volume</w:t>
            </w:r>
          </w:p>
        </w:tc>
        <w:tc>
          <w:tcPr>
            <w:tcW w:type="dxa" w:w="7932"/>
          </w:tcPr>
          <w:p>
            <w:pPr>
              <w:spacing w:after="50" w:before="50" w:line="252" w:lineRule="auto"/>
            </w:pPr>
            <w:r>
              <w:rPr>
                <w:sz w:val="17"/>
              </w:rPr>
              <w:t>14,000 tonnes per annum</w:t>
            </w:r>
          </w:p>
        </w:tc>
      </w:tr>
      <w:tr>
        <w:tc>
          <w:tcPr>
            <w:tcW w:type="dxa" w:w="1535"/>
            <w:shd w:val="clear" w:color="auto" w:fill="EAF1F4"/>
          </w:tcPr>
          <w:p>
            <w:pPr>
              <w:spacing w:after="50" w:before="50" w:line="252" w:lineRule="auto"/>
            </w:pPr>
            <w:r>
              <w:rPr>
                <w:sz w:val="17"/>
              </w:rPr>
              <w:t>Price</w:t>
            </w:r>
          </w:p>
        </w:tc>
        <w:tc>
          <w:tcPr>
            <w:tcW w:type="dxa" w:w="7932"/>
            <w:shd w:val="clear" w:color="auto" w:fill="EAF1F4"/>
          </w:tcPr>
          <w:p>
            <w:pPr>
              <w:spacing w:after="50" w:before="50" w:line="252" w:lineRule="auto"/>
            </w:pPr>
            <w:r>
              <w:rPr>
                <w:sz w:val="17"/>
              </w:rPr>
              <w:t>Fixed annually, currently averaging ₹27.40 per kg across the basket</w:t>
            </w:r>
          </w:p>
        </w:tc>
      </w:tr>
      <w:tr>
        <w:tc>
          <w:tcPr>
            <w:tcW w:type="dxa" w:w="1535"/>
          </w:tcPr>
          <w:p>
            <w:pPr>
              <w:spacing w:after="50" w:before="50" w:line="252" w:lineRule="auto"/>
            </w:pPr>
            <w:r>
              <w:rPr>
                <w:sz w:val="17"/>
              </w:rPr>
              <w:t>Payment</w:t>
            </w:r>
          </w:p>
        </w:tc>
        <w:tc>
          <w:tcPr>
            <w:tcW w:type="dxa" w:w="7932"/>
          </w:tcPr>
          <w:p>
            <w:pPr>
              <w:spacing w:after="50" w:before="50" w:line="252" w:lineRule="auto"/>
            </w:pPr>
            <w:r>
              <w:rPr>
                <w:sz w:val="17"/>
              </w:rPr>
              <w:t>45 days from delivery</w:t>
            </w:r>
          </w:p>
        </w:tc>
      </w:tr>
      <w:tr>
        <w:tc>
          <w:tcPr>
            <w:tcW w:type="dxa" w:w="1535"/>
            <w:shd w:val="clear" w:color="auto" w:fill="EAF1F4"/>
          </w:tcPr>
          <w:p>
            <w:pPr>
              <w:spacing w:after="50" w:before="50" w:line="252" w:lineRule="auto"/>
            </w:pPr>
            <w:r>
              <w:rPr>
                <w:sz w:val="17"/>
              </w:rPr>
              <w:t>Quality</w:t>
            </w:r>
          </w:p>
        </w:tc>
        <w:tc>
          <w:tcPr>
            <w:tcW w:type="dxa" w:w="7932"/>
            <w:shd w:val="clear" w:color="auto" w:fill="EAF1F4"/>
          </w:tcPr>
          <w:p>
            <w:pPr>
              <w:spacing w:after="50" w:before="50" w:line="252" w:lineRule="auto"/>
            </w:pPr>
            <w:r>
              <w:rPr>
                <w:sz w:val="17"/>
              </w:rPr>
              <w:t>Rejection at Ashwatha's plant on grade; rejected produce returned at Nilgiri's cost</w:t>
            </w:r>
          </w:p>
        </w:tc>
      </w:tr>
      <w:tr>
        <w:tc>
          <w:tcPr>
            <w:tcW w:type="dxa" w:w="1535"/>
          </w:tcPr>
          <w:p>
            <w:pPr>
              <w:spacing w:after="50" w:before="50" w:line="252" w:lineRule="auto"/>
            </w:pPr>
            <w:r>
              <w:rPr>
                <w:sz w:val="17"/>
              </w:rPr>
              <w:t>Rejection rate</w:t>
            </w:r>
          </w:p>
        </w:tc>
        <w:tc>
          <w:tcPr>
            <w:tcW w:type="dxa" w:w="7932"/>
          </w:tcPr>
          <w:p>
            <w:pPr>
              <w:spacing w:after="50" w:before="50" w:line="252" w:lineRule="auto"/>
            </w:pPr>
            <w:r>
              <w:rPr>
                <w:sz w:val="17"/>
              </w:rPr>
              <w:t>Averaged 11.3% over the last twelve months</w:t>
            </w:r>
          </w:p>
        </w:tc>
      </w:tr>
      <w:tr>
        <w:tc>
          <w:tcPr>
            <w:tcW w:type="dxa" w:w="1535"/>
            <w:shd w:val="clear" w:color="auto" w:fill="EAF1F4"/>
          </w:tcPr>
          <w:p>
            <w:pPr>
              <w:spacing w:after="50" w:before="50" w:line="252" w:lineRule="auto"/>
            </w:pPr>
            <w:r>
              <w:rPr>
                <w:sz w:val="17"/>
              </w:rPr>
              <w:t>Term</w:t>
            </w:r>
          </w:p>
        </w:tc>
        <w:tc>
          <w:tcPr>
            <w:tcW w:type="dxa" w:w="7932"/>
            <w:shd w:val="clear" w:color="auto" w:fill="EAF1F4"/>
          </w:tcPr>
          <w:p>
            <w:pPr>
              <w:spacing w:after="50" w:before="50" w:line="252" w:lineRule="auto"/>
            </w:pPr>
            <w:r>
              <w:rPr>
                <w:sz w:val="17"/>
              </w:rPr>
              <w:t>Expires 31 March 2026</w:t>
            </w:r>
          </w:p>
        </w:tc>
      </w:tr>
    </w:tbl>
    <w:p>
      <w:pPr>
        <w:spacing w:after="80" w:before="0"/>
      </w:pPr>
    </w:p>
    <w:p>
      <w:pPr>
        <w:pStyle w:val="Heading2"/>
      </w:pPr>
      <w:r>
        <w:t>3. What has changed</w:t>
      </w:r>
    </w:p>
    <w:p>
      <w:pPr>
        <w:pStyle w:val="ListBullet"/>
      </w:pPr>
      <w:r>
        <w:rPr>
          <w:sz w:val="21"/>
        </w:rPr>
        <w:t xml:space="preserve">Ashwatha's Green Fields range is expanding into two new markets and will require </w:t>
      </w:r>
      <w:r>
        <w:rPr>
          <w:b/>
          <w:sz w:val="21"/>
        </w:rPr>
        <w:t>21,000 tonnes</w:t>
      </w:r>
      <w:r>
        <w:rPr>
          <w:sz w:val="21"/>
        </w:rPr>
        <w:t xml:space="preserve"> from April 2026.</w:t>
      </w:r>
    </w:p>
    <w:p>
      <w:pPr>
        <w:pStyle w:val="ListBullet"/>
      </w:pPr>
      <w:r>
        <w:rPr>
          <w:sz w:val="21"/>
        </w:rPr>
        <w:t>Nilgiri's input costs have risen. Its board has resolved to seek a price increase and improved payment terms.</w:t>
      </w:r>
    </w:p>
    <w:p>
      <w:pPr>
        <w:pStyle w:val="ListBullet"/>
      </w:pPr>
      <w:r>
        <w:rPr>
          <w:sz w:val="21"/>
        </w:rPr>
        <w:t>Two other buyers have approached Nilgiri, both offering higher prices for smaller volumes.</w:t>
      </w:r>
    </w:p>
    <w:p>
      <w:pPr>
        <w:pStyle w:val="ListBullet"/>
      </w:pPr>
      <w:r>
        <w:rPr>
          <w:sz w:val="21"/>
        </w:rPr>
        <w:t>Ashwatha has been approached by a large aggregator offering national coverage at a lower price, but without traceability or the Nilgiri varieties.</w:t>
      </w:r>
    </w:p>
    <w:p>
      <w:pPr>
        <w:pStyle w:val="ListBullet"/>
      </w:pPr>
      <w:r>
        <w:rPr>
          <w:sz w:val="21"/>
        </w:rPr>
        <w:t>Rejection disputes have become a source of friction. Nilgiri contends that Ashwatha's grading is applied inconsistently at different shifts.</w:t>
      </w:r>
    </w:p>
    <w:p>
      <w:pPr>
        <w:pStyle w:val="Heading2"/>
      </w:pPr>
      <w:r>
        <w:t>4. The negotiation</w:t>
      </w:r>
    </w:p>
    <w:p>
      <w:r>
        <w:t xml:space="preserve">Representatives meet on </w:t>
      </w:r>
      <w:r>
        <w:rPr>
          <w:b/>
        </w:rPr>
        <w:t>[●]</w:t>
      </w:r>
      <w:r>
        <w:t xml:space="preserve"> to negotiate the arrangement from 1 April 2026. Both delegations have authority to agree terms subject to board ratification.</w:t>
      </w:r>
    </w:p>
    <w:p>
      <w:pPr>
        <w:pStyle w:val="Heading2"/>
      </w:pPr>
      <w:r>
        <w:t>5. Issues on the table</w:t>
      </w:r>
    </w:p>
    <w:p>
      <w:r>
        <w:t>Volume · price · term · payment terms · quality specification and the grading process · rejection handling and cost · exclusivity · pre-season advances and input finance · investment in cold storage and grading infrastructure · traceability and certification · dispute resolution.</w:t>
      </w:r>
    </w:p>
    <w:p>
      <w:pPr>
        <w:spacing w:before="80" w:after="160"/>
        <w:pBdr>
          <w:bottom w:val="single" w:sz="6" w:space="1" w:color="C9D6DE"/>
        </w:pBdr>
      </w:pPr>
    </w:p>
    <w:p>
      <w:r>
        <w:br w:type="page"/>
      </w:r>
    </w:p>
    <w:p>
      <w:pPr>
        <w:pStyle w:val="Heading1"/>
        <w:pBdr>
          <w:bottom w:val="single" w:sz="8" w:space="4" w:color="C9D6DE"/>
        </w:pBdr>
      </w:pPr>
      <w:r>
        <w:t>PART 2 · Confidential Brief — Ashwatha Foods</w:t>
      </w:r>
    </w:p>
    <w:p>
      <w:pPr>
        <w:spacing w:before="140" w:after="140"/>
        <w:ind w:left="198" w:right="113"/>
        <w:shd w:val="clear" w:color="auto" w:fill="EAF1F4"/>
        <w:pBdr>
          <w:left w:val="single" w:sz="18" w:space="6" w:color="0E7C7B"/>
        </w:pBdr>
      </w:pPr>
      <w:r>
        <w:rPr>
          <w:sz w:val="19"/>
        </w:rPr>
        <w:t>For the Ashwatha team only.</w:t>
      </w:r>
    </w:p>
    <w:p>
      <w:pPr>
        <w:pStyle w:val="Heading2"/>
      </w:pPr>
      <w:r>
        <w:t>Your position</w:t>
      </w:r>
    </w:p>
    <w:p>
      <w:r>
        <w:rPr>
          <w:b/>
        </w:rPr>
        <w:t>You need the volume more than you need the price.</w:t>
      </w:r>
      <w:r>
        <w:t xml:space="preserve"> The Green Fields expansion is announced, the capacity is built, and the marketing spend is committed. Failure to secure supply for April would be visible.</w:t>
      </w:r>
    </w:p>
    <w:p>
      <w:r>
        <w:t>The aggregator alternative is real but poor: the price is ₹24.80 per kg, but it cannot supply the Nilgiri varieties, has no traceability, and your own quality team estimates a rejection rate above 18%. Switching would also cost you the "Grown by 4,200 farmer families in the Nilgiris" claim, which your consumer research identifies as the second strongest driver of purchase intent for the range.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435"/>
            <w:shd w:val="clear" w:color="auto" w:fill="10375C"/>
          </w:tcPr>
          <w:p>
            <w:pPr>
              <w:spacing w:after="50" w:before="50"/>
            </w:pPr>
            <w:r>
              <w:rPr>
                <w:b/>
                <w:color w:val="FFFFFF"/>
                <w:sz w:val="17"/>
              </w:rPr>
              <w:t>Item</w:t>
            </w:r>
          </w:p>
        </w:tc>
        <w:tc>
          <w:tcPr>
            <w:tcW w:type="dxa" w:w="7032"/>
            <w:shd w:val="clear" w:color="auto" w:fill="10375C"/>
          </w:tcPr>
          <w:p>
            <w:pPr>
              <w:spacing w:after="50" w:before="50"/>
            </w:pPr>
            <w:r>
              <w:rPr>
                <w:b/>
                <w:color w:val="FFFFFF"/>
                <w:sz w:val="17"/>
              </w:rPr>
              <w:t>Your position</w:t>
            </w:r>
          </w:p>
        </w:tc>
      </w:tr>
      <w:tr>
        <w:tc>
          <w:tcPr>
            <w:tcW w:type="dxa" w:w="2435"/>
          </w:tcPr>
          <w:p>
            <w:pPr>
              <w:spacing w:after="50" w:before="50" w:line="252" w:lineRule="auto"/>
            </w:pPr>
            <w:r>
              <w:rPr>
                <w:sz w:val="17"/>
              </w:rPr>
              <w:t>Volume required</w:t>
            </w:r>
          </w:p>
        </w:tc>
        <w:tc>
          <w:tcPr>
            <w:tcW w:type="dxa" w:w="7032"/>
          </w:tcPr>
          <w:p>
            <w:pPr>
              <w:spacing w:after="50" w:before="50" w:line="252" w:lineRule="auto"/>
            </w:pPr>
            <w:r>
              <w:rPr>
                <w:sz w:val="17"/>
              </w:rPr>
              <w:t>21,000 tonnes from April 2026; 26,000 tonnes from 2028 if the range performs</w:t>
            </w:r>
          </w:p>
        </w:tc>
      </w:tr>
      <w:tr>
        <w:tc>
          <w:tcPr>
            <w:tcW w:type="dxa" w:w="2435"/>
            <w:shd w:val="clear" w:color="auto" w:fill="EAF1F4"/>
          </w:tcPr>
          <w:p>
            <w:pPr>
              <w:spacing w:after="50" w:before="50" w:line="252" w:lineRule="auto"/>
            </w:pPr>
            <w:r>
              <w:rPr>
                <w:sz w:val="17"/>
              </w:rPr>
              <w:t>Price mandate</w:t>
            </w:r>
          </w:p>
        </w:tc>
        <w:tc>
          <w:tcPr>
            <w:tcW w:type="dxa" w:w="7032"/>
            <w:shd w:val="clear" w:color="auto" w:fill="EAF1F4"/>
          </w:tcPr>
          <w:p>
            <w:pPr>
              <w:spacing w:after="50" w:before="50" w:line="252" w:lineRule="auto"/>
            </w:pPr>
            <w:r>
              <w:rPr>
                <w:sz w:val="17"/>
              </w:rPr>
              <w:t xml:space="preserve">Up to </w:t>
            </w:r>
            <w:r>
              <w:rPr>
                <w:b/>
                <w:sz w:val="17"/>
              </w:rPr>
              <w:t>₹31.50 per kg</w:t>
            </w:r>
            <w:r>
              <w:rPr>
                <w:sz w:val="17"/>
              </w:rPr>
              <w:t xml:space="preserve"> average. You would prefer to settle near ₹29.00</w:t>
            </w:r>
          </w:p>
        </w:tc>
      </w:tr>
      <w:tr>
        <w:tc>
          <w:tcPr>
            <w:tcW w:type="dxa" w:w="2435"/>
          </w:tcPr>
          <w:p>
            <w:pPr>
              <w:spacing w:after="50" w:before="50" w:line="252" w:lineRule="auto"/>
            </w:pPr>
            <w:r>
              <w:rPr>
                <w:b/>
                <w:sz w:val="17"/>
              </w:rPr>
              <w:t>Absolute ceiling</w:t>
            </w:r>
          </w:p>
        </w:tc>
        <w:tc>
          <w:tcPr>
            <w:tcW w:type="dxa" w:w="7032"/>
          </w:tcPr>
          <w:p>
            <w:pPr>
              <w:spacing w:after="50" w:before="50" w:line="252" w:lineRule="auto"/>
            </w:pPr>
            <w:r>
              <w:rPr>
                <w:b/>
                <w:sz w:val="17"/>
              </w:rPr>
              <w:t>₹33.00 per kg</w:t>
            </w:r>
            <w:r>
              <w:rPr>
                <w:sz w:val="17"/>
              </w:rPr>
              <w:t>, above which the range's margin structure fails</w:t>
            </w:r>
          </w:p>
        </w:tc>
      </w:tr>
      <w:tr>
        <w:tc>
          <w:tcPr>
            <w:tcW w:type="dxa" w:w="2435"/>
            <w:shd w:val="clear" w:color="auto" w:fill="EAF1F4"/>
          </w:tcPr>
          <w:p>
            <w:pPr>
              <w:spacing w:after="50" w:before="50" w:line="252" w:lineRule="auto"/>
            </w:pPr>
            <w:r>
              <w:rPr>
                <w:sz w:val="17"/>
              </w:rPr>
              <w:t>Payment terms</w:t>
            </w:r>
          </w:p>
        </w:tc>
        <w:tc>
          <w:tcPr>
            <w:tcW w:type="dxa" w:w="7032"/>
            <w:shd w:val="clear" w:color="auto" w:fill="EAF1F4"/>
          </w:tcPr>
          <w:p>
            <w:pPr>
              <w:spacing w:after="50" w:before="50" w:line="252" w:lineRule="auto"/>
            </w:pPr>
            <w:r>
              <w:rPr>
                <w:sz w:val="17"/>
              </w:rPr>
              <w:t xml:space="preserve">45 days preferred; you can go to </w:t>
            </w:r>
            <w:r>
              <w:rPr>
                <w:b/>
                <w:sz w:val="17"/>
              </w:rPr>
              <w:t>30 days</w:t>
            </w:r>
            <w:r>
              <w:rPr>
                <w:sz w:val="17"/>
              </w:rPr>
              <w:t>; 21 days would require treasury approval you would rather not seek</w:t>
            </w:r>
          </w:p>
        </w:tc>
      </w:tr>
      <w:tr>
        <w:tc>
          <w:tcPr>
            <w:tcW w:type="dxa" w:w="2435"/>
          </w:tcPr>
          <w:p>
            <w:pPr>
              <w:spacing w:after="50" w:before="50" w:line="252" w:lineRule="auto"/>
            </w:pPr>
            <w:r>
              <w:rPr>
                <w:sz w:val="17"/>
              </w:rPr>
              <w:t>Pre-season advance</w:t>
            </w:r>
          </w:p>
        </w:tc>
        <w:tc>
          <w:tcPr>
            <w:tcW w:type="dxa" w:w="7032"/>
          </w:tcPr>
          <w:p>
            <w:pPr>
              <w:spacing w:after="50" w:before="50" w:line="252" w:lineRule="auto"/>
            </w:pPr>
            <w:r>
              <w:rPr>
                <w:sz w:val="17"/>
              </w:rPr>
              <w:t xml:space="preserve">You can offer up to </w:t>
            </w:r>
            <w:r>
              <w:rPr>
                <w:b/>
                <w:sz w:val="17"/>
              </w:rPr>
              <w:t>₹18 crore</w:t>
            </w:r>
            <w:r>
              <w:rPr>
                <w:sz w:val="17"/>
              </w:rPr>
              <w:t xml:space="preserve"> as an interest-free pre-season advance against delivery. This costs you very little at your cost of capital and is worth a great deal to a farmer producer company</w:t>
            </w:r>
          </w:p>
        </w:tc>
      </w:tr>
      <w:tr>
        <w:tc>
          <w:tcPr>
            <w:tcW w:type="dxa" w:w="2435"/>
            <w:shd w:val="clear" w:color="auto" w:fill="EAF1F4"/>
          </w:tcPr>
          <w:p>
            <w:pPr>
              <w:spacing w:after="50" w:before="50" w:line="252" w:lineRule="auto"/>
            </w:pPr>
            <w:r>
              <w:rPr>
                <w:sz w:val="17"/>
              </w:rPr>
              <w:t>Cold storage investment</w:t>
            </w:r>
          </w:p>
        </w:tc>
        <w:tc>
          <w:tcPr>
            <w:tcW w:type="dxa" w:w="7032"/>
            <w:shd w:val="clear" w:color="auto" w:fill="EAF1F4"/>
          </w:tcPr>
          <w:p>
            <w:pPr>
              <w:spacing w:after="50" w:before="50" w:line="252" w:lineRule="auto"/>
            </w:pPr>
            <w:r>
              <w:rPr>
                <w:sz w:val="17"/>
              </w:rPr>
              <w:t>You have ₹22 crore of unallocated supply chain capex. A grading and pre-cooling facility at Ooty would reduce your rejection losses and would be an asset you part-own</w:t>
            </w:r>
          </w:p>
        </w:tc>
      </w:tr>
      <w:tr>
        <w:tc>
          <w:tcPr>
            <w:tcW w:type="dxa" w:w="2435"/>
          </w:tcPr>
          <w:p>
            <w:pPr>
              <w:spacing w:after="50" w:before="50" w:line="252" w:lineRule="auto"/>
            </w:pPr>
            <w:r>
              <w:rPr>
                <w:sz w:val="17"/>
              </w:rPr>
              <w:t>Grading</w:t>
            </w:r>
          </w:p>
        </w:tc>
        <w:tc>
          <w:tcPr>
            <w:tcW w:type="dxa" w:w="7032"/>
          </w:tcPr>
          <w:p>
            <w:pPr>
              <w:spacing w:after="50" w:before="50" w:line="252" w:lineRule="auto"/>
            </w:pPr>
            <w:r>
              <w:rPr>
                <w:b/>
                <w:sz w:val="17"/>
              </w:rPr>
              <w:t>Your internal audit found that grading is in fact applied inconsistently across shifts.</w:t>
            </w:r>
            <w:r>
              <w:rPr>
                <w:sz w:val="17"/>
              </w:rPr>
              <w:t xml:space="preserve"> You have not told Nilgiri. Fixing it is cheap and would reduce disputes</w:t>
            </w:r>
          </w:p>
        </w:tc>
      </w:tr>
      <w:tr>
        <w:tc>
          <w:tcPr>
            <w:tcW w:type="dxa" w:w="2435"/>
            <w:shd w:val="clear" w:color="auto" w:fill="EAF1F4"/>
          </w:tcPr>
          <w:p>
            <w:pPr>
              <w:spacing w:after="50" w:before="50" w:line="252" w:lineRule="auto"/>
            </w:pPr>
            <w:r>
              <w:rPr>
                <w:sz w:val="17"/>
              </w:rPr>
              <w:t>Exclusivity</w:t>
            </w:r>
          </w:p>
        </w:tc>
        <w:tc>
          <w:tcPr>
            <w:tcW w:type="dxa" w:w="7032"/>
            <w:shd w:val="clear" w:color="auto" w:fill="EAF1F4"/>
          </w:tcPr>
          <w:p>
            <w:pPr>
              <w:spacing w:after="50" w:before="50" w:line="252" w:lineRule="auto"/>
            </w:pPr>
            <w:r>
              <w:rPr>
                <w:sz w:val="17"/>
              </w:rPr>
              <w:t>You would like it. It is not essential. Do not open with it</w:t>
            </w:r>
          </w:p>
        </w:tc>
      </w:tr>
      <w:tr>
        <w:tc>
          <w:tcPr>
            <w:tcW w:type="dxa" w:w="2435"/>
          </w:tcPr>
          <w:p>
            <w:pPr>
              <w:spacing w:after="50" w:before="50" w:line="252" w:lineRule="auto"/>
            </w:pPr>
            <w:r>
              <w:rPr>
                <w:sz w:val="17"/>
              </w:rPr>
              <w:t>Term</w:t>
            </w:r>
          </w:p>
        </w:tc>
        <w:tc>
          <w:tcPr>
            <w:tcW w:type="dxa" w:w="7032"/>
          </w:tcPr>
          <w:p>
            <w:pPr>
              <w:spacing w:after="50" w:before="50" w:line="252" w:lineRule="auto"/>
            </w:pPr>
            <w:r>
              <w:rPr>
                <w:sz w:val="17"/>
              </w:rPr>
              <w:t>You want 5 years. Nilgiri may resist</w:t>
            </w:r>
          </w:p>
        </w:tc>
      </w:tr>
      <w:tr>
        <w:tc>
          <w:tcPr>
            <w:tcW w:type="dxa" w:w="2435"/>
            <w:shd w:val="clear" w:color="auto" w:fill="EAF1F4"/>
          </w:tcPr>
          <w:p>
            <w:pPr>
              <w:spacing w:after="50" w:before="50" w:line="252" w:lineRule="auto"/>
            </w:pPr>
            <w:r>
              <w:rPr>
                <w:sz w:val="17"/>
              </w:rPr>
              <w:t>Traceability</w:t>
            </w:r>
          </w:p>
        </w:tc>
        <w:tc>
          <w:tcPr>
            <w:tcW w:type="dxa" w:w="7032"/>
            <w:shd w:val="clear" w:color="auto" w:fill="EAF1F4"/>
          </w:tcPr>
          <w:p>
            <w:pPr>
              <w:spacing w:after="50" w:before="50" w:line="252" w:lineRule="auto"/>
            </w:pPr>
            <w:r>
              <w:rPr>
                <w:sz w:val="17"/>
              </w:rPr>
              <w:t>You need it. It is the marketing claim</w:t>
            </w:r>
          </w:p>
        </w:tc>
      </w:tr>
    </w:tbl>
    <w:p>
      <w:pPr>
        <w:spacing w:after="80" w:before="0"/>
      </w:pPr>
    </w:p>
    <w:p>
      <w:pPr>
        <w:pStyle w:val="Heading2"/>
      </w:pPr>
      <w:r>
        <w:t>What you should think about</w:t>
      </w:r>
    </w:p>
    <w:p>
      <w:r>
        <w:t>The two other buyers approaching Nilgiri are offering higher prices for smaller volumes. You cannot match a premium price on 21,000 tonnes, but you can offer things a small buyer cannot: certainty of offtake, pre-season finance, capital investment, a multi-year term and a grading process that is fair.</w:t>
      </w:r>
    </w:p>
    <w:p>
      <w:r>
        <w:rPr>
          <w:b/>
        </w:rPr>
        <w:t>The grading inconsistency is your hidden card.</w:t>
      </w:r>
      <w:r>
        <w:t xml:space="preserve"> Disclosing it costs you credibility for a moment and buys you a great deal of trust. Consider when, and to whom, to disclose it.</w:t>
      </w:r>
    </w:p>
    <w:p>
      <w:pPr>
        <w:spacing w:before="80" w:after="160"/>
        <w:pBdr>
          <w:bottom w:val="single" w:sz="6" w:space="1" w:color="C9D6DE"/>
        </w:pBdr>
      </w:pPr>
    </w:p>
    <w:p>
      <w:r>
        <w:br w:type="page"/>
      </w:r>
    </w:p>
    <w:p>
      <w:pPr>
        <w:pStyle w:val="Heading1"/>
        <w:pBdr>
          <w:bottom w:val="single" w:sz="8" w:space="4" w:color="C9D6DE"/>
        </w:pBdr>
      </w:pPr>
      <w:r>
        <w:t>PART 3 · Confidential Brief — Nilgiri Highland Farmer Producer Company</w:t>
      </w:r>
    </w:p>
    <w:p>
      <w:pPr>
        <w:spacing w:before="140" w:after="140"/>
        <w:ind w:left="198" w:right="113"/>
        <w:shd w:val="clear" w:color="auto" w:fill="EAF1F4"/>
        <w:pBdr>
          <w:left w:val="single" w:sz="18" w:space="6" w:color="0E7C7B"/>
        </w:pBdr>
      </w:pPr>
      <w:r>
        <w:rPr>
          <w:sz w:val="19"/>
        </w:rPr>
        <w:t>For the Nilgiri team only.</w:t>
      </w:r>
    </w:p>
    <w:p>
      <w:pPr>
        <w:pStyle w:val="Heading2"/>
      </w:pPr>
      <w:r>
        <w:t>Your position</w:t>
      </w:r>
    </w:p>
    <w:p>
      <w:r>
        <w:t xml:space="preserve">You represent 4,200 farmer families. Your board has instructed you to obtain a price increase, but what your members actually need most is </w:t>
      </w:r>
      <w:r>
        <w:rPr>
          <w:b/>
        </w:rPr>
        <w:t>certainty and cash flow</w:t>
      </w:r>
      <w:r>
        <w:t>, not the highest headline price.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71"/>
            <w:shd w:val="clear" w:color="auto" w:fill="10375C"/>
          </w:tcPr>
          <w:p>
            <w:pPr>
              <w:spacing w:after="50" w:before="50"/>
            </w:pPr>
            <w:r>
              <w:rPr>
                <w:b/>
                <w:color w:val="FFFFFF"/>
                <w:sz w:val="17"/>
              </w:rPr>
              <w:t>Item</w:t>
            </w:r>
          </w:p>
        </w:tc>
        <w:tc>
          <w:tcPr>
            <w:tcW w:type="dxa" w:w="7096"/>
            <w:shd w:val="clear" w:color="auto" w:fill="10375C"/>
          </w:tcPr>
          <w:p>
            <w:pPr>
              <w:spacing w:after="50" w:before="50"/>
            </w:pPr>
            <w:r>
              <w:rPr>
                <w:b/>
                <w:color w:val="FFFFFF"/>
                <w:sz w:val="17"/>
              </w:rPr>
              <w:t>Your position</w:t>
            </w:r>
          </w:p>
        </w:tc>
      </w:tr>
      <w:tr>
        <w:tc>
          <w:tcPr>
            <w:tcW w:type="dxa" w:w="2371"/>
          </w:tcPr>
          <w:p>
            <w:pPr>
              <w:spacing w:after="50" w:before="50" w:line="252" w:lineRule="auto"/>
            </w:pPr>
            <w:r>
              <w:rPr>
                <w:sz w:val="17"/>
              </w:rPr>
              <w:t>Price sought</w:t>
            </w:r>
          </w:p>
        </w:tc>
        <w:tc>
          <w:tcPr>
            <w:tcW w:type="dxa" w:w="7096"/>
          </w:tcPr>
          <w:p>
            <w:pPr>
              <w:spacing w:after="50" w:before="50" w:line="252" w:lineRule="auto"/>
            </w:pPr>
            <w:r>
              <w:rPr>
                <w:sz w:val="17"/>
              </w:rPr>
              <w:t xml:space="preserve">Opening ask </w:t>
            </w:r>
            <w:r>
              <w:rPr>
                <w:b/>
                <w:sz w:val="17"/>
              </w:rPr>
              <w:t>₹34.00 per kg</w:t>
            </w:r>
            <w:r>
              <w:rPr>
                <w:sz w:val="17"/>
              </w:rPr>
              <w:t>; board's stated target ₹31.00</w:t>
            </w:r>
          </w:p>
        </w:tc>
      </w:tr>
      <w:tr>
        <w:tc>
          <w:tcPr>
            <w:tcW w:type="dxa" w:w="2371"/>
            <w:shd w:val="clear" w:color="auto" w:fill="EAF1F4"/>
          </w:tcPr>
          <w:p>
            <w:pPr>
              <w:spacing w:after="50" w:before="50" w:line="252" w:lineRule="auto"/>
            </w:pPr>
            <w:r>
              <w:rPr>
                <w:b/>
                <w:sz w:val="17"/>
              </w:rPr>
              <w:t>Minimum acceptable</w:t>
            </w:r>
          </w:p>
        </w:tc>
        <w:tc>
          <w:tcPr>
            <w:tcW w:type="dxa" w:w="7096"/>
            <w:shd w:val="clear" w:color="auto" w:fill="EAF1F4"/>
          </w:tcPr>
          <w:p>
            <w:pPr>
              <w:spacing w:after="50" w:before="50" w:line="252" w:lineRule="auto"/>
            </w:pPr>
            <w:r>
              <w:rPr>
                <w:b/>
                <w:sz w:val="17"/>
              </w:rPr>
              <w:t>₹28.75 per kg</w:t>
            </w:r>
            <w:r>
              <w:rPr>
                <w:sz w:val="17"/>
              </w:rPr>
              <w:t xml:space="preserve"> average, below which your members' costs are not covered on the current basket</w:t>
            </w:r>
          </w:p>
        </w:tc>
      </w:tr>
      <w:tr>
        <w:tc>
          <w:tcPr>
            <w:tcW w:type="dxa" w:w="2371"/>
          </w:tcPr>
          <w:p>
            <w:pPr>
              <w:spacing w:after="50" w:before="50" w:line="252" w:lineRule="auto"/>
            </w:pPr>
            <w:r>
              <w:rPr>
                <w:sz w:val="17"/>
              </w:rPr>
              <w:t>Volume</w:t>
            </w:r>
          </w:p>
        </w:tc>
        <w:tc>
          <w:tcPr>
            <w:tcW w:type="dxa" w:w="7096"/>
          </w:tcPr>
          <w:p>
            <w:pPr>
              <w:spacing w:after="50" w:before="50" w:line="252" w:lineRule="auto"/>
            </w:pPr>
            <w:r>
              <w:rPr>
                <w:sz w:val="17"/>
              </w:rPr>
              <w:t xml:space="preserve">You can supply 21,000 tonnes, but only by bringing in approximately 900 additional farmers, which requires </w:t>
            </w:r>
            <w:r>
              <w:rPr>
                <w:b/>
                <w:sz w:val="17"/>
              </w:rPr>
              <w:t>working capital you do not have</w:t>
            </w:r>
          </w:p>
        </w:tc>
      </w:tr>
      <w:tr>
        <w:tc>
          <w:tcPr>
            <w:tcW w:type="dxa" w:w="2371"/>
            <w:shd w:val="clear" w:color="auto" w:fill="EAF1F4"/>
          </w:tcPr>
          <w:p>
            <w:pPr>
              <w:spacing w:after="50" w:before="50" w:line="252" w:lineRule="auto"/>
            </w:pPr>
            <w:r>
              <w:rPr>
                <w:b/>
                <w:sz w:val="17"/>
              </w:rPr>
              <w:t>Working capital gap</w:t>
            </w:r>
          </w:p>
        </w:tc>
        <w:tc>
          <w:tcPr>
            <w:tcW w:type="dxa" w:w="7096"/>
            <w:shd w:val="clear" w:color="auto" w:fill="EAF1F4"/>
          </w:tcPr>
          <w:p>
            <w:pPr>
              <w:spacing w:after="50" w:before="50" w:line="252" w:lineRule="auto"/>
            </w:pPr>
            <w:r>
              <w:rPr>
                <w:b/>
                <w:sz w:val="17"/>
              </w:rPr>
              <w:t>₹16 crore.</w:t>
            </w:r>
            <w:r>
              <w:rPr>
                <w:sz w:val="17"/>
              </w:rPr>
              <w:t xml:space="preserve"> Your bank has declined to increase your limit without a longer-term offtake contract to pledge. This is your single largest constraint, and it is not visible to Ashwatha</w:t>
            </w:r>
          </w:p>
        </w:tc>
      </w:tr>
      <w:tr>
        <w:tc>
          <w:tcPr>
            <w:tcW w:type="dxa" w:w="2371"/>
          </w:tcPr>
          <w:p>
            <w:pPr>
              <w:spacing w:after="50" w:before="50" w:line="252" w:lineRule="auto"/>
            </w:pPr>
            <w:r>
              <w:rPr>
                <w:sz w:val="17"/>
              </w:rPr>
              <w:t>Payment terms</w:t>
            </w:r>
          </w:p>
        </w:tc>
        <w:tc>
          <w:tcPr>
            <w:tcW w:type="dxa" w:w="7096"/>
          </w:tcPr>
          <w:p>
            <w:pPr>
              <w:spacing w:after="50" w:before="50" w:line="252" w:lineRule="auto"/>
            </w:pPr>
            <w:r>
              <w:rPr>
                <w:sz w:val="17"/>
              </w:rPr>
              <w:t xml:space="preserve">45 days is painful; </w:t>
            </w:r>
            <w:r>
              <w:rPr>
                <w:b/>
                <w:sz w:val="17"/>
              </w:rPr>
              <w:t>30 days would transform your cash cycle</w:t>
            </w:r>
            <w:r>
              <w:rPr>
                <w:sz w:val="17"/>
              </w:rPr>
              <w:t>; 21 days is beyond what you expect</w:t>
            </w:r>
          </w:p>
        </w:tc>
      </w:tr>
      <w:tr>
        <w:tc>
          <w:tcPr>
            <w:tcW w:type="dxa" w:w="2371"/>
            <w:shd w:val="clear" w:color="auto" w:fill="EAF1F4"/>
          </w:tcPr>
          <w:p>
            <w:pPr>
              <w:spacing w:after="50" w:before="50" w:line="252" w:lineRule="auto"/>
            </w:pPr>
            <w:r>
              <w:rPr>
                <w:sz w:val="17"/>
              </w:rPr>
              <w:t>The other buyers</w:t>
            </w:r>
          </w:p>
        </w:tc>
        <w:tc>
          <w:tcPr>
            <w:tcW w:type="dxa" w:w="7096"/>
            <w:shd w:val="clear" w:color="auto" w:fill="EAF1F4"/>
          </w:tcPr>
          <w:p>
            <w:pPr>
              <w:spacing w:after="50" w:before="50" w:line="252" w:lineRule="auto"/>
            </w:pPr>
            <w:r>
              <w:rPr>
                <w:sz w:val="17"/>
              </w:rPr>
              <w:t xml:space="preserve">Real. One offers ₹33.50 for 3,000 tonnes; the other ₹32.00 for 5,000 tonnes. </w:t>
            </w:r>
            <w:r>
              <w:rPr>
                <w:b/>
                <w:sz w:val="17"/>
              </w:rPr>
              <w:t>Together they cover only 38% of your volume</w:t>
            </w:r>
            <w:r>
              <w:rPr>
                <w:sz w:val="17"/>
              </w:rPr>
              <w:t>, and neither will commit beyond one season. You cannot build a company on them</w:t>
            </w:r>
          </w:p>
        </w:tc>
      </w:tr>
      <w:tr>
        <w:tc>
          <w:tcPr>
            <w:tcW w:type="dxa" w:w="2371"/>
          </w:tcPr>
          <w:p>
            <w:pPr>
              <w:spacing w:after="50" w:before="50" w:line="252" w:lineRule="auto"/>
            </w:pPr>
            <w:r>
              <w:rPr>
                <w:sz w:val="17"/>
              </w:rPr>
              <w:t>Rejection</w:t>
            </w:r>
          </w:p>
        </w:tc>
        <w:tc>
          <w:tcPr>
            <w:tcW w:type="dxa" w:w="7096"/>
          </w:tcPr>
          <w:p>
            <w:pPr>
              <w:spacing w:after="50" w:before="50" w:line="252" w:lineRule="auto"/>
            </w:pPr>
            <w:r>
              <w:rPr>
                <w:sz w:val="17"/>
              </w:rPr>
              <w:t xml:space="preserve">11.3% is costing you approximately ₹4.3 crore a year. Your own sampling suggests </w:t>
            </w:r>
            <w:r>
              <w:rPr>
                <w:b/>
                <w:sz w:val="17"/>
              </w:rPr>
              <w:t>at least a third of rejections are inconsistent grading rather than genuine quality failure</w:t>
            </w:r>
            <w:r>
              <w:rPr>
                <w:sz w:val="17"/>
              </w:rPr>
              <w:t>. You have no proof</w:t>
            </w:r>
          </w:p>
        </w:tc>
      </w:tr>
      <w:tr>
        <w:tc>
          <w:tcPr>
            <w:tcW w:type="dxa" w:w="2371"/>
            <w:shd w:val="clear" w:color="auto" w:fill="EAF1F4"/>
          </w:tcPr>
          <w:p>
            <w:pPr>
              <w:spacing w:after="50" w:before="50" w:line="252" w:lineRule="auto"/>
            </w:pPr>
            <w:r>
              <w:rPr>
                <w:sz w:val="17"/>
              </w:rPr>
              <w:t>Cold storage</w:t>
            </w:r>
          </w:p>
        </w:tc>
        <w:tc>
          <w:tcPr>
            <w:tcW w:type="dxa" w:w="7096"/>
            <w:shd w:val="clear" w:color="auto" w:fill="EAF1F4"/>
          </w:tcPr>
          <w:p>
            <w:pPr>
              <w:spacing w:after="50" w:before="50" w:line="252" w:lineRule="auto"/>
            </w:pPr>
            <w:r>
              <w:rPr>
                <w:sz w:val="17"/>
              </w:rPr>
              <w:t>You have no pre-cooling or grading facility. Building one would reduce rejection and let you sell higher-grade produce elsewhere. You cannot fund it</w:t>
            </w:r>
          </w:p>
        </w:tc>
      </w:tr>
      <w:tr>
        <w:tc>
          <w:tcPr>
            <w:tcW w:type="dxa" w:w="2371"/>
          </w:tcPr>
          <w:p>
            <w:pPr>
              <w:spacing w:after="50" w:before="50" w:line="252" w:lineRule="auto"/>
            </w:pPr>
            <w:r>
              <w:rPr>
                <w:sz w:val="17"/>
              </w:rPr>
              <w:t>Term</w:t>
            </w:r>
          </w:p>
        </w:tc>
        <w:tc>
          <w:tcPr>
            <w:tcW w:type="dxa" w:w="7096"/>
          </w:tcPr>
          <w:p>
            <w:pPr>
              <w:spacing w:after="50" w:before="50" w:line="252" w:lineRule="auto"/>
            </w:pPr>
            <w:r>
              <w:rPr>
                <w:sz w:val="17"/>
              </w:rPr>
              <w:t>You want a long term — it is what your bank requires</w:t>
            </w:r>
          </w:p>
        </w:tc>
      </w:tr>
      <w:tr>
        <w:tc>
          <w:tcPr>
            <w:tcW w:type="dxa" w:w="2371"/>
            <w:shd w:val="clear" w:color="auto" w:fill="EAF1F4"/>
          </w:tcPr>
          <w:p>
            <w:pPr>
              <w:spacing w:after="50" w:before="50" w:line="252" w:lineRule="auto"/>
            </w:pPr>
            <w:r>
              <w:rPr>
                <w:sz w:val="17"/>
              </w:rPr>
              <w:t>Exclusivity</w:t>
            </w:r>
          </w:p>
        </w:tc>
        <w:tc>
          <w:tcPr>
            <w:tcW w:type="dxa" w:w="7096"/>
            <w:shd w:val="clear" w:color="auto" w:fill="EAF1F4"/>
          </w:tcPr>
          <w:p>
            <w:pPr>
              <w:spacing w:after="50" w:before="50" w:line="252" w:lineRule="auto"/>
            </w:pPr>
            <w:r>
              <w:rPr>
                <w:sz w:val="17"/>
              </w:rPr>
              <w:t>You would resist full exclusivity, but you could accept exclusivity on the specific Green Fields varieties</w:t>
            </w:r>
          </w:p>
        </w:tc>
      </w:tr>
    </w:tbl>
    <w:p>
      <w:pPr>
        <w:spacing w:after="80" w:before="0"/>
      </w:pPr>
    </w:p>
    <w:p>
      <w:pPr>
        <w:pStyle w:val="Heading2"/>
      </w:pPr>
      <w:r>
        <w:t>What you should think about</w:t>
      </w:r>
    </w:p>
    <w:p>
      <w:r>
        <w:t xml:space="preserve">Your board asked for a price. Your members need cash flow, certainty and a fair grading process. </w:t>
      </w:r>
      <w:r>
        <w:rPr>
          <w:b/>
        </w:rPr>
        <w:t>A price of ₹29.50 with a pre-season advance, 30-day payment, a five-year term and a jointly governed grading protocol is worth far more to your farmers than ₹32.00 on the current terms</w:t>
      </w:r>
      <w:r>
        <w:t xml:space="preserve"> — and the term is what unlocks your bank.</w:t>
      </w:r>
    </w:p>
    <w:p>
      <w:r>
        <w:t>Consider whether to disclose the working capital gap. It reveals weakness. It also tells Ashwatha exactly what to offer.</w:t>
      </w:r>
    </w:p>
    <w:p>
      <w:pPr>
        <w:spacing w:before="80" w:after="160"/>
        <w:pBdr>
          <w:bottom w:val="single" w:sz="6" w:space="1" w:color="C9D6DE"/>
        </w:pBdr>
      </w:pPr>
    </w:p>
    <w:p>
      <w:r>
        <w:br w:type="page"/>
      </w:r>
    </w:p>
    <w:p>
      <w:pPr>
        <w:pStyle w:val="Heading1"/>
        <w:pBdr>
          <w:bottom w:val="single" w:sz="8" w:space="4" w:color="C9D6DE"/>
        </w:pBdr>
      </w:pPr>
      <w:r>
        <w:t>PART 4 · Scoring</w:t>
      </w:r>
    </w:p>
    <w:p>
      <w:r>
        <w:t xml:space="preserve">Each team is scored out of </w:t>
      </w:r>
      <w:r>
        <w:rPr>
          <w:b/>
        </w:rPr>
        <w:t>50</w:t>
      </w:r>
      <w:r>
        <w: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916"/>
            <w:shd w:val="clear" w:color="auto" w:fill="10375C"/>
          </w:tcPr>
          <w:p>
            <w:pPr>
              <w:spacing w:after="50" w:before="50"/>
            </w:pPr>
            <w:r>
              <w:rPr>
                <w:b/>
                <w:color w:val="FFFFFF"/>
                <w:sz w:val="17"/>
              </w:rPr>
              <w:t>Criterion</w:t>
            </w:r>
          </w:p>
        </w:tc>
        <w:tc>
          <w:tcPr>
            <w:tcW w:type="dxa" w:w="850"/>
            <w:shd w:val="clear" w:color="auto" w:fill="10375C"/>
          </w:tcPr>
          <w:p>
            <w:pPr>
              <w:spacing w:after="50" w:before="50"/>
            </w:pPr>
            <w:r>
              <w:rPr>
                <w:b/>
                <w:color w:val="FFFFFF"/>
                <w:sz w:val="17"/>
              </w:rPr>
              <w:t>Marks</w:t>
            </w:r>
          </w:p>
        </w:tc>
        <w:tc>
          <w:tcPr>
            <w:tcW w:type="dxa" w:w="5956"/>
            <w:shd w:val="clear" w:color="auto" w:fill="10375C"/>
          </w:tcPr>
          <w:p>
            <w:pPr>
              <w:spacing w:after="50" w:before="50"/>
            </w:pPr>
            <w:r>
              <w:rPr>
                <w:b/>
                <w:color w:val="FFFFFF"/>
                <w:sz w:val="17"/>
              </w:rPr>
              <w:t>What earns full marks</w:t>
            </w:r>
          </w:p>
        </w:tc>
      </w:tr>
      <w:tr>
        <w:tc>
          <w:tcPr>
            <w:tcW w:type="dxa" w:w="2916"/>
          </w:tcPr>
          <w:p>
            <w:pPr>
              <w:spacing w:after="50" w:before="50" w:line="252" w:lineRule="auto"/>
            </w:pPr>
            <w:r>
              <w:rPr>
                <w:b/>
                <w:sz w:val="17"/>
              </w:rPr>
              <w:t>Preparation and analysis</w:t>
            </w:r>
          </w:p>
        </w:tc>
        <w:tc>
          <w:tcPr>
            <w:tcW w:type="dxa" w:w="850"/>
          </w:tcPr>
          <w:p>
            <w:pPr>
              <w:spacing w:after="50" w:before="50" w:line="252" w:lineRule="auto"/>
            </w:pPr>
            <w:r>
              <w:rPr>
                <w:sz w:val="17"/>
              </w:rPr>
              <w:t>8</w:t>
            </w:r>
          </w:p>
        </w:tc>
        <w:tc>
          <w:tcPr>
            <w:tcW w:type="dxa" w:w="5956"/>
          </w:tcPr>
          <w:p>
            <w:pPr>
              <w:spacing w:after="50" w:before="50" w:line="252" w:lineRule="auto"/>
            </w:pPr>
            <w:r>
              <w:rPr>
                <w:sz w:val="17"/>
              </w:rPr>
              <w:t>Interests ranked; alternatives analysed; reserve position known; opening calibrated</w:t>
            </w:r>
          </w:p>
        </w:tc>
      </w:tr>
      <w:tr>
        <w:tc>
          <w:tcPr>
            <w:tcW w:type="dxa" w:w="2916"/>
            <w:shd w:val="clear" w:color="auto" w:fill="EAF1F4"/>
          </w:tcPr>
          <w:p>
            <w:pPr>
              <w:spacing w:after="50" w:before="50" w:line="252" w:lineRule="auto"/>
            </w:pPr>
            <w:r>
              <w:rPr>
                <w:b/>
                <w:sz w:val="17"/>
              </w:rPr>
              <w:t>Information exchange</w:t>
            </w:r>
          </w:p>
        </w:tc>
        <w:tc>
          <w:tcPr>
            <w:tcW w:type="dxa" w:w="850"/>
            <w:shd w:val="clear" w:color="auto" w:fill="EAF1F4"/>
          </w:tcPr>
          <w:p>
            <w:pPr>
              <w:spacing w:after="50" w:before="50" w:line="252" w:lineRule="auto"/>
            </w:pPr>
            <w:r>
              <w:rPr>
                <w:sz w:val="17"/>
              </w:rPr>
              <w:t>10</w:t>
            </w:r>
          </w:p>
        </w:tc>
        <w:tc>
          <w:tcPr>
            <w:tcW w:type="dxa" w:w="5956"/>
            <w:shd w:val="clear" w:color="auto" w:fill="EAF1F4"/>
          </w:tcPr>
          <w:p>
            <w:pPr>
              <w:spacing w:after="50" w:before="50" w:line="252" w:lineRule="auto"/>
            </w:pPr>
            <w:r>
              <w:rPr>
                <w:sz w:val="17"/>
              </w:rPr>
              <w:t>Asks genuine questions; listens; surfaces the other side's real constraint</w:t>
            </w:r>
          </w:p>
        </w:tc>
      </w:tr>
      <w:tr>
        <w:tc>
          <w:tcPr>
            <w:tcW w:type="dxa" w:w="2916"/>
          </w:tcPr>
          <w:p>
            <w:pPr>
              <w:spacing w:after="50" w:before="50" w:line="252" w:lineRule="auto"/>
            </w:pPr>
            <w:r>
              <w:rPr>
                <w:b/>
                <w:sz w:val="17"/>
              </w:rPr>
              <w:t>Value creation</w:t>
            </w:r>
          </w:p>
        </w:tc>
        <w:tc>
          <w:tcPr>
            <w:tcW w:type="dxa" w:w="850"/>
          </w:tcPr>
          <w:p>
            <w:pPr>
              <w:spacing w:after="50" w:before="50" w:line="252" w:lineRule="auto"/>
            </w:pPr>
            <w:r>
              <w:rPr>
                <w:sz w:val="17"/>
              </w:rPr>
              <w:t>12</w:t>
            </w:r>
          </w:p>
        </w:tc>
        <w:tc>
          <w:tcPr>
            <w:tcW w:type="dxa" w:w="5956"/>
          </w:tcPr>
          <w:p>
            <w:pPr>
              <w:spacing w:after="50" w:before="50" w:line="252" w:lineRule="auto"/>
            </w:pPr>
            <w:r>
              <w:rPr>
                <w:sz w:val="17"/>
              </w:rPr>
              <w:t>Finds and trades the non-price variables; the agreement is better than a price-only deal for both</w:t>
            </w:r>
          </w:p>
        </w:tc>
      </w:tr>
      <w:tr>
        <w:tc>
          <w:tcPr>
            <w:tcW w:type="dxa" w:w="2916"/>
            <w:shd w:val="clear" w:color="auto" w:fill="EAF1F4"/>
          </w:tcPr>
          <w:p>
            <w:pPr>
              <w:spacing w:after="50" w:before="50" w:line="252" w:lineRule="auto"/>
            </w:pPr>
            <w:r>
              <w:rPr>
                <w:b/>
                <w:sz w:val="17"/>
              </w:rPr>
              <w:t>Value claiming</w:t>
            </w:r>
          </w:p>
        </w:tc>
        <w:tc>
          <w:tcPr>
            <w:tcW w:type="dxa" w:w="850"/>
            <w:shd w:val="clear" w:color="auto" w:fill="EAF1F4"/>
          </w:tcPr>
          <w:p>
            <w:pPr>
              <w:spacing w:after="50" w:before="50" w:line="252" w:lineRule="auto"/>
            </w:pPr>
            <w:r>
              <w:rPr>
                <w:sz w:val="17"/>
              </w:rPr>
              <w:t>8</w:t>
            </w:r>
          </w:p>
        </w:tc>
        <w:tc>
          <w:tcPr>
            <w:tcW w:type="dxa" w:w="5956"/>
            <w:shd w:val="clear" w:color="auto" w:fill="EAF1F4"/>
          </w:tcPr>
          <w:p>
            <w:pPr>
              <w:spacing w:after="50" w:before="50" w:line="252" w:lineRule="auto"/>
            </w:pPr>
            <w:r>
              <w:rPr>
                <w:sz w:val="17"/>
              </w:rPr>
              <w:t>Advances its own party's interests; does not give away what it need not</w:t>
            </w:r>
          </w:p>
        </w:tc>
      </w:tr>
      <w:tr>
        <w:tc>
          <w:tcPr>
            <w:tcW w:type="dxa" w:w="2916"/>
          </w:tcPr>
          <w:p>
            <w:pPr>
              <w:spacing w:after="50" w:before="50" w:line="252" w:lineRule="auto"/>
            </w:pPr>
            <w:r>
              <w:rPr>
                <w:b/>
                <w:sz w:val="17"/>
              </w:rPr>
              <w:t>Relationship and process</w:t>
            </w:r>
          </w:p>
        </w:tc>
        <w:tc>
          <w:tcPr>
            <w:tcW w:type="dxa" w:w="850"/>
          </w:tcPr>
          <w:p>
            <w:pPr>
              <w:spacing w:after="50" w:before="50" w:line="252" w:lineRule="auto"/>
            </w:pPr>
            <w:r>
              <w:rPr>
                <w:sz w:val="17"/>
              </w:rPr>
              <w:t>7</w:t>
            </w:r>
          </w:p>
        </w:tc>
        <w:tc>
          <w:tcPr>
            <w:tcW w:type="dxa" w:w="5956"/>
          </w:tcPr>
          <w:p>
            <w:pPr>
              <w:spacing w:after="50" w:before="50" w:line="252" w:lineRule="auto"/>
            </w:pPr>
            <w:r>
              <w:rPr>
                <w:sz w:val="17"/>
              </w:rPr>
              <w:t>Manages the process; maintains a working relationship; handles difficulty without escalation</w:t>
            </w:r>
          </w:p>
        </w:tc>
      </w:tr>
      <w:tr>
        <w:tc>
          <w:tcPr>
            <w:tcW w:type="dxa" w:w="2916"/>
            <w:shd w:val="clear" w:color="auto" w:fill="EAF1F4"/>
          </w:tcPr>
          <w:p>
            <w:pPr>
              <w:spacing w:after="50" w:before="50" w:line="252" w:lineRule="auto"/>
            </w:pPr>
            <w:r>
              <w:rPr>
                <w:b/>
                <w:sz w:val="17"/>
              </w:rPr>
              <w:t>Teamwork</w:t>
            </w:r>
          </w:p>
        </w:tc>
        <w:tc>
          <w:tcPr>
            <w:tcW w:type="dxa" w:w="850"/>
            <w:shd w:val="clear" w:color="auto" w:fill="EAF1F4"/>
          </w:tcPr>
          <w:p>
            <w:pPr>
              <w:spacing w:after="50" w:before="50" w:line="252" w:lineRule="auto"/>
            </w:pPr>
            <w:r>
              <w:rPr>
                <w:sz w:val="17"/>
              </w:rPr>
              <w:t>5</w:t>
            </w:r>
          </w:p>
        </w:tc>
        <w:tc>
          <w:tcPr>
            <w:tcW w:type="dxa" w:w="5956"/>
            <w:shd w:val="clear" w:color="auto" w:fill="EAF1F4"/>
          </w:tcPr>
          <w:p>
            <w:pPr>
              <w:spacing w:after="50" w:before="50" w:line="252" w:lineRule="auto"/>
            </w:pPr>
            <w:r>
              <w:rPr>
                <w:sz w:val="17"/>
              </w:rPr>
              <w:t>Both members contribute substantively; roles are used deliberately</w:t>
            </w:r>
          </w:p>
        </w:tc>
      </w:tr>
    </w:tbl>
    <w:p>
      <w:pPr>
        <w:spacing w:after="80" w:before="0"/>
      </w:pPr>
    </w:p>
    <w:p>
      <w:r>
        <w:rPr>
          <w:b/>
        </w:rPr>
        <w:t>A negotiation settled on price alone, however favourable the price, cannot score above the middle band.</w:t>
      </w:r>
      <w:r>
        <w:t xml:space="preserve"> The problem is constructed so that the value is in the term, the advance, the payment cycle, the grading protocol and the capital investment. Judges are instructed accordingly.</w:t>
      </w:r>
    </w:p>
    <w:p>
      <w:pPr>
        <w:pStyle w:val="Heading2"/>
      </w:pPr>
      <w:r>
        <w:t>Model outcome</w:t>
      </w:r>
    </w:p>
    <w:p>
      <w:r>
        <w:t>Price between ₹29.00 and ₹30.50; five-year term; pre-season advance of ₹12 to ₹18 crore; payment at 30 days; a jointly governed grading protocol with an agreed escalation route and independent sampling; joint investment in a grading and pre-cooling facility with defined ownership; exclusivity limited to the Green Fields varieties; volume commitment with a step-up mechanism; traceability protocol.</w:t>
      </w:r>
    </w:p>
    <w:p>
      <w:r>
        <w:t xml:space="preserve">Both sides are comfortably within mandate. Ashwatha secures supply and its marketing claim; Nilgiri secures the bankable contract that solves its working capital problem. </w:t>
      </w:r>
      <w:r>
        <w:rPr>
          <w:b/>
        </w:rPr>
        <w:t>Neither could have reached this by arguing about the price.</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EQ-UAP-072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Negotiation Competition Problem</w:t>
    </w:r>
    <w:r>
      <w:rPr>
        <w:rFonts w:ascii="Calibri" w:hAnsi="Calibri"/>
        <w:color w:val="595959"/>
        <w:sz w:val="16"/>
      </w:rPr>
      <w:tab/>
      <w:t>Confidential until released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89C9BF5-5CDC-49FC-BDD8-DF7972F56E26}"/>
</file>

<file path=customXml/itemProps3.xml><?xml version="1.0" encoding="utf-8"?>
<ds:datastoreItem xmlns:ds="http://schemas.openxmlformats.org/officeDocument/2006/customXml" ds:itemID="{BF83295B-3EB3-4E01-B73B-2508EC1C2ADF}"/>
</file>

<file path=customXml/itemProps4.xml><?xml version="1.0" encoding="utf-8"?>
<ds:datastoreItem xmlns:ds="http://schemas.openxmlformats.org/officeDocument/2006/customXml" ds:itemID="{F8E55B02-B2BF-43C0-83F2-E651B7B4648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