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Competition Problem — General Information</w:t>
      </w:r>
    </w:p>
    <w:p>
      <w:pPr>
        <w:spacing w:after="280" w:line="276" w:lineRule="auto"/>
      </w:pPr>
      <w:r>
        <w:rPr>
          <w:rFonts w:ascii="Calibri" w:hAnsi="Calibri"/>
          <w:i/>
          <w:color w:val="3E6B8A"/>
          <w:sz w:val="25"/>
        </w:rPr>
        <w:t>Sundara Organics Private Limited v. Kaveri Cold Chain Logistics Private Limited — released to all teams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until released. Public thereafter.</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Note to teams</w:t>
      </w:r>
    </w:p>
    <w:p>
      <w:r>
        <w:t xml:space="preserve">This document is the </w:t>
      </w:r>
      <w:r>
        <w:rPr>
          <w:b/>
        </w:rPr>
        <w:t>General Information</w:t>
      </w:r>
      <w:r>
        <w:t>. It is available to both sides and to the mediator.</w:t>
      </w:r>
    </w:p>
    <w:p>
      <w:r>
        <w:t xml:space="preserve">You will separately receive </w:t>
      </w:r>
      <w:r>
        <w:rPr>
          <w:b/>
        </w:rPr>
        <w:t>Confidential Information</w:t>
      </w:r>
      <w:r>
        <w:t xml:space="preserve"> for the party you represent. You must not seek, read or accept the other side's Confidential Information. If it reaches you by accident, tell the Convenor at once.</w:t>
      </w:r>
    </w:p>
    <w:p>
      <w:r>
        <w:t>You may make reasonable inferences and develop facts consistent with what follows. You may not invent a material fact that contradicts it.</w:t>
      </w:r>
    </w:p>
    <w:p>
      <w:pPr>
        <w:spacing w:before="80" w:after="160"/>
        <w:pBdr>
          <w:bottom w:val="single" w:sz="6" w:space="1" w:color="C9D6DE"/>
        </w:pBdr>
      </w:pPr>
    </w:p>
    <w:p>
      <w:pPr>
        <w:pStyle w:val="Heading1"/>
        <w:pBdr>
          <w:bottom w:val="single" w:sz="8" w:space="4" w:color="C9D6DE"/>
        </w:pBdr>
      </w:pPr>
      <w:r>
        <w:t>1. The parties</w:t>
      </w:r>
    </w:p>
    <w:p>
      <w:pPr>
        <w:pStyle w:val="Heading2"/>
      </w:pPr>
      <w:r>
        <w:t>1.1 Sundara Organics Private Limited</w:t>
      </w:r>
    </w:p>
    <w:p>
      <w:r>
        <w:t>Sundara Organics Private Limited (</w:t>
      </w:r>
      <w:r>
        <w:rPr>
          <w:b/>
        </w:rPr>
        <w:t>Sundara</w:t>
      </w:r>
      <w:r>
        <w:t xml:space="preserve">) is a company incorporated in India with its registered office and processing facility at Pollachi, near Coimbatore, Tamil Nadu. Incorporated in 1998 by Mr S. Ramanathan, it is now run by his daughter, </w:t>
      </w:r>
      <w:r>
        <w:rPr>
          <w:b/>
        </w:rPr>
        <w:t>Ms Anjali Ramanathan</w:t>
      </w:r>
      <w:r>
        <w:t>, as Managing Director.</w:t>
      </w:r>
    </w:p>
    <w:p>
      <w:r>
        <w:t>Sundara sources organic turmeric, black pepper and cardamom from approximately 1,900 certified organic smallholder farmers across the Western Ghats, processes and packs at Pollachi, and exports principally to the European Union. It holds organic certification under the relevant EU-recognised scheme and is audited annually. Turnover in the last completed financial year was approximately ₹96 crore, of which about 71% was export.</w:t>
      </w:r>
    </w:p>
    <w:p>
      <w:r>
        <w:t>Sundara's reputation rests substantially on traceability. Its marketing to European buyers emphasises farm-level traceability and a published testing regime.</w:t>
      </w:r>
    </w:p>
    <w:p>
      <w:pPr>
        <w:pStyle w:val="Heading2"/>
      </w:pPr>
      <w:r>
        <w:t>1.2 Kaveri Cold Chain Logistics Private Limited</w:t>
      </w:r>
    </w:p>
    <w:p>
      <w:r>
        <w:t>Kaveri Cold Chain Logistics Private Limited (</w:t>
      </w:r>
      <w:r>
        <w:rPr>
          <w:b/>
        </w:rPr>
        <w:t>Kaveri</w:t>
      </w:r>
      <w:r>
        <w:t>) is a company incorporated in India with its registered office at Bengaluru, Karnataka. Founded in 2016, it provides temperature-controlled warehousing, reefer transport and port-side handling. It operates eleven facilities across southern India and a fleet of 140 reefer vehicles, and employs approximately 620 people.</w:t>
      </w:r>
    </w:p>
    <w:p>
      <w:r>
        <w:t xml:space="preserve">Kaveri raised institutional capital in 2022 and is regarded within the sector as one of the faster-growing independent cold chain operators in India. Its Managing Director is </w:t>
      </w:r>
      <w:r>
        <w:rPr>
          <w:b/>
        </w:rPr>
        <w:t>Mr Rohan Kaveri</w:t>
      </w:r>
      <w:r>
        <w:t>.</w:t>
      </w:r>
    </w:p>
    <w:p>
      <w:pPr>
        <w:spacing w:before="80" w:after="160"/>
        <w:pBdr>
          <w:bottom w:val="single" w:sz="6" w:space="1" w:color="C9D6DE"/>
        </w:pBdr>
      </w:pPr>
    </w:p>
    <w:p>
      <w:pPr>
        <w:pStyle w:val="Heading1"/>
        <w:pBdr>
          <w:bottom w:val="single" w:sz="8" w:space="4" w:color="C9D6DE"/>
        </w:pBdr>
      </w:pPr>
      <w:r>
        <w:t>2. The contract</w:t>
      </w:r>
    </w:p>
    <w:p>
      <w:r>
        <w:t xml:space="preserve">On </w:t>
      </w:r>
      <w:r>
        <w:rPr>
          <w:b/>
        </w:rPr>
        <w:t>14 March 2024</w:t>
      </w:r>
      <w:r>
        <w:t xml:space="preserve">, Sundara and Kaveri executed a </w:t>
      </w:r>
      <w:r>
        <w:rPr>
          <w:b/>
        </w:rPr>
        <w:t>Master Logistics Services Agreement</w:t>
      </w:r>
      <w:r>
        <w:t xml:space="preserve"> (</w:t>
      </w:r>
      <w:r>
        <w:rPr>
          <w:b/>
        </w:rPr>
        <w:t>the MLSA</w:t>
      </w:r>
      <w:r>
        <w:t>) for a term of three years.</w:t>
      </w:r>
    </w:p>
    <w:p>
      <w:r>
        <w:t>The material provisions are: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Clause</w:t>
            </w:r>
          </w:p>
        </w:tc>
        <w:tc>
          <w:tcPr>
            <w:tcW w:type="dxa" w:w="8607"/>
            <w:shd w:val="clear" w:color="auto" w:fill="10375C"/>
          </w:tcPr>
          <w:p>
            <w:pPr>
              <w:spacing w:after="50" w:before="50"/>
            </w:pPr>
            <w:r>
              <w:rPr>
                <w:b/>
                <w:color w:val="FFFFFF"/>
                <w:sz w:val="17"/>
              </w:rPr>
              <w:t>Provision, in summary</w:t>
            </w:r>
          </w:p>
        </w:tc>
      </w:tr>
      <w:tr>
        <w:tc>
          <w:tcPr>
            <w:tcW w:type="dxa" w:w="861"/>
          </w:tcPr>
          <w:p>
            <w:pPr>
              <w:spacing w:after="50" w:before="50" w:line="252" w:lineRule="auto"/>
            </w:pPr>
            <w:r>
              <w:rPr>
                <w:sz w:val="17"/>
              </w:rPr>
              <w:t>3.1</w:t>
            </w:r>
          </w:p>
        </w:tc>
        <w:tc>
          <w:tcPr>
            <w:tcW w:type="dxa" w:w="8607"/>
          </w:tcPr>
          <w:p>
            <w:pPr>
              <w:spacing w:after="50" w:before="50" w:line="252" w:lineRule="auto"/>
            </w:pPr>
            <w:r>
              <w:rPr>
                <w:sz w:val="17"/>
              </w:rPr>
              <w:t>Kaveri to provide temperature-controlled storage at its Coimbatore facility, reefer transport to Tuticorin Port, and port-side handling, for consignments notified by Sundara</w:t>
            </w:r>
          </w:p>
        </w:tc>
      </w:tr>
      <w:tr>
        <w:tc>
          <w:tcPr>
            <w:tcW w:type="dxa" w:w="861"/>
            <w:shd w:val="clear" w:color="auto" w:fill="EAF1F4"/>
          </w:tcPr>
          <w:p>
            <w:pPr>
              <w:spacing w:after="50" w:before="50" w:line="252" w:lineRule="auto"/>
            </w:pPr>
            <w:r>
              <w:rPr>
                <w:sz w:val="17"/>
              </w:rPr>
              <w:t>3.4</w:t>
            </w:r>
          </w:p>
        </w:tc>
        <w:tc>
          <w:tcPr>
            <w:tcW w:type="dxa" w:w="8607"/>
            <w:shd w:val="clear" w:color="auto" w:fill="EAF1F4"/>
          </w:tcPr>
          <w:p>
            <w:pPr>
              <w:spacing w:after="50" w:before="50" w:line="252" w:lineRule="auto"/>
            </w:pPr>
            <w:r>
              <w:rPr>
                <w:sz w:val="17"/>
              </w:rPr>
              <w:t>Kaveri to maintain product temperature within the range notified by Sundara for each commodity, and to maintain continuous electronic temperature logging from acceptance to delivery at the port terminal</w:t>
            </w:r>
          </w:p>
        </w:tc>
      </w:tr>
      <w:tr>
        <w:tc>
          <w:tcPr>
            <w:tcW w:type="dxa" w:w="861"/>
          </w:tcPr>
          <w:p>
            <w:pPr>
              <w:spacing w:after="50" w:before="50" w:line="252" w:lineRule="auto"/>
            </w:pPr>
            <w:r>
              <w:rPr>
                <w:sz w:val="17"/>
              </w:rPr>
              <w:t>4.2</w:t>
            </w:r>
          </w:p>
        </w:tc>
        <w:tc>
          <w:tcPr>
            <w:tcW w:type="dxa" w:w="8607"/>
          </w:tcPr>
          <w:p>
            <w:pPr>
              <w:spacing w:after="50" w:before="50" w:line="252" w:lineRule="auto"/>
            </w:pPr>
            <w:r>
              <w:rPr>
                <w:b/>
                <w:sz w:val="17"/>
              </w:rPr>
              <w:t>Sundara to deliver goods to Kaveri pre-cooled to the notified temperature, and to furnish a pre-cooling certificate with each consignment</w:t>
            </w:r>
          </w:p>
        </w:tc>
      </w:tr>
      <w:tr>
        <w:tc>
          <w:tcPr>
            <w:tcW w:type="dxa" w:w="861"/>
            <w:shd w:val="clear" w:color="auto" w:fill="EAF1F4"/>
          </w:tcPr>
          <w:p>
            <w:pPr>
              <w:spacing w:after="50" w:before="50" w:line="252" w:lineRule="auto"/>
            </w:pPr>
            <w:r>
              <w:rPr>
                <w:sz w:val="17"/>
              </w:rPr>
              <w:t>4.5</w:t>
            </w:r>
          </w:p>
        </w:tc>
        <w:tc>
          <w:tcPr>
            <w:tcW w:type="dxa" w:w="8607"/>
            <w:shd w:val="clear" w:color="auto" w:fill="EAF1F4"/>
          </w:tcPr>
          <w:p>
            <w:pPr>
              <w:spacing w:after="50" w:before="50" w:line="252" w:lineRule="auto"/>
            </w:pPr>
            <w:r>
              <w:rPr>
                <w:sz w:val="17"/>
              </w:rPr>
              <w:t>Sundara to notify commodity-specific temperature and humidity parameters not less than 48 hours before collection</w:t>
            </w:r>
          </w:p>
        </w:tc>
      </w:tr>
      <w:tr>
        <w:tc>
          <w:tcPr>
            <w:tcW w:type="dxa" w:w="861"/>
          </w:tcPr>
          <w:p>
            <w:pPr>
              <w:spacing w:after="50" w:before="50" w:line="252" w:lineRule="auto"/>
            </w:pPr>
            <w:r>
              <w:rPr>
                <w:sz w:val="17"/>
              </w:rPr>
              <w:t>7.1</w:t>
            </w:r>
          </w:p>
        </w:tc>
        <w:tc>
          <w:tcPr>
            <w:tcW w:type="dxa" w:w="8607"/>
          </w:tcPr>
          <w:p>
            <w:pPr>
              <w:spacing w:after="50" w:before="50" w:line="252" w:lineRule="auto"/>
            </w:pPr>
            <w:r>
              <w:rPr>
                <w:sz w:val="17"/>
              </w:rPr>
              <w:t>Kaveri to provide temperature log data to Sundara on request within 72 hours</w:t>
            </w:r>
          </w:p>
        </w:tc>
      </w:tr>
      <w:tr>
        <w:tc>
          <w:tcPr>
            <w:tcW w:type="dxa" w:w="861"/>
            <w:shd w:val="clear" w:color="auto" w:fill="EAF1F4"/>
          </w:tcPr>
          <w:p>
            <w:pPr>
              <w:spacing w:after="50" w:before="50" w:line="252" w:lineRule="auto"/>
            </w:pPr>
            <w:r>
              <w:rPr>
                <w:sz w:val="17"/>
              </w:rPr>
              <w:t>9.2</w:t>
            </w:r>
          </w:p>
        </w:tc>
        <w:tc>
          <w:tcPr>
            <w:tcW w:type="dxa" w:w="8607"/>
            <w:shd w:val="clear" w:color="auto" w:fill="EAF1F4"/>
          </w:tcPr>
          <w:p>
            <w:pPr>
              <w:spacing w:after="50" w:before="50" w:line="252" w:lineRule="auto"/>
            </w:pPr>
            <w:r>
              <w:rPr>
                <w:sz w:val="17"/>
              </w:rPr>
              <w:t>Neither party liable for delay or failure caused by an event beyond its reasonable control, including act of government, port closure, strike or lock-out affecting the port, provided that notice is given within 48 hours</w:t>
            </w:r>
          </w:p>
        </w:tc>
      </w:tr>
      <w:tr>
        <w:tc>
          <w:tcPr>
            <w:tcW w:type="dxa" w:w="861"/>
          </w:tcPr>
          <w:p>
            <w:pPr>
              <w:spacing w:after="50" w:before="50" w:line="252" w:lineRule="auto"/>
            </w:pPr>
            <w:r>
              <w:rPr>
                <w:sz w:val="17"/>
              </w:rPr>
              <w:t>11.1</w:t>
            </w:r>
          </w:p>
        </w:tc>
        <w:tc>
          <w:tcPr>
            <w:tcW w:type="dxa" w:w="8607"/>
          </w:tcPr>
          <w:p>
            <w:pPr>
              <w:spacing w:after="50" w:before="50" w:line="252" w:lineRule="auto"/>
            </w:pPr>
            <w:r>
              <w:rPr>
                <w:b/>
                <w:sz w:val="17"/>
              </w:rPr>
              <w:t>The aggregate liability of Kaveri under or in connection with the MLSA in any contract year shall not exceed the total fees paid by Sundara to Kaveri in the three months preceding the event giving rise to the claim</w:t>
            </w:r>
          </w:p>
        </w:tc>
      </w:tr>
      <w:tr>
        <w:tc>
          <w:tcPr>
            <w:tcW w:type="dxa" w:w="861"/>
            <w:shd w:val="clear" w:color="auto" w:fill="EAF1F4"/>
          </w:tcPr>
          <w:p>
            <w:pPr>
              <w:spacing w:after="50" w:before="50" w:line="252" w:lineRule="auto"/>
            </w:pPr>
            <w:r>
              <w:rPr>
                <w:sz w:val="17"/>
              </w:rPr>
              <w:t>11.3</w:t>
            </w:r>
          </w:p>
        </w:tc>
        <w:tc>
          <w:tcPr>
            <w:tcW w:type="dxa" w:w="8607"/>
            <w:shd w:val="clear" w:color="auto" w:fill="EAF1F4"/>
          </w:tcPr>
          <w:p>
            <w:pPr>
              <w:spacing w:after="50" w:before="50" w:line="252" w:lineRule="auto"/>
            </w:pPr>
            <w:r>
              <w:rPr>
                <w:sz w:val="17"/>
              </w:rPr>
              <w:t>Neither party liable for indirect or consequential loss, loss of profit, loss of contract or reputational loss</w:t>
            </w:r>
          </w:p>
        </w:tc>
      </w:tr>
      <w:tr>
        <w:tc>
          <w:tcPr>
            <w:tcW w:type="dxa" w:w="861"/>
          </w:tcPr>
          <w:p>
            <w:pPr>
              <w:spacing w:after="50" w:before="50" w:line="252" w:lineRule="auto"/>
            </w:pPr>
            <w:r>
              <w:rPr>
                <w:sz w:val="17"/>
              </w:rPr>
              <w:t>14.1</w:t>
            </w:r>
          </w:p>
        </w:tc>
        <w:tc>
          <w:tcPr>
            <w:tcW w:type="dxa" w:w="8607"/>
          </w:tcPr>
          <w:p>
            <w:pPr>
              <w:spacing w:after="50" w:before="50" w:line="252" w:lineRule="auto"/>
            </w:pPr>
            <w:r>
              <w:rPr>
                <w:sz w:val="17"/>
              </w:rPr>
              <w:t>Termination for material breach on 30 days' notice to remedy</w:t>
            </w:r>
          </w:p>
        </w:tc>
      </w:tr>
      <w:tr>
        <w:tc>
          <w:tcPr>
            <w:tcW w:type="dxa" w:w="861"/>
            <w:shd w:val="clear" w:color="auto" w:fill="EAF1F4"/>
          </w:tcPr>
          <w:p>
            <w:pPr>
              <w:spacing w:after="50" w:before="50" w:line="252" w:lineRule="auto"/>
            </w:pPr>
            <w:r>
              <w:rPr>
                <w:sz w:val="17"/>
              </w:rPr>
              <w:t>18</w:t>
            </w:r>
          </w:p>
        </w:tc>
        <w:tc>
          <w:tcPr>
            <w:tcW w:type="dxa" w:w="8607"/>
            <w:shd w:val="clear" w:color="auto" w:fill="EAF1F4"/>
          </w:tcPr>
          <w:p>
            <w:pPr>
              <w:spacing w:after="50" w:before="50" w:line="252" w:lineRule="auto"/>
            </w:pPr>
            <w:r>
              <w:rPr>
                <w:sz w:val="17"/>
              </w:rPr>
              <w:t>Disputes to be referred to mediation and thereafter to arbitration seated at Chennai</w:t>
            </w:r>
          </w:p>
        </w:tc>
      </w:tr>
    </w:tbl>
    <w:p>
      <w:pPr>
        <w:spacing w:after="80" w:before="0"/>
      </w:pPr>
    </w:p>
    <w:p>
      <w:r>
        <w:t xml:space="preserve">Fees paid by Sundara to Kaveri in the three months preceding the events below were </w:t>
      </w:r>
      <w:r>
        <w:rPr>
          <w:b/>
        </w:rPr>
        <w:t>₹42,10,000</w:t>
      </w:r>
      <w:r>
        <w:t>.</w:t>
      </w:r>
    </w:p>
    <w:p>
      <w:pPr>
        <w:spacing w:before="80" w:after="160"/>
        <w:pBdr>
          <w:bottom w:val="single" w:sz="6" w:space="1" w:color="C9D6DE"/>
        </w:pBdr>
      </w:pPr>
    </w:p>
    <w:p>
      <w:pPr>
        <w:pStyle w:val="Heading1"/>
        <w:pBdr>
          <w:bottom w:val="single" w:sz="8" w:space="4" w:color="C9D6DE"/>
        </w:pBdr>
      </w:pPr>
      <w:r>
        <w:t>3. The consignment</w:t>
      </w:r>
    </w:p>
    <w:p>
      <w:pPr>
        <w:pStyle w:val="Heading2"/>
      </w:pPr>
      <w:r>
        <w:t>3.1 The order</w:t>
      </w:r>
    </w:p>
    <w:p>
      <w:r>
        <w:t xml:space="preserve">In </w:t>
      </w:r>
      <w:r>
        <w:rPr>
          <w:b/>
        </w:rPr>
        <w:t>June 2025</w:t>
      </w:r>
      <w:r>
        <w:t xml:space="preserve">, Sundara received a purchase order from </w:t>
      </w:r>
      <w:r>
        <w:rPr>
          <w:b/>
        </w:rPr>
        <w:t>Nordheim Naturkost GmbH</w:t>
      </w:r>
      <w:r>
        <w:t xml:space="preserve"> (</w:t>
      </w:r>
      <w:r>
        <w:rPr>
          <w:b/>
        </w:rPr>
        <w:t>Nordheim</w:t>
      </w:r>
      <w:r>
        <w:t>), a German organic foods group and Sundara's largest European customer, for:</w:t>
      </w:r>
    </w:p>
    <w:p>
      <w:pPr>
        <w:pStyle w:val="ListBullet"/>
      </w:pPr>
      <w:r>
        <w:rPr>
          <w:sz w:val="21"/>
        </w:rPr>
        <w:t>42 metric tonnes of certified organic ground turmeric, and</w:t>
      </w:r>
    </w:p>
    <w:p>
      <w:pPr>
        <w:pStyle w:val="ListBullet"/>
      </w:pPr>
      <w:r>
        <w:rPr>
          <w:sz w:val="21"/>
        </w:rPr>
        <w:t>18 metric tonnes of certified organic black pepper,</w:t>
      </w:r>
    </w:p>
    <w:p>
      <w:r>
        <w:t xml:space="preserve">for delivery CIF Hamburg, invoice value </w:t>
      </w:r>
      <w:r>
        <w:rPr>
          <w:b/>
        </w:rPr>
        <w:t>€4,42,000</w:t>
      </w:r>
      <w:r>
        <w:t xml:space="preserve"> (approximately </w:t>
      </w:r>
      <w:r>
        <w:rPr>
          <w:b/>
        </w:rPr>
        <w:t>₹4.21 crore</w:t>
      </w:r>
      <w:r>
        <w:t>).</w:t>
      </w:r>
    </w:p>
    <w:p>
      <w:r>
        <w:t>Nordheim's purchase order incorporated its standard quality specification, which requires compliance with EU limits for mycotoxins, and provides that goods not conforming may be rejected in full.</w:t>
      </w:r>
    </w:p>
    <w:p>
      <w:pPr>
        <w:pStyle w:val="Heading2"/>
      </w:pPr>
      <w:r>
        <w:t>3.2 Movement of the consignment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94"/>
            <w:shd w:val="clear" w:color="auto" w:fill="10375C"/>
          </w:tcPr>
          <w:p>
            <w:pPr>
              <w:spacing w:after="50" w:before="50"/>
            </w:pPr>
            <w:r>
              <w:rPr>
                <w:b/>
                <w:color w:val="FFFFFF"/>
                <w:sz w:val="17"/>
              </w:rPr>
              <w:t>Date, 2025</w:t>
            </w:r>
          </w:p>
        </w:tc>
        <w:tc>
          <w:tcPr>
            <w:tcW w:type="dxa" w:w="6574"/>
            <w:shd w:val="clear" w:color="auto" w:fill="10375C"/>
          </w:tcPr>
          <w:p>
            <w:pPr>
              <w:spacing w:after="50" w:before="50"/>
            </w:pPr>
            <w:r>
              <w:rPr>
                <w:b/>
                <w:color w:val="FFFFFF"/>
                <w:sz w:val="17"/>
              </w:rPr>
              <w:t>Event</w:t>
            </w:r>
          </w:p>
        </w:tc>
      </w:tr>
      <w:tr>
        <w:tc>
          <w:tcPr>
            <w:tcW w:type="dxa" w:w="2894"/>
          </w:tcPr>
          <w:p>
            <w:pPr>
              <w:spacing w:after="50" w:before="50" w:line="252" w:lineRule="auto"/>
            </w:pPr>
            <w:r>
              <w:rPr>
                <w:sz w:val="17"/>
              </w:rPr>
              <w:t>2 August</w:t>
            </w:r>
          </w:p>
        </w:tc>
        <w:tc>
          <w:tcPr>
            <w:tcW w:type="dxa" w:w="6574"/>
          </w:tcPr>
          <w:p>
            <w:pPr>
              <w:spacing w:after="50" w:before="50" w:line="252" w:lineRule="auto"/>
            </w:pPr>
            <w:r>
              <w:rPr>
                <w:sz w:val="17"/>
              </w:rPr>
              <w:t>Sundara notified Kaveri of the consignment and of required parameters: product temperature not exceeding 20°C, relative humidity not exceeding 60%</w:t>
            </w:r>
          </w:p>
        </w:tc>
      </w:tr>
      <w:tr>
        <w:tc>
          <w:tcPr>
            <w:tcW w:type="dxa" w:w="2894"/>
            <w:shd w:val="clear" w:color="auto" w:fill="EAF1F4"/>
          </w:tcPr>
          <w:p>
            <w:pPr>
              <w:spacing w:after="50" w:before="50" w:line="252" w:lineRule="auto"/>
            </w:pPr>
            <w:r>
              <w:rPr>
                <w:sz w:val="17"/>
              </w:rPr>
              <w:t>6–7 August</w:t>
            </w:r>
          </w:p>
        </w:tc>
        <w:tc>
          <w:tcPr>
            <w:tcW w:type="dxa" w:w="6574"/>
            <w:shd w:val="clear" w:color="auto" w:fill="EAF1F4"/>
          </w:tcPr>
          <w:p>
            <w:pPr>
              <w:spacing w:after="50" w:before="50" w:line="252" w:lineRule="auto"/>
            </w:pPr>
            <w:r>
              <w:rPr>
                <w:sz w:val="17"/>
              </w:rPr>
              <w:t>Goods processed and packed at Pollachi</w:t>
            </w:r>
          </w:p>
        </w:tc>
      </w:tr>
      <w:tr>
        <w:tc>
          <w:tcPr>
            <w:tcW w:type="dxa" w:w="2894"/>
          </w:tcPr>
          <w:p>
            <w:pPr>
              <w:spacing w:after="50" w:before="50" w:line="252" w:lineRule="auto"/>
            </w:pPr>
            <w:r>
              <w:rPr>
                <w:sz w:val="17"/>
              </w:rPr>
              <w:t>8 August, 14:20</w:t>
            </w:r>
          </w:p>
        </w:tc>
        <w:tc>
          <w:tcPr>
            <w:tcW w:type="dxa" w:w="6574"/>
          </w:tcPr>
          <w:p>
            <w:pPr>
              <w:spacing w:after="50" w:before="50" w:line="252" w:lineRule="auto"/>
            </w:pPr>
            <w:r>
              <w:rPr>
                <w:sz w:val="17"/>
              </w:rPr>
              <w:t xml:space="preserve">Kaveri collected the consignment from Pollachi. Sundara furnished a pre-cooling certificate signed by its Quality Control Manager, </w:t>
            </w:r>
            <w:r>
              <w:rPr>
                <w:b/>
                <w:sz w:val="17"/>
              </w:rPr>
              <w:t>Mr Vetrivel Subramanian</w:t>
            </w:r>
            <w:r>
              <w:rPr>
                <w:sz w:val="17"/>
              </w:rPr>
              <w:t>, stating a product temperature of 18.4°C at loading</w:t>
            </w:r>
          </w:p>
        </w:tc>
      </w:tr>
      <w:tr>
        <w:tc>
          <w:tcPr>
            <w:tcW w:type="dxa" w:w="2894"/>
            <w:shd w:val="clear" w:color="auto" w:fill="EAF1F4"/>
          </w:tcPr>
          <w:p>
            <w:pPr>
              <w:spacing w:after="50" w:before="50" w:line="252" w:lineRule="auto"/>
            </w:pPr>
            <w:r>
              <w:rPr>
                <w:sz w:val="17"/>
              </w:rPr>
              <w:t>8 August, 19:50</w:t>
            </w:r>
          </w:p>
        </w:tc>
        <w:tc>
          <w:tcPr>
            <w:tcW w:type="dxa" w:w="6574"/>
            <w:shd w:val="clear" w:color="auto" w:fill="EAF1F4"/>
          </w:tcPr>
          <w:p>
            <w:pPr>
              <w:spacing w:after="50" w:before="50" w:line="252" w:lineRule="auto"/>
            </w:pPr>
            <w:r>
              <w:rPr>
                <w:sz w:val="17"/>
              </w:rPr>
              <w:t>Consignment received at Kaveri's Coimbatore facility and placed in temperature-controlled storage</w:t>
            </w:r>
          </w:p>
        </w:tc>
      </w:tr>
      <w:tr>
        <w:tc>
          <w:tcPr>
            <w:tcW w:type="dxa" w:w="2894"/>
          </w:tcPr>
          <w:p>
            <w:pPr>
              <w:spacing w:after="50" w:before="50" w:line="252" w:lineRule="auto"/>
            </w:pPr>
            <w:r>
              <w:rPr>
                <w:sz w:val="17"/>
              </w:rPr>
              <w:t>11 August, 06:15</w:t>
            </w:r>
          </w:p>
        </w:tc>
        <w:tc>
          <w:tcPr>
            <w:tcW w:type="dxa" w:w="6574"/>
          </w:tcPr>
          <w:p>
            <w:pPr>
              <w:spacing w:after="50" w:before="50" w:line="252" w:lineRule="auto"/>
            </w:pPr>
            <w:r>
              <w:rPr>
                <w:sz w:val="17"/>
              </w:rPr>
              <w:t>Consignment despatched by reefer vehicle to Tuticorin Port</w:t>
            </w:r>
          </w:p>
        </w:tc>
      </w:tr>
      <w:tr>
        <w:tc>
          <w:tcPr>
            <w:tcW w:type="dxa" w:w="2894"/>
            <w:shd w:val="clear" w:color="auto" w:fill="EAF1F4"/>
          </w:tcPr>
          <w:p>
            <w:pPr>
              <w:spacing w:after="50" w:before="50" w:line="252" w:lineRule="auto"/>
            </w:pPr>
            <w:r>
              <w:rPr>
                <w:sz w:val="17"/>
              </w:rPr>
              <w:t>11 August, 15:40</w:t>
            </w:r>
          </w:p>
        </w:tc>
        <w:tc>
          <w:tcPr>
            <w:tcW w:type="dxa" w:w="6574"/>
            <w:shd w:val="clear" w:color="auto" w:fill="EAF1F4"/>
          </w:tcPr>
          <w:p>
            <w:pPr>
              <w:spacing w:after="50" w:before="50" w:line="252" w:lineRule="auto"/>
            </w:pPr>
            <w:r>
              <w:rPr>
                <w:sz w:val="17"/>
              </w:rPr>
              <w:t>Consignment arrived at Tuticorin Port; handed to Kaveri's port-side handling team</w:t>
            </w:r>
          </w:p>
        </w:tc>
      </w:tr>
      <w:tr>
        <w:tc>
          <w:tcPr>
            <w:tcW w:type="dxa" w:w="2894"/>
          </w:tcPr>
          <w:p>
            <w:pPr>
              <w:spacing w:after="50" w:before="50" w:line="252" w:lineRule="auto"/>
            </w:pPr>
            <w:r>
              <w:rPr>
                <w:sz w:val="17"/>
              </w:rPr>
              <w:t>11 August, 17:00 – 12 August, 07:00</w:t>
            </w:r>
          </w:p>
        </w:tc>
        <w:tc>
          <w:tcPr>
            <w:tcW w:type="dxa" w:w="6574"/>
          </w:tcPr>
          <w:p>
            <w:pPr>
              <w:spacing w:after="50" w:before="50" w:line="252" w:lineRule="auto"/>
            </w:pPr>
            <w:r>
              <w:rPr>
                <w:b/>
                <w:sz w:val="17"/>
              </w:rPr>
              <w:t>Consignment held in the port-side holding area for approximately 14 hours.</w:t>
            </w:r>
            <w:r>
              <w:rPr>
                <w:sz w:val="17"/>
              </w:rPr>
              <w:t xml:space="preserve"> A flash strike by a section of port handling workers, called on the evening of 11 August, disrupted container movement across the port. Ambient temperature at Tuticorin on 11–12 August ranged between 27°C and 34°C</w:t>
            </w:r>
          </w:p>
        </w:tc>
      </w:tr>
      <w:tr>
        <w:tc>
          <w:tcPr>
            <w:tcW w:type="dxa" w:w="2894"/>
            <w:shd w:val="clear" w:color="auto" w:fill="EAF1F4"/>
          </w:tcPr>
          <w:p>
            <w:pPr>
              <w:spacing w:after="50" w:before="50" w:line="252" w:lineRule="auto"/>
            </w:pPr>
            <w:r>
              <w:rPr>
                <w:sz w:val="17"/>
              </w:rPr>
              <w:t>12 August, 09:30</w:t>
            </w:r>
          </w:p>
        </w:tc>
        <w:tc>
          <w:tcPr>
            <w:tcW w:type="dxa" w:w="6574"/>
            <w:shd w:val="clear" w:color="auto" w:fill="EAF1F4"/>
          </w:tcPr>
          <w:p>
            <w:pPr>
              <w:spacing w:after="50" w:before="50" w:line="252" w:lineRule="auto"/>
            </w:pPr>
            <w:r>
              <w:rPr>
                <w:sz w:val="17"/>
              </w:rPr>
              <w:t>Consignment stuffed into a reefer container and loaded</w:t>
            </w:r>
          </w:p>
        </w:tc>
      </w:tr>
      <w:tr>
        <w:tc>
          <w:tcPr>
            <w:tcW w:type="dxa" w:w="2894"/>
          </w:tcPr>
          <w:p>
            <w:pPr>
              <w:spacing w:after="50" w:before="50" w:line="252" w:lineRule="auto"/>
            </w:pPr>
            <w:r>
              <w:rPr>
                <w:sz w:val="17"/>
              </w:rPr>
              <w:t>13 August</w:t>
            </w:r>
          </w:p>
        </w:tc>
        <w:tc>
          <w:tcPr>
            <w:tcW w:type="dxa" w:w="6574"/>
          </w:tcPr>
          <w:p>
            <w:pPr>
              <w:spacing w:after="50" w:before="50" w:line="252" w:lineRule="auto"/>
            </w:pPr>
            <w:r>
              <w:rPr>
                <w:sz w:val="17"/>
              </w:rPr>
              <w:t>Vessel sailed</w:t>
            </w:r>
          </w:p>
        </w:tc>
      </w:tr>
      <w:tr>
        <w:tc>
          <w:tcPr>
            <w:tcW w:type="dxa" w:w="2894"/>
            <w:shd w:val="clear" w:color="auto" w:fill="EAF1F4"/>
          </w:tcPr>
          <w:p>
            <w:pPr>
              <w:spacing w:after="50" w:before="50" w:line="252" w:lineRule="auto"/>
            </w:pPr>
            <w:r>
              <w:rPr>
                <w:sz w:val="17"/>
              </w:rPr>
              <w:t>29 August</w:t>
            </w:r>
          </w:p>
        </w:tc>
        <w:tc>
          <w:tcPr>
            <w:tcW w:type="dxa" w:w="6574"/>
            <w:shd w:val="clear" w:color="auto" w:fill="EAF1F4"/>
          </w:tcPr>
          <w:p>
            <w:pPr>
              <w:spacing w:after="50" w:before="50" w:line="252" w:lineRule="auto"/>
            </w:pPr>
            <w:r>
              <w:rPr>
                <w:sz w:val="17"/>
              </w:rPr>
              <w:t>Vessel arrived Hamburg</w:t>
            </w:r>
          </w:p>
        </w:tc>
      </w:tr>
      <w:tr>
        <w:tc>
          <w:tcPr>
            <w:tcW w:type="dxa" w:w="2894"/>
          </w:tcPr>
          <w:p>
            <w:pPr>
              <w:spacing w:after="50" w:before="50" w:line="252" w:lineRule="auto"/>
            </w:pPr>
            <w:r>
              <w:rPr>
                <w:sz w:val="17"/>
              </w:rPr>
              <w:t>2 September</w:t>
            </w:r>
          </w:p>
        </w:tc>
        <w:tc>
          <w:tcPr>
            <w:tcW w:type="dxa" w:w="6574"/>
          </w:tcPr>
          <w:p>
            <w:pPr>
              <w:spacing w:after="50" w:before="50" w:line="252" w:lineRule="auto"/>
            </w:pPr>
            <w:r>
              <w:rPr>
                <w:sz w:val="17"/>
              </w:rPr>
              <w:t>Nordheim's inbound inspection</w:t>
            </w:r>
          </w:p>
        </w:tc>
      </w:tr>
    </w:tbl>
    <w:p>
      <w:pPr>
        <w:spacing w:after="80" w:before="0"/>
      </w:pPr>
    </w:p>
    <w:p>
      <w:pPr>
        <w:pStyle w:val="Heading2"/>
      </w:pPr>
      <w:r>
        <w:t>3.3 The rejection</w:t>
      </w:r>
    </w:p>
    <w:p>
      <w:r>
        <w:t xml:space="preserve">On </w:t>
      </w:r>
      <w:r>
        <w:rPr>
          <w:b/>
        </w:rPr>
        <w:t>4 September 2025</w:t>
      </w:r>
      <w:r>
        <w:t>, Nordheim notified Sundara that:</w:t>
      </w:r>
    </w:p>
    <w:p>
      <w:pPr>
        <w:pStyle w:val="ListBullet"/>
      </w:pPr>
      <w:r>
        <w:rPr>
          <w:sz w:val="21"/>
        </w:rPr>
        <w:t>moisture content in the turmeric lots exceeded specification;</w:t>
      </w:r>
    </w:p>
    <w:p>
      <w:pPr>
        <w:pStyle w:val="ListBullet"/>
      </w:pPr>
      <w:r>
        <w:rPr>
          <w:sz w:val="21"/>
        </w:rPr>
        <w:t>visible mould was present in 11 of 84 pallets; and</w:t>
      </w:r>
    </w:p>
    <w:p>
      <w:pPr>
        <w:pStyle w:val="ListBullet"/>
      </w:pPr>
      <w:r>
        <w:rPr>
          <w:sz w:val="21"/>
        </w:rPr>
        <w:t xml:space="preserve">laboratory testing of composite samples returned </w:t>
      </w:r>
      <w:r>
        <w:rPr>
          <w:b/>
          <w:sz w:val="21"/>
        </w:rPr>
        <w:t>aflatoxin levels above the applicable EU limit</w:t>
      </w:r>
      <w:r>
        <w:rPr>
          <w:sz w:val="21"/>
        </w:rPr>
        <w:t xml:space="preserve"> in the turmeric, and above specification but within the EU limit in the pepper.</w:t>
      </w:r>
    </w:p>
    <w:p>
      <w:r>
        <w:t xml:space="preserve">Nordheim rejected the </w:t>
      </w:r>
      <w:r>
        <w:rPr>
          <w:b/>
        </w:rPr>
        <w:t>entire consignment</w:t>
      </w:r>
      <w:r>
        <w:t>, invoked its standard terms, and required Sundara to arrange disposal at Sundara's cost. Disposal was completed on 26 September 2025 at a cost of €18,400.</w:t>
      </w:r>
    </w:p>
    <w:p>
      <w:r>
        <w:t xml:space="preserve">On </w:t>
      </w:r>
      <w:r>
        <w:rPr>
          <w:b/>
        </w:rPr>
        <w:t>19 September 2025</w:t>
      </w:r>
      <w:r>
        <w:t xml:space="preserve">, Nordheim wrote to Sundara stating that, pending the outcome of a root-cause investigation, it was </w:t>
      </w:r>
      <w:r>
        <w:rPr>
          <w:b/>
        </w:rPr>
        <w:t>suspending</w:t>
      </w:r>
      <w:r>
        <w:t xml:space="preserve"> further orders under the framework arrangement between them and would review the position at the end of the calendar year. Nordheim accounted for approximately </w:t>
      </w:r>
      <w:r>
        <w:rPr>
          <w:b/>
        </w:rPr>
        <w:t>34%</w:t>
      </w:r>
      <w:r>
        <w:t xml:space="preserve"> of Sundara's export revenue in the preceding year.</w:t>
      </w:r>
    </w:p>
    <w:p>
      <w:pPr>
        <w:spacing w:before="80" w:after="160"/>
        <w:pBdr>
          <w:bottom w:val="single" w:sz="6" w:space="1" w:color="C9D6DE"/>
        </w:pBdr>
      </w:pPr>
    </w:p>
    <w:p>
      <w:pPr>
        <w:pStyle w:val="Heading1"/>
        <w:pBdr>
          <w:bottom w:val="single" w:sz="8" w:space="4" w:color="C9D6DE"/>
        </w:pBdr>
      </w:pPr>
      <w:r>
        <w:t>4. The temperature data</w:t>
      </w:r>
    </w:p>
    <w:p>
      <w:r>
        <w:t>Sundara requested Kaveri's temperature log data on 8 September 2025. Kaveri provided data on 15 September 2025.</w:t>
      </w:r>
    </w:p>
    <w:p>
      <w:r>
        <w:t>The data provided shows:</w:t>
      </w:r>
    </w:p>
    <w:p>
      <w:pPr>
        <w:pStyle w:val="ListBullet"/>
      </w:pPr>
      <w:r>
        <w:rPr>
          <w:sz w:val="21"/>
        </w:rPr>
        <w:t>storage at the Coimbatore facility within the notified range throughout;</w:t>
      </w:r>
    </w:p>
    <w:p>
      <w:pPr>
        <w:pStyle w:val="ListBullet"/>
      </w:pPr>
      <w:r>
        <w:rPr>
          <w:sz w:val="21"/>
        </w:rPr>
        <w:t>in-transit temperatures between 17.8°C and 21.3°C;</w:t>
      </w:r>
    </w:p>
    <w:p>
      <w:pPr>
        <w:pStyle w:val="ListBullet"/>
      </w:pPr>
      <w:r>
        <w:rPr>
          <w:sz w:val="21"/>
        </w:rPr>
        <w:t xml:space="preserve">readings at the port-side holding area from 11 August 17:00 to </w:t>
      </w:r>
      <w:r>
        <w:rPr>
          <w:b/>
          <w:sz w:val="21"/>
        </w:rPr>
        <w:t>11 August 23:00</w:t>
      </w:r>
      <w:r>
        <w:rPr>
          <w:sz w:val="21"/>
        </w:rPr>
        <w:t>, rising from 22.1°C to 28.6°C; and</w:t>
      </w:r>
    </w:p>
    <w:p>
      <w:pPr>
        <w:pStyle w:val="ListBullet"/>
      </w:pPr>
      <w:r>
        <w:rPr>
          <w:b/>
          <w:sz w:val="21"/>
        </w:rPr>
        <w:t>no readings between 11 August 23:00 and 12 August 05:00</w:t>
      </w:r>
      <w:r>
        <w:rPr>
          <w:sz w:val="21"/>
        </w:rPr>
        <w:t>, a gap of six hours, after which readings resume at 26.9°C and fall to 21.4°C by the time of stuffing.</w:t>
      </w:r>
    </w:p>
    <w:p>
      <w:r>
        <w:t>Kaveri has stated that the gap is attributable to a logger battery failure in one of two units, and that the second unit's data was not retained because of an automated overwrite in its systems.</w:t>
      </w:r>
    </w:p>
    <w:p>
      <w:pPr>
        <w:spacing w:before="80" w:after="160"/>
        <w:pBdr>
          <w:bottom w:val="single" w:sz="6" w:space="1" w:color="C9D6DE"/>
        </w:pBdr>
      </w:pPr>
    </w:p>
    <w:p>
      <w:pPr>
        <w:pStyle w:val="Heading1"/>
        <w:pBdr>
          <w:bottom w:val="single" w:sz="8" w:space="4" w:color="C9D6DE"/>
        </w:pBdr>
      </w:pPr>
      <w:r>
        <w:t>5. The claim</w:t>
      </w:r>
    </w:p>
    <w:p>
      <w:r>
        <w:t xml:space="preserve">By notice dated </w:t>
      </w:r>
      <w:r>
        <w:rPr>
          <w:b/>
        </w:rPr>
        <w:t>10 October 2025</w:t>
      </w:r>
      <w:r>
        <w:t>, Sundara claimed from Kaveri:</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220"/>
            <w:shd w:val="clear" w:color="auto" w:fill="10375C"/>
          </w:tcPr>
          <w:p>
            <w:pPr>
              <w:spacing w:after="50" w:before="50"/>
            </w:pPr>
            <w:r>
              <w:rPr>
                <w:b/>
                <w:color w:val="FFFFFF"/>
                <w:sz w:val="17"/>
              </w:rPr>
              <w:t>Head</w:t>
            </w:r>
          </w:p>
        </w:tc>
        <w:tc>
          <w:tcPr>
            <w:tcW w:type="dxa" w:w="2248"/>
            <w:shd w:val="clear" w:color="auto" w:fill="10375C"/>
          </w:tcPr>
          <w:p>
            <w:pPr>
              <w:spacing w:after="50" w:before="50"/>
            </w:pPr>
            <w:r>
              <w:rPr>
                <w:b/>
                <w:color w:val="FFFFFF"/>
                <w:sz w:val="17"/>
              </w:rPr>
              <w:t>Amount</w:t>
            </w:r>
          </w:p>
        </w:tc>
      </w:tr>
      <w:tr>
        <w:tc>
          <w:tcPr>
            <w:tcW w:type="dxa" w:w="7220"/>
          </w:tcPr>
          <w:p>
            <w:pPr>
              <w:spacing w:after="50" w:before="50" w:line="252" w:lineRule="auto"/>
            </w:pPr>
            <w:r>
              <w:rPr>
                <w:sz w:val="17"/>
              </w:rPr>
              <w:t>Value of the rejected consignment</w:t>
            </w:r>
          </w:p>
        </w:tc>
        <w:tc>
          <w:tcPr>
            <w:tcW w:type="dxa" w:w="2248"/>
          </w:tcPr>
          <w:p>
            <w:pPr>
              <w:spacing w:after="50" w:before="50" w:line="252" w:lineRule="auto"/>
            </w:pPr>
            <w:r>
              <w:rPr>
                <w:sz w:val="17"/>
              </w:rPr>
              <w:t>₹4,21,00,000</w:t>
            </w:r>
          </w:p>
        </w:tc>
      </w:tr>
      <w:tr>
        <w:tc>
          <w:tcPr>
            <w:tcW w:type="dxa" w:w="7220"/>
            <w:shd w:val="clear" w:color="auto" w:fill="EAF1F4"/>
          </w:tcPr>
          <w:p>
            <w:pPr>
              <w:spacing w:after="50" w:before="50" w:line="252" w:lineRule="auto"/>
            </w:pPr>
            <w:r>
              <w:rPr>
                <w:sz w:val="17"/>
              </w:rPr>
              <w:t>Disposal and re-inspection costs</w:t>
            </w:r>
          </w:p>
        </w:tc>
        <w:tc>
          <w:tcPr>
            <w:tcW w:type="dxa" w:w="2248"/>
            <w:shd w:val="clear" w:color="auto" w:fill="EAF1F4"/>
          </w:tcPr>
          <w:p>
            <w:pPr>
              <w:spacing w:after="50" w:before="50" w:line="252" w:lineRule="auto"/>
            </w:pPr>
            <w:r>
              <w:rPr>
                <w:sz w:val="17"/>
              </w:rPr>
              <w:t>₹19,60,000</w:t>
            </w:r>
          </w:p>
        </w:tc>
      </w:tr>
      <w:tr>
        <w:tc>
          <w:tcPr>
            <w:tcW w:type="dxa" w:w="7220"/>
          </w:tcPr>
          <w:p>
            <w:pPr>
              <w:spacing w:after="50" w:before="50" w:line="252" w:lineRule="auto"/>
            </w:pPr>
            <w:r>
              <w:rPr>
                <w:sz w:val="17"/>
              </w:rPr>
              <w:t>Freight and associated charges</w:t>
            </w:r>
          </w:p>
        </w:tc>
        <w:tc>
          <w:tcPr>
            <w:tcW w:type="dxa" w:w="2248"/>
          </w:tcPr>
          <w:p>
            <w:pPr>
              <w:spacing w:after="50" w:before="50" w:line="252" w:lineRule="auto"/>
            </w:pPr>
            <w:r>
              <w:rPr>
                <w:sz w:val="17"/>
              </w:rPr>
              <w:t>₹31,40,000</w:t>
            </w:r>
          </w:p>
        </w:tc>
      </w:tr>
      <w:tr>
        <w:tc>
          <w:tcPr>
            <w:tcW w:type="dxa" w:w="7220"/>
            <w:shd w:val="clear" w:color="auto" w:fill="EAF1F4"/>
          </w:tcPr>
          <w:p>
            <w:pPr>
              <w:spacing w:after="50" w:before="50" w:line="252" w:lineRule="auto"/>
            </w:pPr>
            <w:r>
              <w:rPr>
                <w:sz w:val="17"/>
              </w:rPr>
              <w:t>Loss of margin on suspended Nordheim orders, six months</w:t>
            </w:r>
          </w:p>
        </w:tc>
        <w:tc>
          <w:tcPr>
            <w:tcW w:type="dxa" w:w="2248"/>
            <w:shd w:val="clear" w:color="auto" w:fill="EAF1F4"/>
          </w:tcPr>
          <w:p>
            <w:pPr>
              <w:spacing w:after="50" w:before="50" w:line="252" w:lineRule="auto"/>
            </w:pPr>
            <w:r>
              <w:rPr>
                <w:sz w:val="17"/>
              </w:rPr>
              <w:t>₹1,84,00,000</w:t>
            </w:r>
          </w:p>
        </w:tc>
      </w:tr>
      <w:tr>
        <w:tc>
          <w:tcPr>
            <w:tcW w:type="dxa" w:w="7220"/>
          </w:tcPr>
          <w:p>
            <w:pPr>
              <w:spacing w:after="50" w:before="50" w:line="252" w:lineRule="auto"/>
            </w:pPr>
            <w:r>
              <w:rPr>
                <w:sz w:val="17"/>
              </w:rPr>
              <w:t>Cost of independent investigation and re-certification audit</w:t>
            </w:r>
          </w:p>
        </w:tc>
        <w:tc>
          <w:tcPr>
            <w:tcW w:type="dxa" w:w="2248"/>
          </w:tcPr>
          <w:p>
            <w:pPr>
              <w:spacing w:after="50" w:before="50" w:line="252" w:lineRule="auto"/>
            </w:pPr>
            <w:r>
              <w:rPr>
                <w:sz w:val="17"/>
              </w:rPr>
              <w:t>₹24,00,000</w:t>
            </w:r>
          </w:p>
        </w:tc>
      </w:tr>
      <w:tr>
        <w:tc>
          <w:tcPr>
            <w:tcW w:type="dxa" w:w="7220"/>
            <w:shd w:val="clear" w:color="auto" w:fill="EAF1F4"/>
          </w:tcPr>
          <w:p>
            <w:pPr>
              <w:spacing w:after="50" w:before="50" w:line="252" w:lineRule="auto"/>
            </w:pPr>
            <w:r>
              <w:rPr>
                <w:b/>
                <w:sz w:val="17"/>
              </w:rPr>
              <w:t>Total</w:t>
            </w:r>
          </w:p>
        </w:tc>
        <w:tc>
          <w:tcPr>
            <w:tcW w:type="dxa" w:w="2248"/>
            <w:shd w:val="clear" w:color="auto" w:fill="EAF1F4"/>
          </w:tcPr>
          <w:p>
            <w:pPr>
              <w:spacing w:after="50" w:before="50" w:line="252" w:lineRule="auto"/>
            </w:pPr>
            <w:r>
              <w:rPr>
                <w:b/>
                <w:sz w:val="17"/>
              </w:rPr>
              <w:t>₹6,80,00,000</w:t>
            </w:r>
          </w:p>
        </w:tc>
      </w:tr>
    </w:tbl>
    <w:p>
      <w:pPr>
        <w:spacing w:after="80" w:before="0"/>
      </w:pPr>
    </w:p>
    <w:p>
      <w:r>
        <w:t>Sundara contends that Kaveri breached clause 3.4 by permitting a temperature excursion in the port-side holding area, and breached clause 7.1 by failing to maintain and provide continuous log data; that the excursion caused the moisture and mycotoxin failure; and that clause 11.1 does not avail Kaveri because the failure of the logging obligation was, on Sundara's case, a fundamental breach.</w:t>
      </w:r>
    </w:p>
    <w:p>
      <w:pPr>
        <w:pStyle w:val="Heading2"/>
      </w:pPr>
      <w:r>
        <w:t>5.1 Kaveri's response</w:t>
      </w:r>
    </w:p>
    <w:p>
      <w:r>
        <w:t xml:space="preserve">By letter dated </w:t>
      </w:r>
      <w:r>
        <w:rPr>
          <w:b/>
        </w:rPr>
        <w:t>31 October 2025</w:t>
      </w:r>
      <w:r>
        <w:t>, Kaveri denied liability, contending that:</w:t>
      </w:r>
    </w:p>
    <w:p>
      <w:pPr>
        <w:pStyle w:val="ListNumber"/>
      </w:pPr>
      <w:r>
        <w:rPr>
          <w:sz w:val="21"/>
        </w:rPr>
        <w:t>the delay at the port was caused by a strike and is an event within clause 9.2, of which notice was given on 12 August;</w:t>
      </w:r>
    </w:p>
    <w:p>
      <w:pPr>
        <w:pStyle w:val="ListNumber"/>
      </w:pPr>
      <w:r>
        <w:rPr>
          <w:sz w:val="21"/>
        </w:rPr>
        <w:t>an ambient excursion of a few hours in a sealed and insulated pallet configuration would not, on Kaveri's case, cause the moisture ingress and mycotoxin levels reported;</w:t>
      </w:r>
    </w:p>
    <w:p>
      <w:pPr>
        <w:pStyle w:val="ListNumber"/>
      </w:pPr>
      <w:r>
        <w:rPr>
          <w:sz w:val="21"/>
        </w:rPr>
        <w:t>the cause is more consistent with product having been inadequately dried or inadequately pre-cooled before collection, which is Sundara's obligation under clause 4.2;</w:t>
      </w:r>
    </w:p>
    <w:p>
      <w:pPr>
        <w:pStyle w:val="ListNumber"/>
      </w:pPr>
      <w:r>
        <w:rPr>
          <w:sz w:val="21"/>
        </w:rPr>
        <w:t>in any event, liability is capped by clause 11.1 at ₹42,10,000; and</w:t>
      </w:r>
    </w:p>
    <w:p>
      <w:pPr>
        <w:pStyle w:val="ListNumber"/>
      </w:pPr>
      <w:r>
        <w:rPr>
          <w:sz w:val="21"/>
        </w:rPr>
        <w:t>loss of margin on suspended orders and reputational loss are excluded by clause 11.3.</w:t>
      </w:r>
    </w:p>
    <w:p>
      <w:r>
        <w:t xml:space="preserve">Kaveri has offered, </w:t>
      </w:r>
      <w:r>
        <w:rPr>
          <w:b/>
        </w:rPr>
        <w:t>without admission of liability</w:t>
      </w:r>
      <w:r>
        <w:t>, a credit of ₹21,00,000 against future services.</w:t>
      </w:r>
    </w:p>
    <w:p>
      <w:pPr>
        <w:spacing w:before="80" w:after="160"/>
        <w:pBdr>
          <w:bottom w:val="single" w:sz="6" w:space="1" w:color="C9D6DE"/>
        </w:pBdr>
      </w:pPr>
    </w:p>
    <w:p>
      <w:pPr>
        <w:pStyle w:val="Heading1"/>
        <w:pBdr>
          <w:bottom w:val="single" w:sz="8" w:space="4" w:color="C9D6DE"/>
        </w:pBdr>
      </w:pPr>
      <w:r>
        <w:t>6. Proceedings</w:t>
      </w:r>
    </w:p>
    <w:p>
      <w:r>
        <w:t xml:space="preserve">On </w:t>
      </w:r>
      <w:r>
        <w:rPr>
          <w:b/>
        </w:rPr>
        <w:t>2 December 2025</w:t>
      </w:r>
      <w:r>
        <w:t xml:space="preserve">, Sundara initiated </w:t>
      </w:r>
      <w:r>
        <w:rPr>
          <w:b/>
        </w:rPr>
        <w:t>pre-institution mediation under section 12A of the Commercial Courts Act, 2015</w:t>
      </w:r>
      <w:r>
        <w:t>, and the parties have agreed to mediate under the Mediation Act, 2023.</w:t>
      </w:r>
    </w:p>
    <w:p>
      <w:r>
        <w:t>Both parties have confirmed that the persons attending the mediation have authority to settle.</w:t>
      </w:r>
    </w:p>
    <w:p>
      <w:pPr>
        <w:spacing w:before="80" w:after="160"/>
        <w:pBdr>
          <w:bottom w:val="single" w:sz="6" w:space="1" w:color="C9D6DE"/>
        </w:pBdr>
      </w:pPr>
    </w:p>
    <w:p>
      <w:pPr>
        <w:pStyle w:val="Heading1"/>
        <w:pBdr>
          <w:bottom w:val="single" w:sz="8" w:space="4" w:color="C9D6DE"/>
        </w:pBdr>
      </w:pPr>
      <w:r>
        <w:t>7. The mediation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19"/>
            <w:shd w:val="clear" w:color="auto" w:fill="10375C"/>
          </w:tcPr>
          <w:p>
            <w:pPr>
              <w:spacing w:after="50" w:before="50"/>
            </w:pPr>
            <w:r>
              <w:rPr>
                <w:b/>
                <w:color w:val="FFFFFF"/>
                <w:sz w:val="17"/>
              </w:rPr>
              <w:t>Item</w:t>
            </w:r>
          </w:p>
        </w:tc>
        <w:tc>
          <w:tcPr>
            <w:tcW w:type="dxa" w:w="6949"/>
            <w:shd w:val="clear" w:color="auto" w:fill="10375C"/>
          </w:tcPr>
          <w:p>
            <w:pPr>
              <w:spacing w:after="50" w:before="50"/>
            </w:pPr>
            <w:r>
              <w:rPr>
                <w:b/>
                <w:color w:val="FFFFFF"/>
                <w:sz w:val="17"/>
              </w:rPr>
              <w:t>Detail</w:t>
            </w:r>
          </w:p>
        </w:tc>
      </w:tr>
      <w:tr>
        <w:tc>
          <w:tcPr>
            <w:tcW w:type="dxa" w:w="2519"/>
          </w:tcPr>
          <w:p>
            <w:pPr>
              <w:spacing w:after="50" w:before="50" w:line="252" w:lineRule="auto"/>
            </w:pPr>
            <w:r>
              <w:rPr>
                <w:sz w:val="17"/>
              </w:rPr>
              <w:t>Attending for Sundara</w:t>
            </w:r>
          </w:p>
        </w:tc>
        <w:tc>
          <w:tcPr>
            <w:tcW w:type="dxa" w:w="6949"/>
          </w:tcPr>
          <w:p>
            <w:pPr>
              <w:spacing w:after="50" w:before="50" w:line="252" w:lineRule="auto"/>
            </w:pPr>
            <w:r>
              <w:rPr>
                <w:sz w:val="17"/>
              </w:rPr>
              <w:t>Ms Anjali Ramanathan, Managing Director, and its counsel</w:t>
            </w:r>
          </w:p>
        </w:tc>
      </w:tr>
      <w:tr>
        <w:tc>
          <w:tcPr>
            <w:tcW w:type="dxa" w:w="2519"/>
            <w:shd w:val="clear" w:color="auto" w:fill="EAF1F4"/>
          </w:tcPr>
          <w:p>
            <w:pPr>
              <w:spacing w:after="50" w:before="50" w:line="252" w:lineRule="auto"/>
            </w:pPr>
            <w:r>
              <w:rPr>
                <w:sz w:val="17"/>
              </w:rPr>
              <w:t>Attending for Kaveri</w:t>
            </w:r>
          </w:p>
        </w:tc>
        <w:tc>
          <w:tcPr>
            <w:tcW w:type="dxa" w:w="6949"/>
            <w:shd w:val="clear" w:color="auto" w:fill="EAF1F4"/>
          </w:tcPr>
          <w:p>
            <w:pPr>
              <w:spacing w:after="50" w:before="50" w:line="252" w:lineRule="auto"/>
            </w:pPr>
            <w:r>
              <w:rPr>
                <w:sz w:val="17"/>
              </w:rPr>
              <w:t>Mr Rohan Kaveri, Managing Director, and its counsel</w:t>
            </w:r>
          </w:p>
        </w:tc>
      </w:tr>
      <w:tr>
        <w:tc>
          <w:tcPr>
            <w:tcW w:type="dxa" w:w="2519"/>
          </w:tcPr>
          <w:p>
            <w:pPr>
              <w:spacing w:after="50" w:before="50" w:line="252" w:lineRule="auto"/>
            </w:pPr>
            <w:r>
              <w:rPr>
                <w:sz w:val="17"/>
              </w:rPr>
              <w:t>Mediator</w:t>
            </w:r>
          </w:p>
        </w:tc>
        <w:tc>
          <w:tcPr>
            <w:tcW w:type="dxa" w:w="6949"/>
          </w:tcPr>
          <w:p>
            <w:pPr>
              <w:spacing w:after="50" w:before="50" w:line="252" w:lineRule="auto"/>
            </w:pPr>
            <w:r>
              <w:rPr>
                <w:sz w:val="17"/>
              </w:rPr>
              <w:t>Appointed by agreement</w:t>
            </w:r>
          </w:p>
        </w:tc>
      </w:tr>
      <w:tr>
        <w:tc>
          <w:tcPr>
            <w:tcW w:type="dxa" w:w="2519"/>
            <w:shd w:val="clear" w:color="auto" w:fill="EAF1F4"/>
          </w:tcPr>
          <w:p>
            <w:pPr>
              <w:spacing w:after="50" w:before="50" w:line="252" w:lineRule="auto"/>
            </w:pPr>
            <w:r>
              <w:rPr>
                <w:sz w:val="17"/>
              </w:rPr>
              <w:t>Statutory framework</w:t>
            </w:r>
          </w:p>
        </w:tc>
        <w:tc>
          <w:tcPr>
            <w:tcW w:type="dxa" w:w="6949"/>
            <w:shd w:val="clear" w:color="auto" w:fill="EAF1F4"/>
          </w:tcPr>
          <w:p>
            <w:pPr>
              <w:spacing w:after="50" w:before="50" w:line="252" w:lineRule="auto"/>
            </w:pPr>
            <w:r>
              <w:rPr>
                <w:sz w:val="17"/>
              </w:rPr>
              <w:t>The Mediation Act, 2023; confidentiality under section 22 applies</w:t>
            </w:r>
          </w:p>
        </w:tc>
      </w:tr>
    </w:tbl>
    <w:p>
      <w:pPr>
        <w:spacing w:after="80" w:before="0"/>
      </w:pPr>
    </w:p>
    <w:p>
      <w:pPr>
        <w:spacing w:before="80" w:after="160"/>
        <w:pBdr>
          <w:bottom w:val="single" w:sz="6" w:space="1" w:color="C9D6DE"/>
        </w:pBdr>
      </w:pPr>
    </w:p>
    <w:p>
      <w:pPr>
        <w:pStyle w:val="Heading1"/>
        <w:pBdr>
          <w:bottom w:val="single" w:sz="8" w:space="4" w:color="C9D6DE"/>
        </w:pBdr>
      </w:pPr>
      <w:r>
        <w:t>8. Agreed background facts</w:t>
      </w:r>
    </w:p>
    <w:p>
      <w:pPr>
        <w:pStyle w:val="ListNumber"/>
      </w:pPr>
      <w:r>
        <w:rPr>
          <w:sz w:val="21"/>
        </w:rPr>
        <w:t>The MLSA remains in force. Neither party has given notice of termination.</w:t>
      </w:r>
    </w:p>
    <w:p>
      <w:pPr>
        <w:pStyle w:val="ListNumber"/>
      </w:pPr>
      <w:r>
        <w:rPr>
          <w:sz w:val="21"/>
        </w:rPr>
        <w:t>Sundara has continued to use Kaveri for domestic movements since September 2025, but has routed all export consignments through an alternative provider at a cost approximately 18% higher.</w:t>
      </w:r>
    </w:p>
    <w:p>
      <w:pPr>
        <w:pStyle w:val="ListNumber"/>
      </w:pPr>
      <w:r>
        <w:rPr>
          <w:sz w:val="21"/>
        </w:rPr>
        <w:t>Nordheim has not yet made a final decision on resumption of orders.</w:t>
      </w:r>
    </w:p>
    <w:p>
      <w:pPr>
        <w:pStyle w:val="ListNumber"/>
      </w:pPr>
      <w:r>
        <w:rPr>
          <w:sz w:val="21"/>
        </w:rPr>
        <w:t>No claim has been made by Sundara against any farmer or against its own certification body.</w:t>
      </w:r>
    </w:p>
    <w:p>
      <w:pPr>
        <w:pStyle w:val="ListNumber"/>
      </w:pPr>
      <w:r>
        <w:rPr>
          <w:sz w:val="21"/>
        </w:rPr>
        <w:t>Kaveri's insurers have been notified.</w:t>
      </w:r>
    </w:p>
    <w:p>
      <w:pPr>
        <w:pStyle w:val="ListNumber"/>
      </w:pPr>
      <w:r>
        <w:rPr>
          <w:sz w:val="21"/>
        </w:rPr>
        <w:t>Neither party has made any public statement about the incident.</w:t>
      </w:r>
    </w:p>
    <w:p>
      <w:pPr>
        <w:pStyle w:val="ListNumber"/>
      </w:pPr>
      <w:r>
        <w:rPr>
          <w:sz w:val="21"/>
        </w:rPr>
        <w:t xml:space="preserve">Independent laboratory analysis commissioned jointly in November 2025 concluded that the mycotoxin levels were </w:t>
      </w:r>
      <w:r>
        <w:rPr>
          <w:i/>
          <w:sz w:val="21"/>
        </w:rPr>
        <w:t>consistent with</w:t>
      </w:r>
      <w:r>
        <w:rPr>
          <w:sz w:val="21"/>
        </w:rPr>
        <w:t xml:space="preserve"> moisture ingress at some point in the supply chain, but that it was </w:t>
      </w:r>
      <w:r>
        <w:rPr>
          <w:b/>
          <w:sz w:val="21"/>
        </w:rPr>
        <w:t>not possible on the available data to identify with confidence when or where the moisture ingress occurred</w:t>
      </w:r>
      <w:r>
        <w:rPr>
          <w:sz w:val="21"/>
        </w:rPr>
        <w:t>, in part because of the gap in the temperature record.</w:t>
      </w:r>
    </w:p>
    <w:p>
      <w:pPr>
        <w:spacing w:before="80" w:after="160"/>
        <w:pBdr>
          <w:bottom w:val="single" w:sz="6" w:space="1" w:color="C9D6DE"/>
        </w:pBdr>
      </w:pPr>
    </w:p>
    <w:p>
      <w:pPr>
        <w:pStyle w:val="Heading1"/>
        <w:pBdr>
          <w:bottom w:val="single" w:sz="8" w:space="4" w:color="C9D6DE"/>
        </w:pBdr>
      </w:pPr>
      <w:r>
        <w:t>9. Note on scoring</w:t>
      </w:r>
    </w:p>
    <w:p>
      <w:r>
        <w:t>You are scored on how effectively you advance your own party's interests through a mediated process, work with the other party, work with the mediator, and function as a team.</w:t>
      </w:r>
    </w:p>
    <w:p>
      <w:r>
        <w:rPr>
          <w:b/>
        </w:rPr>
        <w:t>There is no requirement to settle, and no marks are awarded for settling.</w:t>
      </w:r>
      <w:r>
        <w:t xml:space="preserve"> A settlement that poorly serves your client will score below a well-conducted mediation that does not settle.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Competition Problem — General Information</w:t>
    </w:r>
    <w:r>
      <w:rPr>
        <w:rFonts w:ascii="Calibri" w:hAnsi="Calibri"/>
        <w:color w:val="595959"/>
        <w:sz w:val="16"/>
      </w:rPr>
      <w:tab/>
      <w:t>Confidential until released. Public thereafter.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F3200FE-414E-461A-A8DB-A72CF6E353D3}"/>
</file>

<file path=customXml/itemProps3.xml><?xml version="1.0" encoding="utf-8"?>
<ds:datastoreItem xmlns:ds="http://schemas.openxmlformats.org/officeDocument/2006/customXml" ds:itemID="{A2034481-32CC-482F-9EDC-AC6B1930CA3F}"/>
</file>

<file path=customXml/itemProps4.xml><?xml version="1.0" encoding="utf-8"?>
<ds:datastoreItem xmlns:ds="http://schemas.openxmlformats.org/officeDocument/2006/customXml" ds:itemID="{15F1D296-B9C7-496C-B03A-5DFEE41FB73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