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Confidential Information — Sundara Organics</w:t>
      </w:r>
    </w:p>
    <w:p>
      <w:pPr>
        <w:spacing w:after="280" w:line="276" w:lineRule="auto"/>
      </w:pPr>
      <w:r>
        <w:rPr>
          <w:rFonts w:ascii="Calibri" w:hAnsi="Calibri"/>
          <w:i/>
          <w:color w:val="3E6B8A"/>
          <w:sz w:val="25"/>
        </w:rPr>
        <w:t>For the team representing the Claimant only. Not to be disclosed to the opposing team.</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STRICTLY CONFIDENTIAL — Claimant side only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spacing w:before="140" w:after="140"/>
        <w:ind w:left="198" w:right="113"/>
        <w:shd w:val="clear" w:color="auto" w:fill="EAF1F4"/>
        <w:pBdr>
          <w:left w:val="single" w:sz="18" w:space="6" w:color="0E7C7B"/>
        </w:pBdr>
      </w:pPr>
      <w:r>
        <w:rPr>
          <w:b/>
          <w:sz w:val="19"/>
        </w:rPr>
        <w:t>This document is for the team representing Sundara Organics Private Limited only.</w:t>
      </w:r>
      <w:r>
        <w:rPr>
          <w:sz w:val="19"/>
        </w:rPr>
        <w:t xml:space="preserve"> You must not show it to, discuss it with, or summarise it for any person representing Kaveri Cold Chain Logistics Private Limited. You may disclose any part of its contents during the mediation if you judge that doing so advances your client's interests — that judgement is yours to make, and it is part of what is being assessed.</w:t>
      </w:r>
    </w:p>
    <w:p>
      <w:pPr>
        <w:spacing w:before="80" w:after="160"/>
        <w:pBdr>
          <w:bottom w:val="single" w:sz="6" w:space="1" w:color="C9D6DE"/>
        </w:pBdr>
      </w:pPr>
    </w:p>
    <w:p>
      <w:pPr>
        <w:pStyle w:val="Heading1"/>
        <w:pBdr>
          <w:bottom w:val="single" w:sz="8" w:space="4" w:color="C9D6DE"/>
        </w:pBdr>
      </w:pPr>
      <w:r>
        <w:t>1. What Ms Ramanathan actually needs</w:t>
      </w:r>
    </w:p>
    <w:p>
      <w:r>
        <w:t>Anjali Ramanathan took over from her father in 2021. She has spent four years persuading European buyers that a mid-sized Indian exporter can meet the same traceability standards as a multinational. That is the business she has built, and it is the thing she is protecting.</w:t>
      </w:r>
    </w:p>
    <w:p>
      <w:r>
        <w:rPr>
          <w:b/>
        </w:rPr>
        <w:t>The claim is not really about ₹6.8 crore.</w:t>
      </w:r>
      <w:r>
        <w:t xml:space="preserve"> It is about three things, in this order of importance to her:</w:t>
      </w:r>
    </w:p>
    <w:p>
      <w:pPr>
        <w:pStyle w:val="ListNumber"/>
      </w:pPr>
      <w:r>
        <w:rPr>
          <w:b/>
          <w:sz w:val="21"/>
        </w:rPr>
        <w:t>The Nordheim relationship.</w:t>
      </w:r>
      <w:r>
        <w:rPr>
          <w:sz w:val="21"/>
        </w:rPr>
        <w:t xml:space="preserve"> Nordheim is 34% of export revenue and, more importantly, is the reference customer she names when approaching other European buyers. If Nordheim terminates rather than resumes, the damage substantially exceeds the value of the consignment.</w:t>
      </w:r>
    </w:p>
    <w:p>
      <w:pPr>
        <w:pStyle w:val="ListNumber"/>
      </w:pPr>
      <w:r>
        <w:rPr>
          <w:b/>
          <w:sz w:val="21"/>
        </w:rPr>
        <w:t>The attribution of cause.</w:t>
      </w:r>
      <w:r>
        <w:rPr>
          <w:sz w:val="21"/>
        </w:rPr>
        <w:t xml:space="preserve"> Nordheim's suspension letter said the position would be reviewed after a root-cause investigation. What Nordheim is really deciding is whether the failure originated in Sundara's </w:t>
      </w:r>
      <w:r>
        <w:rPr>
          <w:i/>
          <w:sz w:val="21"/>
        </w:rPr>
        <w:t>farms and processing</w:t>
      </w:r>
      <w:r>
        <w:rPr>
          <w:sz w:val="21"/>
        </w:rPr>
        <w:t xml:space="preserve"> — which would call the whole traceability proposition into question — or downstream in </w:t>
      </w:r>
      <w:r>
        <w:rPr>
          <w:i/>
          <w:sz w:val="21"/>
        </w:rPr>
        <w:t>logistics</w:t>
      </w:r>
      <w:r>
        <w:rPr>
          <w:sz w:val="21"/>
        </w:rPr>
        <w:t xml:space="preserve">, which is a fixable supplier problem. </w:t>
      </w:r>
      <w:r>
        <w:rPr>
          <w:b/>
          <w:sz w:val="21"/>
        </w:rPr>
        <w:t>Sundara needs a credible written statement that the failure was not attributable to its agronomy, its farmers or its organic certification.</w:t>
      </w:r>
      <w:r>
        <w:rPr>
          <w:sz w:val="21"/>
        </w:rPr>
        <w:t xml:space="preserve"> That document is worth more to Sundara than several crore.</w:t>
      </w:r>
    </w:p>
    <w:p>
      <w:pPr>
        <w:pStyle w:val="ListNumber"/>
      </w:pPr>
      <w:r>
        <w:rPr>
          <w:b/>
          <w:sz w:val="21"/>
        </w:rPr>
        <w:t>Money</w:t>
      </w:r>
      <w:r>
        <w:rPr>
          <w:sz w:val="21"/>
        </w:rPr>
        <w:t>, to cover the direct loss and to fund the re-certification audit.</w:t>
      </w:r>
    </w:p>
    <w:p>
      <w:pPr>
        <w:spacing w:before="80" w:after="160"/>
        <w:pBdr>
          <w:bottom w:val="single" w:sz="6" w:space="1" w:color="C9D6DE"/>
        </w:pBdr>
      </w:pPr>
    </w:p>
    <w:p>
      <w:pPr>
        <w:pStyle w:val="Heading1"/>
        <w:pBdr>
          <w:bottom w:val="single" w:sz="8" w:space="4" w:color="C9D6DE"/>
        </w:pBdr>
      </w:pPr>
      <w:r>
        <w:t>2. The investment that is at stake</w:t>
      </w:r>
    </w:p>
    <w:p>
      <w:r>
        <w:rPr>
          <w:b/>
        </w:rPr>
        <w:t>This is the fact that most changes your position, and it is the one you must think hardest about disclosing.</w:t>
      </w:r>
    </w:p>
    <w:p>
      <w:r>
        <w:t xml:space="preserve">In April 2025, Sundara signed a non-binding term sheet with </w:t>
      </w:r>
      <w:r>
        <w:rPr>
          <w:b/>
        </w:rPr>
        <w:t>Brackenfeld Beteiligungen AG</w:t>
      </w:r>
      <w:r>
        <w:t>, a European family investment office active in organic and speciality food supply chains, for:</w:t>
      </w:r>
    </w:p>
    <w:p>
      <w:pPr>
        <w:pStyle w:val="ListBullet"/>
      </w:pPr>
      <w:r>
        <w:rPr>
          <w:sz w:val="21"/>
        </w:rPr>
        <w:t xml:space="preserve">a minority investment of </w:t>
      </w:r>
      <w:r>
        <w:rPr>
          <w:b/>
          <w:sz w:val="21"/>
        </w:rPr>
        <w:t>€6 million for 22%</w:t>
      </w:r>
      <w:r>
        <w:rPr>
          <w:sz w:val="21"/>
        </w:rPr>
        <w:t xml:space="preserve"> of Sundara, and</w:t>
      </w:r>
    </w:p>
    <w:p>
      <w:pPr>
        <w:pStyle w:val="ListBullet"/>
      </w:pPr>
      <w:r>
        <w:rPr>
          <w:sz w:val="21"/>
        </w:rPr>
        <w:t>a five-year offtake and distribution arrangement across three European markets.</w:t>
      </w:r>
    </w:p>
    <w:p>
      <w:r>
        <w:t xml:space="preserve">Confirmatory due diligence began in September 2025. It is expected to conclude in </w:t>
      </w:r>
      <w:r>
        <w:rPr>
          <w:b/>
        </w:rPr>
        <w:t>February 2026</w:t>
      </w:r>
      <w:r>
        <w:t>.</w:t>
      </w:r>
    </w:p>
    <w:p>
      <w:r>
        <w:t>Two features of the term sheet matter:</w:t>
      </w:r>
    </w:p>
    <w:p>
      <w:pPr>
        <w:pStyle w:val="ListBullet"/>
      </w:pPr>
      <w:r>
        <w:rPr>
          <w:b/>
          <w:sz w:val="21"/>
        </w:rPr>
        <w:t>Clause 8.3</w:t>
      </w:r>
      <w:r>
        <w:rPr>
          <w:sz w:val="21"/>
        </w:rPr>
        <w:t xml:space="preserve"> requires Sundara to disclose all material litigation and arbitration, actual or threatened, and any dispute with a value exceeding €250,000.</w:t>
      </w:r>
    </w:p>
    <w:p>
      <w:pPr>
        <w:pStyle w:val="ListBullet"/>
      </w:pPr>
      <w:r>
        <w:rPr>
          <w:b/>
          <w:sz w:val="21"/>
        </w:rPr>
        <w:t>Clause 11.1</w:t>
      </w:r>
      <w:r>
        <w:rPr>
          <w:sz w:val="21"/>
        </w:rPr>
        <w:t xml:space="preserve"> entitles Brackenfeld to withdraw or to reprice if disclosed matters materially alter the risk profile.</w:t>
      </w:r>
    </w:p>
    <w:p>
      <w:r>
        <w:t xml:space="preserve">Sundara's advisers have told Ms Ramanathan that a </w:t>
      </w:r>
      <w:r>
        <w:rPr>
          <w:b/>
        </w:rPr>
        <w:t>disclosed, unresolved, six-crore claim against its logistics provider, arising out of a rejected consignment and an unexplained quality failure, is the single largest risk to the transaction.</w:t>
      </w:r>
      <w:r>
        <w:t xml:space="preserve"> An arbitration, once commenced, would in their view make completion in February very unlikely.</w:t>
      </w:r>
    </w:p>
    <w:p>
      <w:r>
        <w:rPr>
          <w:b/>
        </w:rPr>
        <w:t>A settlement concluded and documented before the end of January 2026 removes the problem entirely.</w:t>
      </w:r>
    </w:p>
    <w:p>
      <w:r>
        <w:t>Ms Ramanathan has not told Kaveri about Brackenfeld. She is conscious that if she does, she loses negotiating leverage — Kaveri would know she needs this closed. She is also conscious that Kaveri, in the same sector, will hear about it eventually.</w:t>
      </w:r>
    </w:p>
    <w:p>
      <w:pPr>
        <w:spacing w:before="80" w:after="160"/>
        <w:pBdr>
          <w:bottom w:val="single" w:sz="6" w:space="1" w:color="C9D6DE"/>
        </w:pBdr>
      </w:pPr>
    </w:p>
    <w:p>
      <w:pPr>
        <w:pStyle w:val="Heading1"/>
        <w:pBdr>
          <w:bottom w:val="single" w:sz="8" w:space="4" w:color="C9D6DE"/>
        </w:pBdr>
      </w:pPr>
      <w:r>
        <w:t>3. The internal problem</w:t>
      </w:r>
    </w:p>
    <w:p>
      <w:r>
        <w:rPr>
          <w:b/>
        </w:rPr>
        <w:t>Read this carefully. It is uncomfortable and it constrains you.</w:t>
      </w:r>
    </w:p>
    <w:p>
      <w:r>
        <w:t>Sundara's internal review, completed in October 2025, found:</w:t>
      </w:r>
    </w:p>
    <w:p>
      <w:pPr>
        <w:pStyle w:val="ListBullet"/>
      </w:pPr>
      <w:r>
        <w:rPr>
          <w:sz w:val="21"/>
        </w:rPr>
        <w:t>The pre-cooling certificate for the consignment was signed by Mr Vetrivel Subramanian, Quality Control Manager, at 14:20 on 8 August, recording a product temperature of 18.4°C.</w:t>
      </w:r>
    </w:p>
    <w:p>
      <w:pPr>
        <w:pStyle w:val="ListBullet"/>
      </w:pPr>
      <w:r>
        <w:rPr>
          <w:sz w:val="21"/>
        </w:rPr>
        <w:t xml:space="preserve">Sundara's own facility logs show that the blast-cooling unit in Bay 2 was </w:t>
      </w:r>
      <w:r>
        <w:rPr>
          <w:b/>
          <w:sz w:val="21"/>
        </w:rPr>
        <w:t>out of service for repair from 6 August to 9 August</w:t>
      </w:r>
      <w:r>
        <w:rPr>
          <w:sz w:val="21"/>
        </w:rPr>
        <w:t>.</w:t>
      </w:r>
    </w:p>
    <w:p>
      <w:pPr>
        <w:pStyle w:val="ListBullet"/>
      </w:pPr>
      <w:r>
        <w:rPr>
          <w:sz w:val="21"/>
        </w:rPr>
        <w:t>Mr Subramanian, when questioned, said he recorded the reading from a handheld probe on the outermost pallets and that the reading was accurate for those pallets. He accepts he did not probe the interior of the stack, which is what the standard operating procedure requires.</w:t>
      </w:r>
    </w:p>
    <w:p>
      <w:pPr>
        <w:pStyle w:val="ListBullet"/>
      </w:pPr>
      <w:r>
        <w:rPr>
          <w:sz w:val="21"/>
        </w:rPr>
        <w:t xml:space="preserve">Sundara's technical adviser believes it is </w:t>
      </w:r>
      <w:r>
        <w:rPr>
          <w:b/>
          <w:sz w:val="21"/>
        </w:rPr>
        <w:t>possible, though unproven, that part of the consignment left Pollachi at a product temperature above 20°C</w:t>
      </w:r>
      <w:r>
        <w:rPr>
          <w:sz w:val="21"/>
        </w:rPr>
        <w:t xml:space="preserve"> — perhaps 23°C to 25°C in the interior of the stack.</w:t>
      </w:r>
    </w:p>
    <w:p>
      <w:r>
        <w:t>Ms Ramanathan has taken the view that this does not excuse a fourteen-hour excursion in ambient conditions of up to 34°C, nor a six-hour hole in the temperature record. But she knows that:</w:t>
      </w:r>
    </w:p>
    <w:p>
      <w:pPr>
        <w:pStyle w:val="ListBullet"/>
      </w:pPr>
      <w:r>
        <w:rPr>
          <w:sz w:val="21"/>
        </w:rPr>
        <w:t xml:space="preserve">if this emerges in an arbitration, through disclosure or through cross-examination of Mr Subramanian, </w:t>
      </w:r>
      <w:r>
        <w:rPr>
          <w:b/>
          <w:sz w:val="21"/>
        </w:rPr>
        <w:t>Sundara's claim is materially weakened and Sundara's own certification is exposed to question</w:t>
      </w:r>
      <w:r>
        <w:rPr>
          <w:sz w:val="21"/>
        </w:rPr>
        <w:t>;</w:t>
      </w:r>
    </w:p>
    <w:p>
      <w:pPr>
        <w:pStyle w:val="ListBullet"/>
      </w:pPr>
      <w:r>
        <w:rPr>
          <w:sz w:val="21"/>
        </w:rPr>
        <w:t>Brackenfeld's due diligence includes a quality systems review; and</w:t>
      </w:r>
    </w:p>
    <w:p>
      <w:pPr>
        <w:pStyle w:val="ListBullet"/>
      </w:pPr>
      <w:r>
        <w:rPr>
          <w:sz w:val="21"/>
        </w:rPr>
        <w:t>the pre-cooling certificate is, on one view, inaccurate — which is a different and worse problem than a logistics failure.</w:t>
      </w:r>
    </w:p>
    <w:p>
      <w:r>
        <w:t>Mr Subramanian has been with Sundara for eleven years. He is not being dismissed. The blast-cooling unit has been replaced and the standard operating procedure has been revised to require interior probing and dual sign-off.</w:t>
      </w:r>
    </w:p>
    <w:p>
      <w:r>
        <w:rPr>
          <w:b/>
        </w:rPr>
        <w:t>You must decide how much of this to disclose, to whom, and when.</w:t>
      </w:r>
      <w:r>
        <w:t xml:space="preserve"> Disclosing it in caucus to the mediator is a different decision from disclosing it across the table.</w:t>
      </w:r>
    </w:p>
    <w:p>
      <w:pPr>
        <w:spacing w:before="80" w:after="160"/>
        <w:pBdr>
          <w:bottom w:val="single" w:sz="6" w:space="1" w:color="C9D6DE"/>
        </w:pBdr>
      </w:pPr>
    </w:p>
    <w:p>
      <w:pPr>
        <w:pStyle w:val="Heading1"/>
        <w:pBdr>
          <w:bottom w:val="single" w:sz="8" w:space="4" w:color="C9D6DE"/>
        </w:pBdr>
      </w:pPr>
      <w:r>
        <w:t>4. Commercial position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725"/>
            <w:shd w:val="clear" w:color="auto" w:fill="10375C"/>
          </w:tcPr>
          <w:p>
            <w:pPr>
              <w:spacing w:after="50" w:before="50"/>
            </w:pPr>
            <w:r>
              <w:rPr>
                <w:b/>
                <w:color w:val="FFFFFF"/>
                <w:sz w:val="17"/>
              </w:rPr>
              <w:t>Item</w:t>
            </w:r>
          </w:p>
        </w:tc>
        <w:tc>
          <w:tcPr>
            <w:tcW w:type="dxa" w:w="5743"/>
            <w:shd w:val="clear" w:color="auto" w:fill="10375C"/>
          </w:tcPr>
          <w:p>
            <w:pPr>
              <w:spacing w:after="50" w:before="50"/>
            </w:pPr>
            <w:r>
              <w:rPr>
                <w:b/>
                <w:color w:val="FFFFFF"/>
                <w:sz w:val="17"/>
              </w:rPr>
              <w:t>Position</w:t>
            </w:r>
          </w:p>
        </w:tc>
      </w:tr>
      <w:tr>
        <w:tc>
          <w:tcPr>
            <w:tcW w:type="dxa" w:w="3725"/>
          </w:tcPr>
          <w:p>
            <w:pPr>
              <w:spacing w:after="50" w:before="50" w:line="252" w:lineRule="auto"/>
            </w:pPr>
            <w:r>
              <w:rPr>
                <w:sz w:val="17"/>
              </w:rPr>
              <w:t>Direct loss actually suffered</w:t>
            </w:r>
          </w:p>
        </w:tc>
        <w:tc>
          <w:tcPr>
            <w:tcW w:type="dxa" w:w="5743"/>
          </w:tcPr>
          <w:p>
            <w:pPr>
              <w:spacing w:after="50" w:before="50" w:line="252" w:lineRule="auto"/>
            </w:pPr>
            <w:r>
              <w:rPr>
                <w:sz w:val="17"/>
              </w:rPr>
              <w:t xml:space="preserve">Consignment ₹4.21 crore, disposal ₹19.6 lakh, freight ₹31.4 lakh — approximately </w:t>
            </w:r>
            <w:r>
              <w:rPr>
                <w:b/>
                <w:sz w:val="17"/>
              </w:rPr>
              <w:t>₹4.72 crore</w:t>
            </w:r>
          </w:p>
        </w:tc>
      </w:tr>
      <w:tr>
        <w:tc>
          <w:tcPr>
            <w:tcW w:type="dxa" w:w="3725"/>
            <w:shd w:val="clear" w:color="auto" w:fill="EAF1F4"/>
          </w:tcPr>
          <w:p>
            <w:pPr>
              <w:spacing w:after="50" w:before="50" w:line="252" w:lineRule="auto"/>
            </w:pPr>
            <w:r>
              <w:rPr>
                <w:sz w:val="17"/>
              </w:rPr>
              <w:t>Insurance recovery</w:t>
            </w:r>
          </w:p>
        </w:tc>
        <w:tc>
          <w:tcPr>
            <w:tcW w:type="dxa" w:w="5743"/>
            <w:shd w:val="clear" w:color="auto" w:fill="EAF1F4"/>
          </w:tcPr>
          <w:p>
            <w:pPr>
              <w:spacing w:after="50" w:before="50" w:line="252" w:lineRule="auto"/>
            </w:pPr>
            <w:r>
              <w:rPr>
                <w:sz w:val="17"/>
              </w:rPr>
              <w:t xml:space="preserve">Sundara's marine policy responded to </w:t>
            </w:r>
            <w:r>
              <w:rPr>
                <w:b/>
                <w:sz w:val="17"/>
              </w:rPr>
              <w:t>₹1.86 crore</w:t>
            </w:r>
            <w:r>
              <w:rPr>
                <w:sz w:val="17"/>
              </w:rPr>
              <w:t xml:space="preserve"> only, on the basis that the loss arose from inherent vice or from condition at loading rather than from a peril insured. Sundara has not appealed. </w:t>
            </w:r>
            <w:r>
              <w:rPr>
                <w:b/>
                <w:sz w:val="17"/>
              </w:rPr>
              <w:t>Kaveri does not know this</w:t>
            </w:r>
          </w:p>
        </w:tc>
      </w:tr>
      <w:tr>
        <w:tc>
          <w:tcPr>
            <w:tcW w:type="dxa" w:w="3725"/>
          </w:tcPr>
          <w:p>
            <w:pPr>
              <w:spacing w:after="50" w:before="50" w:line="252" w:lineRule="auto"/>
            </w:pPr>
            <w:r>
              <w:rPr>
                <w:sz w:val="17"/>
              </w:rPr>
              <w:t>Net unrecovered direct loss</w:t>
            </w:r>
          </w:p>
        </w:tc>
        <w:tc>
          <w:tcPr>
            <w:tcW w:type="dxa" w:w="5743"/>
          </w:tcPr>
          <w:p>
            <w:pPr>
              <w:spacing w:after="50" w:before="50" w:line="252" w:lineRule="auto"/>
            </w:pPr>
            <w:r>
              <w:rPr>
                <w:sz w:val="17"/>
              </w:rPr>
              <w:t xml:space="preserve">Approximately </w:t>
            </w:r>
            <w:r>
              <w:rPr>
                <w:b/>
                <w:sz w:val="17"/>
              </w:rPr>
              <w:t>₹2.86 crore</w:t>
            </w:r>
          </w:p>
        </w:tc>
      </w:tr>
      <w:tr>
        <w:tc>
          <w:tcPr>
            <w:tcW w:type="dxa" w:w="3725"/>
            <w:shd w:val="clear" w:color="auto" w:fill="EAF1F4"/>
          </w:tcPr>
          <w:p>
            <w:pPr>
              <w:spacing w:after="50" w:before="50" w:line="252" w:lineRule="auto"/>
            </w:pPr>
            <w:r>
              <w:rPr>
                <w:sz w:val="17"/>
              </w:rPr>
              <w:t>Re-certification audit and investigation</w:t>
            </w:r>
          </w:p>
        </w:tc>
        <w:tc>
          <w:tcPr>
            <w:tcW w:type="dxa" w:w="5743"/>
            <w:shd w:val="clear" w:color="auto" w:fill="EAF1F4"/>
          </w:tcPr>
          <w:p>
            <w:pPr>
              <w:spacing w:after="50" w:before="50" w:line="252" w:lineRule="auto"/>
            </w:pPr>
            <w:r>
              <w:rPr>
                <w:sz w:val="17"/>
              </w:rPr>
              <w:t>₹24 lakh, of which ₹9 lakh already incurred</w:t>
            </w:r>
          </w:p>
        </w:tc>
      </w:tr>
      <w:tr>
        <w:tc>
          <w:tcPr>
            <w:tcW w:type="dxa" w:w="3725"/>
          </w:tcPr>
          <w:p>
            <w:pPr>
              <w:spacing w:after="50" w:before="50" w:line="252" w:lineRule="auto"/>
            </w:pPr>
            <w:r>
              <w:rPr>
                <w:sz w:val="17"/>
              </w:rPr>
              <w:t>Additional logistics cost since September</w:t>
            </w:r>
          </w:p>
        </w:tc>
        <w:tc>
          <w:tcPr>
            <w:tcW w:type="dxa" w:w="5743"/>
          </w:tcPr>
          <w:p>
            <w:pPr>
              <w:spacing w:after="50" w:before="50" w:line="252" w:lineRule="auto"/>
            </w:pPr>
            <w:r>
              <w:rPr>
                <w:sz w:val="17"/>
              </w:rPr>
              <w:t>Approximately ₹4.2 lakh per month at the alternative provider</w:t>
            </w:r>
          </w:p>
        </w:tc>
      </w:tr>
      <w:tr>
        <w:tc>
          <w:tcPr>
            <w:tcW w:type="dxa" w:w="3725"/>
            <w:shd w:val="clear" w:color="auto" w:fill="EAF1F4"/>
          </w:tcPr>
          <w:p>
            <w:pPr>
              <w:spacing w:after="50" w:before="50" w:line="252" w:lineRule="auto"/>
            </w:pPr>
            <w:r>
              <w:rPr>
                <w:sz w:val="17"/>
              </w:rPr>
              <w:t>Cash position</w:t>
            </w:r>
          </w:p>
        </w:tc>
        <w:tc>
          <w:tcPr>
            <w:tcW w:type="dxa" w:w="5743"/>
            <w:shd w:val="clear" w:color="auto" w:fill="EAF1F4"/>
          </w:tcPr>
          <w:p>
            <w:pPr>
              <w:spacing w:after="50" w:before="50" w:line="252" w:lineRule="auto"/>
            </w:pPr>
            <w:r>
              <w:rPr>
                <w:sz w:val="17"/>
              </w:rPr>
              <w:t>Adequate. This is not a liquidity crisis</w:t>
            </w:r>
          </w:p>
        </w:tc>
      </w:tr>
    </w:tbl>
    <w:p>
      <w:pPr>
        <w:spacing w:after="80" w:before="0"/>
      </w:pPr>
    </w:p>
    <w:p>
      <w:pPr>
        <w:spacing w:before="80" w:after="160"/>
        <w:pBdr>
          <w:bottom w:val="single" w:sz="6" w:space="1" w:color="C9D6DE"/>
        </w:pBdr>
      </w:pPr>
    </w:p>
    <w:p>
      <w:pPr>
        <w:pStyle w:val="Heading1"/>
        <w:pBdr>
          <w:bottom w:val="single" w:sz="8" w:space="4" w:color="C9D6DE"/>
        </w:pBdr>
      </w:pPr>
      <w:r>
        <w:t>5. What Sundara can offer</w:t>
      </w:r>
    </w:p>
    <w:p>
      <w:r>
        <w:t>You have more to trade than money, and the interesting negotiation is here.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919"/>
            <w:shd w:val="clear" w:color="auto" w:fill="10375C"/>
          </w:tcPr>
          <w:p>
            <w:pPr>
              <w:spacing w:after="50" w:before="50"/>
            </w:pPr>
            <w:r>
              <w:rPr>
                <w:b/>
                <w:color w:val="FFFFFF"/>
                <w:sz w:val="17"/>
              </w:rPr>
              <w:t>Item</w:t>
            </w:r>
          </w:p>
        </w:tc>
        <w:tc>
          <w:tcPr>
            <w:tcW w:type="dxa" w:w="3391"/>
            <w:shd w:val="clear" w:color="auto" w:fill="10375C"/>
          </w:tcPr>
          <w:p>
            <w:pPr>
              <w:spacing w:after="50" w:before="50"/>
            </w:pPr>
            <w:r>
              <w:rPr>
                <w:b/>
                <w:color w:val="FFFFFF"/>
                <w:sz w:val="17"/>
              </w:rPr>
              <w:t>Value to Kaveri</w:t>
            </w:r>
          </w:p>
        </w:tc>
        <w:tc>
          <w:tcPr>
            <w:tcW w:type="dxa" w:w="3157"/>
            <w:shd w:val="clear" w:color="auto" w:fill="10375C"/>
          </w:tcPr>
          <w:p>
            <w:pPr>
              <w:spacing w:after="50" w:before="50"/>
            </w:pPr>
            <w:r>
              <w:rPr>
                <w:b/>
                <w:color w:val="FFFFFF"/>
                <w:sz w:val="17"/>
              </w:rPr>
              <w:t>Notes</w:t>
            </w:r>
          </w:p>
        </w:tc>
      </w:tr>
      <w:tr>
        <w:tc>
          <w:tcPr>
            <w:tcW w:type="dxa" w:w="2919"/>
          </w:tcPr>
          <w:p>
            <w:pPr>
              <w:spacing w:after="50" w:before="50" w:line="252" w:lineRule="auto"/>
            </w:pPr>
            <w:r>
              <w:rPr>
                <w:b/>
                <w:sz w:val="17"/>
              </w:rPr>
              <w:t>Return of export volumes</w:t>
            </w:r>
          </w:p>
        </w:tc>
        <w:tc>
          <w:tcPr>
            <w:tcW w:type="dxa" w:w="3391"/>
          </w:tcPr>
          <w:p>
            <w:pPr>
              <w:spacing w:after="50" w:before="50" w:line="252" w:lineRule="auto"/>
            </w:pPr>
            <w:r>
              <w:rPr>
                <w:sz w:val="17"/>
              </w:rPr>
              <w:t>High. Sundara moved all export consignments away in September. That is roughly ₹1.6 crore of annual revenue to Kaveri</w:t>
            </w:r>
          </w:p>
        </w:tc>
        <w:tc>
          <w:tcPr>
            <w:tcW w:type="dxa" w:w="3157"/>
          </w:tcPr>
          <w:p>
            <w:pPr>
              <w:spacing w:after="50" w:before="50" w:line="252" w:lineRule="auto"/>
            </w:pPr>
            <w:r>
              <w:rPr>
                <w:sz w:val="17"/>
              </w:rPr>
              <w:t>You can offer to return volumes, phased or immediate</w:t>
            </w:r>
          </w:p>
        </w:tc>
      </w:tr>
      <w:tr>
        <w:tc>
          <w:tcPr>
            <w:tcW w:type="dxa" w:w="2919"/>
            <w:shd w:val="clear" w:color="auto" w:fill="EAF1F4"/>
          </w:tcPr>
          <w:p>
            <w:pPr>
              <w:spacing w:after="50" w:before="50" w:line="252" w:lineRule="auto"/>
            </w:pPr>
            <w:r>
              <w:rPr>
                <w:b/>
                <w:sz w:val="17"/>
              </w:rPr>
              <w:t>Extension of the MLSA</w:t>
            </w:r>
          </w:p>
        </w:tc>
        <w:tc>
          <w:tcPr>
            <w:tcW w:type="dxa" w:w="3391"/>
            <w:shd w:val="clear" w:color="auto" w:fill="EAF1F4"/>
          </w:tcPr>
          <w:p>
            <w:pPr>
              <w:spacing w:after="50" w:before="50" w:line="252" w:lineRule="auto"/>
            </w:pPr>
            <w:r>
              <w:rPr>
                <w:sz w:val="17"/>
              </w:rPr>
              <w:t>High. The term expires March 2027</w:t>
            </w:r>
          </w:p>
        </w:tc>
        <w:tc>
          <w:tcPr>
            <w:tcW w:type="dxa" w:w="3157"/>
            <w:shd w:val="clear" w:color="auto" w:fill="EAF1F4"/>
          </w:tcPr>
          <w:p>
            <w:pPr>
              <w:spacing w:after="50" w:before="50" w:line="252" w:lineRule="auto"/>
            </w:pPr>
            <w:r>
              <w:rPr>
                <w:sz w:val="17"/>
              </w:rPr>
              <w:t>You could extend to 2029</w:t>
            </w:r>
          </w:p>
        </w:tc>
      </w:tr>
      <w:tr>
        <w:tc>
          <w:tcPr>
            <w:tcW w:type="dxa" w:w="2919"/>
          </w:tcPr>
          <w:p>
            <w:pPr>
              <w:spacing w:after="50" w:before="50" w:line="252" w:lineRule="auto"/>
            </w:pPr>
            <w:r>
              <w:rPr>
                <w:b/>
                <w:sz w:val="17"/>
              </w:rPr>
              <w:t>Reference and case study</w:t>
            </w:r>
          </w:p>
        </w:tc>
        <w:tc>
          <w:tcPr>
            <w:tcW w:type="dxa" w:w="3391"/>
          </w:tcPr>
          <w:p>
            <w:pPr>
              <w:spacing w:after="50" w:before="50" w:line="252" w:lineRule="auto"/>
            </w:pPr>
            <w:r>
              <w:rPr>
                <w:sz w:val="17"/>
              </w:rPr>
              <w:t>Very high. Kaveri has few organic export clients and Sundara is a credible name</w:t>
            </w:r>
          </w:p>
        </w:tc>
        <w:tc>
          <w:tcPr>
            <w:tcW w:type="dxa" w:w="3157"/>
          </w:tcPr>
          <w:p>
            <w:pPr>
              <w:spacing w:after="50" w:before="50" w:line="252" w:lineRule="auto"/>
            </w:pPr>
            <w:r>
              <w:rPr>
                <w:sz w:val="17"/>
              </w:rPr>
              <w:t>You could permit Kaveri to name Sundara in its organic and speciality export marketing</w:t>
            </w:r>
          </w:p>
        </w:tc>
      </w:tr>
      <w:tr>
        <w:tc>
          <w:tcPr>
            <w:tcW w:type="dxa" w:w="2919"/>
            <w:shd w:val="clear" w:color="auto" w:fill="EAF1F4"/>
          </w:tcPr>
          <w:p>
            <w:pPr>
              <w:spacing w:after="50" w:before="50" w:line="252" w:lineRule="auto"/>
            </w:pPr>
            <w:r>
              <w:rPr>
                <w:b/>
                <w:sz w:val="17"/>
              </w:rPr>
              <w:t>Commitment to the Tuticorin facility</w:t>
            </w:r>
          </w:p>
        </w:tc>
        <w:tc>
          <w:tcPr>
            <w:tcW w:type="dxa" w:w="3391"/>
            <w:shd w:val="clear" w:color="auto" w:fill="EAF1F4"/>
          </w:tcPr>
          <w:p>
            <w:pPr>
              <w:spacing w:after="50" w:before="50" w:line="252" w:lineRule="auto"/>
            </w:pPr>
            <w:r>
              <w:rPr>
                <w:sz w:val="17"/>
              </w:rPr>
              <w:t>You are aware Kaveri has opened a facility at Tuticorin and is seeking anchor clients</w:t>
            </w:r>
          </w:p>
        </w:tc>
        <w:tc>
          <w:tcPr>
            <w:tcW w:type="dxa" w:w="3157"/>
            <w:shd w:val="clear" w:color="auto" w:fill="EAF1F4"/>
          </w:tcPr>
          <w:p>
            <w:pPr>
              <w:spacing w:after="50" w:before="50" w:line="252" w:lineRule="auto"/>
            </w:pPr>
            <w:r>
              <w:rPr>
                <w:sz w:val="17"/>
              </w:rPr>
              <w:t>Anchor tenancy has real value to Kaveri</w:t>
            </w:r>
          </w:p>
        </w:tc>
      </w:tr>
      <w:tr>
        <w:tc>
          <w:tcPr>
            <w:tcW w:type="dxa" w:w="2919"/>
          </w:tcPr>
          <w:p>
            <w:pPr>
              <w:spacing w:after="50" w:before="50" w:line="252" w:lineRule="auto"/>
            </w:pPr>
            <w:r>
              <w:rPr>
                <w:b/>
                <w:sz w:val="17"/>
              </w:rPr>
              <w:t>Confidentiality</w:t>
            </w:r>
          </w:p>
        </w:tc>
        <w:tc>
          <w:tcPr>
            <w:tcW w:type="dxa" w:w="3391"/>
          </w:tcPr>
          <w:p>
            <w:pPr>
              <w:spacing w:after="50" w:before="50" w:line="252" w:lineRule="auto"/>
            </w:pPr>
            <w:r>
              <w:rPr>
                <w:sz w:val="17"/>
              </w:rPr>
              <w:t>High. Neither party wants this public</w:t>
            </w:r>
          </w:p>
        </w:tc>
        <w:tc>
          <w:tcPr>
            <w:tcW w:type="dxa" w:w="3157"/>
          </w:tcPr>
          <w:p>
            <w:pPr>
              <w:spacing w:after="50" w:before="50" w:line="252" w:lineRule="auto"/>
            </w:pPr>
          </w:p>
        </w:tc>
      </w:tr>
      <w:tr>
        <w:tc>
          <w:tcPr>
            <w:tcW w:type="dxa" w:w="2919"/>
            <w:shd w:val="clear" w:color="auto" w:fill="EAF1F4"/>
          </w:tcPr>
          <w:p>
            <w:pPr>
              <w:spacing w:after="50" w:before="50" w:line="252" w:lineRule="auto"/>
            </w:pPr>
            <w:r>
              <w:rPr>
                <w:b/>
                <w:sz w:val="17"/>
              </w:rPr>
              <w:t>Joint quality protocol</w:t>
            </w:r>
          </w:p>
        </w:tc>
        <w:tc>
          <w:tcPr>
            <w:tcW w:type="dxa" w:w="3391"/>
            <w:shd w:val="clear" w:color="auto" w:fill="EAF1F4"/>
          </w:tcPr>
          <w:p>
            <w:pPr>
              <w:spacing w:after="50" w:before="50" w:line="252" w:lineRule="auto"/>
            </w:pPr>
            <w:r>
              <w:rPr>
                <w:sz w:val="17"/>
              </w:rPr>
              <w:t>Presented as a concession, it is something you want anyway</w:t>
            </w:r>
          </w:p>
        </w:tc>
        <w:tc>
          <w:tcPr>
            <w:tcW w:type="dxa" w:w="3157"/>
            <w:shd w:val="clear" w:color="auto" w:fill="EAF1F4"/>
          </w:tcPr>
          <w:p>
            <w:pPr>
              <w:spacing w:after="50" w:before="50" w:line="252" w:lineRule="auto"/>
            </w:pPr>
          </w:p>
        </w:tc>
      </w:tr>
      <w:tr>
        <w:tc>
          <w:tcPr>
            <w:tcW w:type="dxa" w:w="2919"/>
          </w:tcPr>
          <w:p>
            <w:pPr>
              <w:spacing w:after="50" w:before="50" w:line="252" w:lineRule="auto"/>
            </w:pPr>
            <w:r>
              <w:rPr>
                <w:b/>
                <w:sz w:val="17"/>
              </w:rPr>
              <w:t>Withdrawal of the section 12A application and no arbitration</w:t>
            </w:r>
          </w:p>
        </w:tc>
        <w:tc>
          <w:tcPr>
            <w:tcW w:type="dxa" w:w="3391"/>
          </w:tcPr>
          <w:p>
            <w:pPr>
              <w:spacing w:after="50" w:before="50" w:line="252" w:lineRule="auto"/>
            </w:pPr>
            <w:r>
              <w:rPr>
                <w:sz w:val="17"/>
              </w:rPr>
              <w:t>High</w:t>
            </w:r>
          </w:p>
        </w:tc>
        <w:tc>
          <w:tcPr>
            <w:tcW w:type="dxa" w:w="3157"/>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6. Your authority</w:t>
      </w:r>
    </w:p>
    <w:p>
      <w:r>
        <w:t>Ms Ramanathan has authority to settle without further reference. Her private parameters: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46"/>
            <w:shd w:val="clear" w:color="auto" w:fill="10375C"/>
          </w:tcPr>
          <w:p>
            <w:pPr>
              <w:spacing w:after="50" w:before="50"/>
            </w:pPr>
            <w:r>
              <w:rPr>
                <w:b/>
                <w:color w:val="FFFFFF"/>
                <w:sz w:val="17"/>
              </w:rPr>
              <w:t>Element</w:t>
            </w:r>
          </w:p>
        </w:tc>
        <w:tc>
          <w:tcPr>
            <w:tcW w:type="dxa" w:w="6622"/>
            <w:shd w:val="clear" w:color="auto" w:fill="10375C"/>
          </w:tcPr>
          <w:p>
            <w:pPr>
              <w:spacing w:after="50" w:before="50"/>
            </w:pPr>
            <w:r>
              <w:rPr>
                <w:b/>
                <w:color w:val="FFFFFF"/>
                <w:sz w:val="17"/>
              </w:rPr>
              <w:t>Position</w:t>
            </w:r>
          </w:p>
        </w:tc>
      </w:tr>
      <w:tr>
        <w:tc>
          <w:tcPr>
            <w:tcW w:type="dxa" w:w="2846"/>
          </w:tcPr>
          <w:p>
            <w:pPr>
              <w:spacing w:after="50" w:before="50" w:line="252" w:lineRule="auto"/>
            </w:pPr>
            <w:r>
              <w:rPr>
                <w:sz w:val="17"/>
              </w:rPr>
              <w:t>Opening claim</w:t>
            </w:r>
          </w:p>
        </w:tc>
        <w:tc>
          <w:tcPr>
            <w:tcW w:type="dxa" w:w="6622"/>
          </w:tcPr>
          <w:p>
            <w:pPr>
              <w:spacing w:after="50" w:before="50" w:line="252" w:lineRule="auto"/>
            </w:pPr>
            <w:r>
              <w:rPr>
                <w:sz w:val="17"/>
              </w:rPr>
              <w:t>₹6.8 crore</w:t>
            </w:r>
          </w:p>
        </w:tc>
      </w:tr>
      <w:tr>
        <w:tc>
          <w:tcPr>
            <w:tcW w:type="dxa" w:w="2846"/>
            <w:shd w:val="clear" w:color="auto" w:fill="EAF1F4"/>
          </w:tcPr>
          <w:p>
            <w:pPr>
              <w:spacing w:after="50" w:before="50" w:line="252" w:lineRule="auto"/>
            </w:pPr>
            <w:r>
              <w:rPr>
                <w:sz w:val="17"/>
              </w:rPr>
              <w:t>Realistic target</w:t>
            </w:r>
          </w:p>
        </w:tc>
        <w:tc>
          <w:tcPr>
            <w:tcW w:type="dxa" w:w="6622"/>
            <w:shd w:val="clear" w:color="auto" w:fill="EAF1F4"/>
          </w:tcPr>
          <w:p>
            <w:pPr>
              <w:spacing w:after="50" w:before="50" w:line="252" w:lineRule="auto"/>
            </w:pPr>
            <w:r>
              <w:rPr>
                <w:sz w:val="17"/>
              </w:rPr>
              <w:t xml:space="preserve">₹2.2 to ₹2.8 crore in value, of which not less than </w:t>
            </w:r>
            <w:r>
              <w:rPr>
                <w:b/>
                <w:sz w:val="17"/>
              </w:rPr>
              <w:t>₹1.1 crore in cash</w:t>
            </w:r>
          </w:p>
        </w:tc>
      </w:tr>
      <w:tr>
        <w:tc>
          <w:tcPr>
            <w:tcW w:type="dxa" w:w="2846"/>
          </w:tcPr>
          <w:p>
            <w:pPr>
              <w:spacing w:after="50" w:before="50" w:line="252" w:lineRule="auto"/>
            </w:pPr>
            <w:r>
              <w:rPr>
                <w:b/>
                <w:sz w:val="17"/>
              </w:rPr>
              <w:t>Minimum acceptable cash</w:t>
            </w:r>
          </w:p>
        </w:tc>
        <w:tc>
          <w:tcPr>
            <w:tcW w:type="dxa" w:w="6622"/>
          </w:tcPr>
          <w:p>
            <w:pPr>
              <w:spacing w:after="50" w:before="50" w:line="252" w:lineRule="auto"/>
            </w:pPr>
            <w:r>
              <w:rPr>
                <w:b/>
                <w:sz w:val="17"/>
              </w:rPr>
              <w:t>₹65 lakh</w:t>
            </w:r>
            <w:r>
              <w:rPr>
                <w:sz w:val="17"/>
              </w:rPr>
              <w:t xml:space="preserve"> — enough to cover the re-certification audit, the investigation and a meaningful part of the unrecovered loss</w:t>
            </w:r>
          </w:p>
        </w:tc>
      </w:tr>
      <w:tr>
        <w:tc>
          <w:tcPr>
            <w:tcW w:type="dxa" w:w="2846"/>
            <w:shd w:val="clear" w:color="auto" w:fill="EAF1F4"/>
          </w:tcPr>
          <w:p>
            <w:pPr>
              <w:spacing w:after="50" w:before="50" w:line="252" w:lineRule="auto"/>
            </w:pPr>
            <w:r>
              <w:rPr>
                <w:sz w:val="17"/>
              </w:rPr>
              <w:t>Absolute requirement</w:t>
            </w:r>
          </w:p>
        </w:tc>
        <w:tc>
          <w:tcPr>
            <w:tcW w:type="dxa" w:w="6622"/>
            <w:shd w:val="clear" w:color="auto" w:fill="EAF1F4"/>
          </w:tcPr>
          <w:p>
            <w:pPr>
              <w:spacing w:after="50" w:before="50" w:line="252" w:lineRule="auto"/>
            </w:pPr>
            <w:r>
              <w:rPr>
                <w:b/>
                <w:sz w:val="17"/>
              </w:rPr>
              <w:t>A jointly agreed written root-cause statement</w:t>
            </w:r>
            <w:r>
              <w:rPr>
                <w:sz w:val="17"/>
              </w:rPr>
              <w:t xml:space="preserve"> that does not attribute the failure to Sundara's agronomy, its farmers or its organic certification, and which Sundara may show to Nordheim and to Brackenfeld</w:t>
            </w:r>
          </w:p>
        </w:tc>
      </w:tr>
      <w:tr>
        <w:tc>
          <w:tcPr>
            <w:tcW w:type="dxa" w:w="2846"/>
          </w:tcPr>
          <w:p>
            <w:pPr>
              <w:spacing w:after="50" w:before="50" w:line="252" w:lineRule="auto"/>
            </w:pPr>
            <w:r>
              <w:rPr>
                <w:sz w:val="17"/>
              </w:rPr>
              <w:t>Second requirement</w:t>
            </w:r>
          </w:p>
        </w:tc>
        <w:tc>
          <w:tcPr>
            <w:tcW w:type="dxa" w:w="6622"/>
          </w:tcPr>
          <w:p>
            <w:pPr>
              <w:spacing w:after="50" w:before="50" w:line="252" w:lineRule="auto"/>
            </w:pPr>
            <w:r>
              <w:rPr>
                <w:b/>
                <w:sz w:val="17"/>
              </w:rPr>
              <w:t>Settlement documented by 31 January 2026</w:t>
            </w:r>
          </w:p>
        </w:tc>
      </w:tr>
      <w:tr>
        <w:tc>
          <w:tcPr>
            <w:tcW w:type="dxa" w:w="2846"/>
            <w:shd w:val="clear" w:color="auto" w:fill="EAF1F4"/>
          </w:tcPr>
          <w:p>
            <w:pPr>
              <w:spacing w:after="50" w:before="50" w:line="252" w:lineRule="auto"/>
            </w:pPr>
            <w:r>
              <w:rPr>
                <w:sz w:val="17"/>
              </w:rPr>
              <w:t>Willing to trade</w:t>
            </w:r>
          </w:p>
        </w:tc>
        <w:tc>
          <w:tcPr>
            <w:tcW w:type="dxa" w:w="6622"/>
            <w:shd w:val="clear" w:color="auto" w:fill="EAF1F4"/>
          </w:tcPr>
          <w:p>
            <w:pPr>
              <w:spacing w:after="50" w:before="50" w:line="252" w:lineRule="auto"/>
            </w:pPr>
            <w:r>
              <w:rPr>
                <w:sz w:val="17"/>
              </w:rPr>
              <w:t>Volumes, contract extension, reference rights, Tuticorin anchor commitment, confidentiality, withdrawal of proceedings</w:t>
            </w:r>
          </w:p>
        </w:tc>
      </w:tr>
      <w:tr>
        <w:tc>
          <w:tcPr>
            <w:tcW w:type="dxa" w:w="2846"/>
          </w:tcPr>
          <w:p>
            <w:pPr>
              <w:spacing w:after="50" w:before="50" w:line="252" w:lineRule="auto"/>
            </w:pPr>
            <w:r>
              <w:rPr>
                <w:sz w:val="17"/>
              </w:rPr>
              <w:t>Not willing to accept</w:t>
            </w:r>
          </w:p>
        </w:tc>
        <w:tc>
          <w:tcPr>
            <w:tcW w:type="dxa" w:w="6622"/>
          </w:tcPr>
          <w:p>
            <w:pPr>
              <w:spacing w:after="50" w:before="50" w:line="252" w:lineRule="auto"/>
            </w:pPr>
            <w:r>
              <w:rPr>
                <w:sz w:val="17"/>
              </w:rPr>
              <w:t xml:space="preserve">A settlement structured </w:t>
            </w:r>
            <w:r>
              <w:rPr>
                <w:b/>
                <w:sz w:val="17"/>
              </w:rPr>
              <w:t>wholly</w:t>
            </w:r>
            <w:r>
              <w:rPr>
                <w:sz w:val="17"/>
              </w:rPr>
              <w:t xml:space="preserve"> as service credits. She needs cash on the face of it, because a credit note is not something she can show Brackenfeld as resolution</w:t>
            </w:r>
          </w:p>
        </w:tc>
      </w:tr>
      <w:tr>
        <w:tc>
          <w:tcPr>
            <w:tcW w:type="dxa" w:w="2846"/>
            <w:shd w:val="clear" w:color="auto" w:fill="EAF1F4"/>
          </w:tcPr>
          <w:p>
            <w:pPr>
              <w:spacing w:after="50" w:before="50" w:line="252" w:lineRule="auto"/>
            </w:pPr>
            <w:r>
              <w:rPr>
                <w:sz w:val="17"/>
              </w:rPr>
              <w:t>Walk-away</w:t>
            </w:r>
          </w:p>
        </w:tc>
        <w:tc>
          <w:tcPr>
            <w:tcW w:type="dxa" w:w="6622"/>
            <w:shd w:val="clear" w:color="auto" w:fill="EAF1F4"/>
          </w:tcPr>
          <w:p>
            <w:pPr>
              <w:spacing w:after="50" w:before="50" w:line="252" w:lineRule="auto"/>
            </w:pPr>
            <w:r>
              <w:rPr>
                <w:sz w:val="17"/>
              </w:rPr>
              <w:t>If no acceptable root-cause statement is obtainable. She would rather litigate and take the Brackenfeld risk than accept a document implying that Sundara's farms produced contaminated turmeric</w:t>
            </w:r>
          </w:p>
        </w:tc>
      </w:tr>
    </w:tbl>
    <w:p>
      <w:pPr>
        <w:spacing w:after="80" w:before="0"/>
      </w:pPr>
    </w:p>
    <w:p>
      <w:pPr>
        <w:spacing w:before="80" w:after="160"/>
        <w:pBdr>
          <w:bottom w:val="single" w:sz="6" w:space="1" w:color="C9D6DE"/>
        </w:pBdr>
      </w:pPr>
    </w:p>
    <w:p>
      <w:pPr>
        <w:pStyle w:val="Heading1"/>
        <w:pBdr>
          <w:bottom w:val="single" w:sz="8" w:space="4" w:color="C9D6DE"/>
        </w:pBdr>
      </w:pPr>
      <w:r>
        <w:t>7. What Ms Ramanathan thinks of Mr Kaveri</w:t>
      </w:r>
    </w:p>
    <w:p>
      <w:r>
        <w:t>They have met four times. She thinks he is competent, ambitious and rather too polished. She was angered by the 31 October letter, which she considered legalistic. She does not think Kaveri set out to cause this. She would, on the right terms, continue to work with them — and she is aware that finding another provider with Kaveri's Tuticorin position is not straightforward.</w:t>
      </w:r>
    </w:p>
    <w:p>
      <w:r>
        <w:t>She has been advised that Kaveri's six-hour data gap is a serious evidential problem for Kaveri and that she should press it.</w:t>
      </w:r>
    </w:p>
    <w:p>
      <w:pPr>
        <w:spacing w:before="80" w:after="160"/>
        <w:pBdr>
          <w:bottom w:val="single" w:sz="6" w:space="1" w:color="C9D6DE"/>
        </w:pBdr>
      </w:pPr>
    </w:p>
    <w:p>
      <w:pPr>
        <w:pStyle w:val="Heading1"/>
        <w:pBdr>
          <w:bottom w:val="single" w:sz="8" w:space="4" w:color="C9D6DE"/>
        </w:pBdr>
      </w:pPr>
      <w:r>
        <w:t>8. Questions to consider before you enter the room</w:t>
      </w:r>
    </w:p>
    <w:p>
      <w:pPr>
        <w:pStyle w:val="ListNumber"/>
      </w:pPr>
      <w:r>
        <w:rPr>
          <w:sz w:val="21"/>
        </w:rPr>
        <w:t>Does telling Kaveri about Brackenfeld help you or hurt you? Does it change if you tell the mediator in caucus rather than telling Kaveri?</w:t>
      </w:r>
    </w:p>
    <w:p>
      <w:pPr>
        <w:pStyle w:val="ListNumber"/>
      </w:pPr>
      <w:r>
        <w:rPr>
          <w:sz w:val="21"/>
        </w:rPr>
        <w:t>What happens to your case if Kaveri discloses that it knows about the blast-cooling unit? What if it does not?</w:t>
      </w:r>
    </w:p>
    <w:p>
      <w:pPr>
        <w:pStyle w:val="ListNumber"/>
      </w:pPr>
      <w:r>
        <w:rPr>
          <w:sz w:val="21"/>
        </w:rPr>
        <w:t>Is the root-cause statement something Kaveri can give you cheaply? What would it cost Kaveri to give it, and what would it cost you to draft it?</w:t>
      </w:r>
    </w:p>
    <w:p>
      <w:pPr>
        <w:pStyle w:val="ListNumber"/>
      </w:pPr>
      <w:r>
        <w:rPr>
          <w:sz w:val="21"/>
        </w:rPr>
        <w:t>Which of your non-cash offers is genuinely valuable to Kaveri, and which are you assuming to be valuable?</w:t>
      </w:r>
    </w:p>
    <w:p>
      <w:pPr>
        <w:pStyle w:val="ListNumber"/>
      </w:pPr>
      <w:r>
        <w:rPr>
          <w:sz w:val="21"/>
        </w:rPr>
        <w:t>If Kaveri opens by insisting on the clause 11.1 cap of ₹42.1 lakh, what do you say?</w:t>
      </w:r>
    </w:p>
    <w:p>
      <w:pPr>
        <w:pStyle w:val="ListNumber"/>
      </w:pPr>
      <w:r>
        <w:rPr>
          <w:sz w:val="21"/>
        </w:rPr>
        <w:t>What does Kaveri fear more than paying money?</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Confidential Information — Sundara Organics</w:t>
    </w:r>
    <w:r>
      <w:rPr>
        <w:rFonts w:ascii="Calibri" w:hAnsi="Calibri"/>
        <w:color w:val="595959"/>
        <w:sz w:val="16"/>
      </w:rPr>
      <w:tab/>
      <w:t>STRICTLY CONFIDENTIAL — Claimant side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F580C3-B4B0-4247-A760-55B0AABA0751}"/>
</file>

<file path=customXml/itemProps3.xml><?xml version="1.0" encoding="utf-8"?>
<ds:datastoreItem xmlns:ds="http://schemas.openxmlformats.org/officeDocument/2006/customXml" ds:itemID="{AE700BA8-6892-493C-9721-76C9B006C5AB}"/>
</file>

<file path=customXml/itemProps4.xml><?xml version="1.0" encoding="utf-8"?>
<ds:datastoreItem xmlns:ds="http://schemas.openxmlformats.org/officeDocument/2006/customXml" ds:itemID="{013D793C-621E-4EB2-B8CA-44979AB8A0E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