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Confidential Information — Kaveri Cold Chain Logistics</w:t>
      </w:r>
    </w:p>
    <w:p>
      <w:pPr>
        <w:spacing w:after="280" w:line="276" w:lineRule="auto"/>
      </w:pPr>
      <w:r>
        <w:rPr>
          <w:rFonts w:ascii="Calibri" w:hAnsi="Calibri"/>
          <w:i/>
          <w:color w:val="3E6B8A"/>
          <w:sz w:val="25"/>
        </w:rPr>
        <w:t>For the team representing the Respondent only. Not to be disclosed to the opposing team.</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STRICTLY CONFIDENTIAL — Respondent side only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spacing w:before="140" w:after="140"/>
        <w:ind w:left="198" w:right="113"/>
        <w:shd w:val="clear" w:color="auto" w:fill="EAF1F4"/>
        <w:pBdr>
          <w:left w:val="single" w:sz="18" w:space="6" w:color="0E7C7B"/>
        </w:pBdr>
      </w:pPr>
      <w:r>
        <w:rPr>
          <w:b/>
          <w:sz w:val="19"/>
        </w:rPr>
        <w:t>This document is for the team representing Kaveri Cold Chain Logistics Private Limited only.</w:t>
      </w:r>
      <w:r>
        <w:rPr>
          <w:sz w:val="19"/>
        </w:rPr>
        <w:t xml:space="preserve"> You must not show it to, discuss it with, or summarise it for any person representing Sundara Organics Private Limited. You may disclose any part of its contents during the mediation if you judge that doing so advances your client's interests — that judgement is yours, and it is part of what is being assessed.</w:t>
      </w:r>
    </w:p>
    <w:p>
      <w:pPr>
        <w:spacing w:before="80" w:after="160"/>
        <w:pBdr>
          <w:bottom w:val="single" w:sz="6" w:space="1" w:color="C9D6DE"/>
        </w:pBdr>
      </w:pPr>
    </w:p>
    <w:p>
      <w:pPr>
        <w:pStyle w:val="Heading1"/>
        <w:pBdr>
          <w:bottom w:val="single" w:sz="8" w:space="4" w:color="C9D6DE"/>
        </w:pBdr>
      </w:pPr>
      <w:r>
        <w:t>1. What Mr Kaveri actually needs</w:t>
      </w:r>
    </w:p>
    <w:p>
      <w:r>
        <w:t>Rohan Kaveri built this company from two leased chambers in 2016. He is thirty-nine. The next eighteen months will determine whether Kaveri becomes a national platform or is absorbed by one.</w:t>
      </w:r>
    </w:p>
    <w:p>
      <w:r>
        <w:rPr>
          <w:b/>
        </w:rPr>
        <w:t>The dispute is not principally about ₹6.8 crore.</w:t>
      </w:r>
      <w:r>
        <w:t xml:space="preserve"> It is about three things:</w:t>
      </w:r>
    </w:p>
    <w:p>
      <w:pPr>
        <w:pStyle w:val="ListNumber"/>
      </w:pPr>
      <w:r>
        <w:rPr>
          <w:b/>
          <w:sz w:val="21"/>
        </w:rPr>
        <w:t>The Series B.</w:t>
      </w:r>
      <w:r>
        <w:rPr>
          <w:sz w:val="21"/>
        </w:rPr>
        <w:t xml:space="preserve"> Kaveri is in advanced discussions for a growth round of </w:t>
      </w:r>
      <w:r>
        <w:rPr>
          <w:b/>
          <w:sz w:val="21"/>
        </w:rPr>
        <w:t>₹185 crore</w:t>
      </w:r>
      <w:r>
        <w:rPr>
          <w:sz w:val="21"/>
        </w:rPr>
        <w:t xml:space="preserve">. Term sheets are expected in </w:t>
      </w:r>
      <w:r>
        <w:rPr>
          <w:b/>
          <w:sz w:val="21"/>
        </w:rPr>
        <w:t>March 2026</w:t>
      </w:r>
      <w:r>
        <w:rPr>
          <w:sz w:val="21"/>
        </w:rPr>
        <w:t xml:space="preserve">. The lead investor's operational due diligence begins in </w:t>
      </w:r>
      <w:r>
        <w:rPr>
          <w:b/>
          <w:sz w:val="21"/>
        </w:rPr>
        <w:t>February 2026</w:t>
      </w:r>
      <w:r>
        <w:rPr>
          <w:sz w:val="21"/>
        </w:rPr>
        <w:t>.</w:t>
      </w:r>
    </w:p>
    <w:p>
      <w:pPr>
        <w:pStyle w:val="ListNumber"/>
      </w:pPr>
      <w:r>
        <w:rPr>
          <w:b/>
          <w:sz w:val="21"/>
        </w:rPr>
        <w:t>The temperature data.</w:t>
      </w:r>
      <w:r>
        <w:rPr>
          <w:sz w:val="21"/>
        </w:rPr>
        <w:t xml:space="preserve"> This is the real problem, and it is worse than the claim. See section 3.</w:t>
      </w:r>
    </w:p>
    <w:p>
      <w:pPr>
        <w:pStyle w:val="ListNumber"/>
      </w:pPr>
      <w:r>
        <w:rPr>
          <w:b/>
          <w:sz w:val="21"/>
        </w:rPr>
        <w:t>The organic export segment.</w:t>
      </w:r>
      <w:r>
        <w:rPr>
          <w:sz w:val="21"/>
        </w:rPr>
        <w:t xml:space="preserve"> Kaveri has almost no presence in certified organic export. Sundara is exactly the kind of client that would open it, and Kaveri has been trying to build that segment for two years.</w:t>
      </w:r>
    </w:p>
    <w:p>
      <w:pPr>
        <w:spacing w:before="80" w:after="160"/>
        <w:pBdr>
          <w:bottom w:val="single" w:sz="6" w:space="1" w:color="C9D6DE"/>
        </w:pBdr>
      </w:pPr>
    </w:p>
    <w:p>
      <w:pPr>
        <w:pStyle w:val="Heading1"/>
        <w:pBdr>
          <w:bottom w:val="single" w:sz="8" w:space="4" w:color="C9D6DE"/>
        </w:pBdr>
      </w:pPr>
      <w:r>
        <w:t>2. The Series B and what disclosure means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62"/>
            <w:shd w:val="clear" w:color="auto" w:fill="10375C"/>
          </w:tcPr>
          <w:p>
            <w:pPr>
              <w:spacing w:after="50" w:before="50"/>
            </w:pPr>
            <w:r>
              <w:rPr>
                <w:b/>
                <w:color w:val="FFFFFF"/>
                <w:sz w:val="17"/>
              </w:rPr>
              <w:t>Item</w:t>
            </w:r>
          </w:p>
        </w:tc>
        <w:tc>
          <w:tcPr>
            <w:tcW w:type="dxa" w:w="6806"/>
            <w:shd w:val="clear" w:color="auto" w:fill="10375C"/>
          </w:tcPr>
          <w:p>
            <w:pPr>
              <w:spacing w:after="50" w:before="50"/>
            </w:pPr>
            <w:r>
              <w:rPr>
                <w:b/>
                <w:color w:val="FFFFFF"/>
                <w:sz w:val="17"/>
              </w:rPr>
              <w:t>Position</w:t>
            </w:r>
          </w:p>
        </w:tc>
      </w:tr>
      <w:tr>
        <w:tc>
          <w:tcPr>
            <w:tcW w:type="dxa" w:w="2662"/>
          </w:tcPr>
          <w:p>
            <w:pPr>
              <w:spacing w:after="50" w:before="50" w:line="252" w:lineRule="auto"/>
            </w:pPr>
            <w:r>
              <w:rPr>
                <w:sz w:val="17"/>
              </w:rPr>
              <w:t>Round size</w:t>
            </w:r>
          </w:p>
        </w:tc>
        <w:tc>
          <w:tcPr>
            <w:tcW w:type="dxa" w:w="6806"/>
          </w:tcPr>
          <w:p>
            <w:pPr>
              <w:spacing w:after="50" w:before="50" w:line="252" w:lineRule="auto"/>
            </w:pPr>
            <w:r>
              <w:rPr>
                <w:sz w:val="17"/>
              </w:rPr>
              <w:t>₹185 crore</w:t>
            </w:r>
          </w:p>
        </w:tc>
      </w:tr>
      <w:tr>
        <w:tc>
          <w:tcPr>
            <w:tcW w:type="dxa" w:w="2662"/>
            <w:shd w:val="clear" w:color="auto" w:fill="EAF1F4"/>
          </w:tcPr>
          <w:p>
            <w:pPr>
              <w:spacing w:after="50" w:before="50" w:line="252" w:lineRule="auto"/>
            </w:pPr>
            <w:r>
              <w:rPr>
                <w:sz w:val="17"/>
              </w:rPr>
              <w:t>Expected term sheets</w:t>
            </w:r>
          </w:p>
        </w:tc>
        <w:tc>
          <w:tcPr>
            <w:tcW w:type="dxa" w:w="6806"/>
            <w:shd w:val="clear" w:color="auto" w:fill="EAF1F4"/>
          </w:tcPr>
          <w:p>
            <w:pPr>
              <w:spacing w:after="50" w:before="50" w:line="252" w:lineRule="auto"/>
            </w:pPr>
            <w:r>
              <w:rPr>
                <w:sz w:val="17"/>
              </w:rPr>
              <w:t>March 2026</w:t>
            </w:r>
          </w:p>
        </w:tc>
      </w:tr>
      <w:tr>
        <w:tc>
          <w:tcPr>
            <w:tcW w:type="dxa" w:w="2662"/>
          </w:tcPr>
          <w:p>
            <w:pPr>
              <w:spacing w:after="50" w:before="50" w:line="252" w:lineRule="auto"/>
            </w:pPr>
            <w:r>
              <w:rPr>
                <w:sz w:val="17"/>
              </w:rPr>
              <w:t>Operational due diligence</w:t>
            </w:r>
          </w:p>
        </w:tc>
        <w:tc>
          <w:tcPr>
            <w:tcW w:type="dxa" w:w="6806"/>
          </w:tcPr>
          <w:p>
            <w:pPr>
              <w:spacing w:after="50" w:before="50" w:line="252" w:lineRule="auto"/>
            </w:pPr>
            <w:r>
              <w:rPr>
                <w:sz w:val="17"/>
              </w:rPr>
              <w:t>Commences February 2026</w:t>
            </w:r>
          </w:p>
        </w:tc>
      </w:tr>
      <w:tr>
        <w:tc>
          <w:tcPr>
            <w:tcW w:type="dxa" w:w="2662"/>
            <w:shd w:val="clear" w:color="auto" w:fill="EAF1F4"/>
          </w:tcPr>
          <w:p>
            <w:pPr>
              <w:spacing w:after="50" w:before="50" w:line="252" w:lineRule="auto"/>
            </w:pPr>
            <w:r>
              <w:rPr>
                <w:sz w:val="17"/>
              </w:rPr>
              <w:t>Disclosure obligation</w:t>
            </w:r>
          </w:p>
        </w:tc>
        <w:tc>
          <w:tcPr>
            <w:tcW w:type="dxa" w:w="6806"/>
            <w:shd w:val="clear" w:color="auto" w:fill="EAF1F4"/>
          </w:tcPr>
          <w:p>
            <w:pPr>
              <w:spacing w:after="50" w:before="50" w:line="252" w:lineRule="auto"/>
            </w:pPr>
            <w:r>
              <w:rPr>
                <w:sz w:val="17"/>
              </w:rPr>
              <w:t>Kaveri's existing shareholders' agreement requires disclosure of any claim exceeding ₹1 crore. The ₹6.8 crore claim is disclosable and has been disclosed to the board</w:t>
            </w:r>
          </w:p>
        </w:tc>
      </w:tr>
      <w:tr>
        <w:tc>
          <w:tcPr>
            <w:tcW w:type="dxa" w:w="2662"/>
          </w:tcPr>
          <w:p>
            <w:pPr>
              <w:spacing w:after="50" w:before="50" w:line="252" w:lineRule="auto"/>
            </w:pPr>
            <w:r>
              <w:rPr>
                <w:sz w:val="17"/>
              </w:rPr>
              <w:t>Provision</w:t>
            </w:r>
          </w:p>
        </w:tc>
        <w:tc>
          <w:tcPr>
            <w:tcW w:type="dxa" w:w="6806"/>
          </w:tcPr>
          <w:p>
            <w:pPr>
              <w:spacing w:after="50" w:before="50" w:line="252" w:lineRule="auto"/>
            </w:pPr>
            <w:r>
              <w:rPr>
                <w:sz w:val="17"/>
              </w:rPr>
              <w:t xml:space="preserve">The board has required a provision of ₹75 lakh against the claim in the interim accounts. </w:t>
            </w:r>
            <w:r>
              <w:rPr>
                <w:b/>
                <w:sz w:val="17"/>
              </w:rPr>
              <w:t>Kaveri therefore has ₹75 lakh already provided for and, in accounting terms, already spent</w:t>
            </w:r>
          </w:p>
        </w:tc>
      </w:tr>
      <w:tr>
        <w:tc>
          <w:tcPr>
            <w:tcW w:type="dxa" w:w="2662"/>
            <w:shd w:val="clear" w:color="auto" w:fill="EAF1F4"/>
          </w:tcPr>
          <w:p>
            <w:pPr>
              <w:spacing w:after="50" w:before="50" w:line="252" w:lineRule="auto"/>
            </w:pPr>
            <w:r>
              <w:rPr>
                <w:sz w:val="17"/>
              </w:rPr>
              <w:t>Board position</w:t>
            </w:r>
          </w:p>
        </w:tc>
        <w:tc>
          <w:tcPr>
            <w:tcW w:type="dxa" w:w="6806"/>
            <w:shd w:val="clear" w:color="auto" w:fill="EAF1F4"/>
          </w:tcPr>
          <w:p>
            <w:pPr>
              <w:spacing w:after="50" w:before="50" w:line="252" w:lineRule="auto"/>
            </w:pPr>
            <w:r>
              <w:rPr>
                <w:sz w:val="17"/>
              </w:rPr>
              <w:t xml:space="preserve">The board has instructed Mr Kaveri to resolve the matter before due diligence begins, </w:t>
            </w:r>
            <w:r>
              <w:rPr>
                <w:b/>
                <w:sz w:val="17"/>
              </w:rPr>
              <w:t>if it can be resolved without an admission that would prejudice the insurance position or invite similar claims</w:t>
            </w:r>
          </w:p>
        </w:tc>
      </w:tr>
    </w:tbl>
    <w:p>
      <w:pPr>
        <w:spacing w:after="80" w:before="0"/>
      </w:pPr>
    </w:p>
    <w:p>
      <w:r>
        <w:t>A live, unresolved, six-crore claim during operational due diligence in a business whose entire proposition is temperature integrity is a material problem. An arbitration would be worse.</w:t>
      </w:r>
    </w:p>
    <w:p>
      <w:pPr>
        <w:spacing w:before="80" w:after="160"/>
        <w:pBdr>
          <w:bottom w:val="single" w:sz="6" w:space="1" w:color="C9D6DE"/>
        </w:pBdr>
      </w:pPr>
    </w:p>
    <w:p>
      <w:pPr>
        <w:pStyle w:val="Heading1"/>
        <w:pBdr>
          <w:bottom w:val="single" w:sz="8" w:space="4" w:color="C9D6DE"/>
        </w:pBdr>
      </w:pPr>
      <w:r>
        <w:t>3. The data problem — the fact that governs everything</w:t>
      </w:r>
    </w:p>
    <w:p>
      <w:r>
        <w:rPr>
          <w:b/>
        </w:rPr>
        <w:t>Read this carefully.</w:t>
      </w:r>
    </w:p>
    <w:p>
      <w:r>
        <w:t>Kaveri's internal investigation, completed 20 September 2025, found:</w:t>
      </w:r>
    </w:p>
    <w:p>
      <w:pPr>
        <w:pStyle w:val="ListBullet"/>
      </w:pPr>
      <w:r>
        <w:rPr>
          <w:sz w:val="21"/>
        </w:rPr>
        <w:t xml:space="preserve">The primary logger on the port-side holding stack recorded until 23:00 on 11 August and then stopped. The stated cause is battery failure. </w:t>
      </w:r>
      <w:r>
        <w:rPr>
          <w:b/>
          <w:sz w:val="21"/>
        </w:rPr>
        <w:t>The device was overdue for scheduled battery replacement by nineteen days</w:t>
      </w:r>
      <w:r>
        <w:rPr>
          <w:sz w:val="21"/>
        </w:rPr>
        <w:t>, against an internal policy of ninety-day replacement.</w:t>
      </w:r>
    </w:p>
    <w:p>
      <w:pPr>
        <w:pStyle w:val="ListBullet"/>
      </w:pPr>
      <w:r>
        <w:rPr>
          <w:sz w:val="21"/>
        </w:rPr>
        <w:t xml:space="preserve">The secondary logger was functioning. Its data </w:t>
      </w:r>
      <w:r>
        <w:rPr>
          <w:b/>
          <w:sz w:val="21"/>
        </w:rPr>
        <w:t>was</w:t>
      </w:r>
      <w:r>
        <w:rPr>
          <w:sz w:val="21"/>
        </w:rPr>
        <w:t xml:space="preserve"> captured. It was overwritten on 25 August by an automated 14-day retention cycle in Kaveri's warehouse management system, before Sundara's request on 8 September.</w:t>
      </w:r>
    </w:p>
    <w:p>
      <w:pPr>
        <w:pStyle w:val="ListBullet"/>
      </w:pPr>
      <w:r>
        <w:rPr>
          <w:sz w:val="21"/>
        </w:rPr>
        <w:t xml:space="preserve">Kaveri's own operations head recovered a partial cached export of the secondary logger data from a supervisor's tablet on 18 September. </w:t>
      </w:r>
      <w:r>
        <w:rPr>
          <w:b/>
          <w:sz w:val="21"/>
        </w:rPr>
        <w:t>It shows a peak reading of 33.8°C at 02:40 on 12 August, sustained above 30°C for approximately three hours and forty minutes.</w:t>
      </w:r>
    </w:p>
    <w:p>
      <w:pPr>
        <w:pStyle w:val="ListBullet"/>
      </w:pPr>
      <w:r>
        <w:rPr>
          <w:sz w:val="21"/>
        </w:rPr>
        <w:t xml:space="preserve">This cached data has </w:t>
      </w:r>
      <w:r>
        <w:rPr>
          <w:b/>
          <w:sz w:val="21"/>
        </w:rPr>
        <w:t>not</w:t>
      </w:r>
      <w:r>
        <w:rPr>
          <w:sz w:val="21"/>
        </w:rPr>
        <w:t xml:space="preserve"> been provided to Sundara. It was not referred to in the 31 October letter. Kaveri's legal advisers have told Mr Kaveri that its existence is disclosable in any arbitration and that failure to disclose it would be extremely serious.</w:t>
      </w:r>
    </w:p>
    <w:p>
      <w:r>
        <w:t>Two further facts:</w:t>
      </w:r>
    </w:p>
    <w:p>
      <w:pPr>
        <w:pStyle w:val="ListBullet"/>
      </w:pPr>
      <w:r>
        <w:rPr>
          <w:b/>
          <w:sz w:val="21"/>
        </w:rPr>
        <w:t>The 14-day overwrite policy contradicts clause 7.1 of the MLSA</w:t>
      </w:r>
      <w:r>
        <w:rPr>
          <w:sz w:val="21"/>
        </w:rPr>
        <w:t xml:space="preserve">, which requires Kaveri to provide log data on request within 72 hours — an obligation Kaveri cannot reliably meet if data is destroyed after fourteen days. The same overwrite policy applies across </w:t>
      </w:r>
      <w:r>
        <w:rPr>
          <w:b/>
          <w:sz w:val="21"/>
        </w:rPr>
        <w:t>all</w:t>
      </w:r>
      <w:r>
        <w:rPr>
          <w:sz w:val="21"/>
        </w:rPr>
        <w:t xml:space="preserve"> Kaveri contracts.</w:t>
      </w:r>
    </w:p>
    <w:p>
      <w:pPr>
        <w:pStyle w:val="ListBullet"/>
      </w:pPr>
      <w:r>
        <w:rPr>
          <w:b/>
          <w:sz w:val="21"/>
        </w:rPr>
        <w:t>Kaveri's insurers have reserved their position</w:t>
      </w:r>
      <w:r>
        <w:rPr>
          <w:sz w:val="21"/>
        </w:rPr>
        <w:t>, citing the logger maintenance lapse and the retention policy, and have indicated that cover may be affected if the loss is found to have been caused or aggravated by Kaveri's failure to maintain monitoring equipment.</w:t>
      </w:r>
    </w:p>
    <w:p>
      <w:r>
        <w:rPr>
          <w:b/>
        </w:rPr>
        <w:t>What Mr Kaveri fears most is not the claim. It is that the data integrity issue becomes public, or becomes known to the Series B investor, or triggers claims from other clients whose data was similarly destroyed.</w:t>
      </w:r>
      <w:r>
        <w:t xml:space="preserve"> A ₹6.8 crore claim is survivable. A finding that Kaveri's temperature records are unreliable would be existential for a cold chain business.</w:t>
      </w:r>
    </w:p>
    <w:p>
      <w:pPr>
        <w:spacing w:before="80" w:after="160"/>
        <w:pBdr>
          <w:bottom w:val="single" w:sz="6" w:space="1" w:color="C9D6DE"/>
        </w:pBdr>
      </w:pPr>
    </w:p>
    <w:p>
      <w:pPr>
        <w:pStyle w:val="Heading1"/>
        <w:pBdr>
          <w:bottom w:val="single" w:sz="8" w:space="4" w:color="C9D6DE"/>
        </w:pBdr>
      </w:pPr>
      <w:r>
        <w:t>4. What Kaveri knows about Sundara</w:t>
      </w:r>
    </w:p>
    <w:p>
      <w:r>
        <w:t>Kaveri's operations team, reviewing the collection docket, noted that:</w:t>
      </w:r>
    </w:p>
    <w:p>
      <w:pPr>
        <w:pStyle w:val="ListBullet"/>
      </w:pPr>
      <w:r>
        <w:rPr>
          <w:sz w:val="21"/>
        </w:rPr>
        <w:t>the pre-cooling certificate records 18.4°C but does not state the probe locations; and</w:t>
      </w:r>
    </w:p>
    <w:p>
      <w:pPr>
        <w:pStyle w:val="ListBullet"/>
      </w:pPr>
      <w:r>
        <w:rPr>
          <w:sz w:val="21"/>
        </w:rPr>
        <w:t xml:space="preserve">the driver's collection note records that loading took </w:t>
      </w:r>
      <w:r>
        <w:rPr>
          <w:b/>
          <w:sz w:val="21"/>
        </w:rPr>
        <w:t>fifty-five minutes longer than standard</w:t>
      </w:r>
      <w:r>
        <w:rPr>
          <w:sz w:val="21"/>
        </w:rPr>
        <w:t>, which Kaveri's team thought might indicate handling difficulty at Sundara's end.</w:t>
      </w:r>
    </w:p>
    <w:p>
      <w:r>
        <w:t xml:space="preserve">Kaveri has </w:t>
      </w:r>
      <w:r>
        <w:rPr>
          <w:b/>
        </w:rPr>
        <w:t>no evidence</w:t>
      </w:r>
      <w:r>
        <w:t xml:space="preserve"> that Sundara's blast-cooling equipment was out of service, and does not know it. Its technical adviser considers that a product temperature above the notified 20°C at loading is a plausible contributing cause, and would say so if asked, but cannot establish it.</w:t>
      </w:r>
    </w:p>
    <w:p>
      <w:r>
        <w:rPr>
          <w:b/>
        </w:rPr>
        <w:t>Kaveri's counsel regard the pre-cooling obligation under clause 4.2 as their best point.</w:t>
      </w:r>
      <w:r>
        <w:t xml:space="preserve"> It is a genuine point. It is not a proven one.</w:t>
      </w:r>
    </w:p>
    <w:p>
      <w:pPr>
        <w:spacing w:before="80" w:after="160"/>
        <w:pBdr>
          <w:bottom w:val="single" w:sz="6" w:space="1" w:color="C9D6DE"/>
        </w:pBdr>
      </w:pPr>
    </w:p>
    <w:p>
      <w:pPr>
        <w:pStyle w:val="Heading1"/>
        <w:pBdr>
          <w:bottom w:val="single" w:sz="8" w:space="4" w:color="C9D6DE"/>
        </w:pBdr>
      </w:pPr>
      <w:r>
        <w:t>5. Commercial position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201"/>
            <w:shd w:val="clear" w:color="auto" w:fill="10375C"/>
          </w:tcPr>
          <w:p>
            <w:pPr>
              <w:spacing w:after="50" w:before="50"/>
            </w:pPr>
            <w:r>
              <w:rPr>
                <w:b/>
                <w:color w:val="FFFFFF"/>
                <w:sz w:val="17"/>
              </w:rPr>
              <w:t>Item</w:t>
            </w:r>
          </w:p>
        </w:tc>
        <w:tc>
          <w:tcPr>
            <w:tcW w:type="dxa" w:w="6267"/>
            <w:shd w:val="clear" w:color="auto" w:fill="10375C"/>
          </w:tcPr>
          <w:p>
            <w:pPr>
              <w:spacing w:after="50" w:before="50"/>
            </w:pPr>
            <w:r>
              <w:rPr>
                <w:b/>
                <w:color w:val="FFFFFF"/>
                <w:sz w:val="17"/>
              </w:rPr>
              <w:t>Position</w:t>
            </w:r>
          </w:p>
        </w:tc>
      </w:tr>
      <w:tr>
        <w:tc>
          <w:tcPr>
            <w:tcW w:type="dxa" w:w="3201"/>
          </w:tcPr>
          <w:p>
            <w:pPr>
              <w:spacing w:after="50" w:before="50" w:line="252" w:lineRule="auto"/>
            </w:pPr>
            <w:r>
              <w:rPr>
                <w:sz w:val="17"/>
              </w:rPr>
              <w:t>Fees in the three months preceding</w:t>
            </w:r>
          </w:p>
        </w:tc>
        <w:tc>
          <w:tcPr>
            <w:tcW w:type="dxa" w:w="6267"/>
          </w:tcPr>
          <w:p>
            <w:pPr>
              <w:spacing w:after="50" w:before="50" w:line="252" w:lineRule="auto"/>
            </w:pPr>
            <w:r>
              <w:rPr>
                <w:sz w:val="17"/>
              </w:rPr>
              <w:t>₹42,10,000 — the clause 11.1 cap</w:t>
            </w:r>
          </w:p>
        </w:tc>
      </w:tr>
      <w:tr>
        <w:tc>
          <w:tcPr>
            <w:tcW w:type="dxa" w:w="3201"/>
            <w:shd w:val="clear" w:color="auto" w:fill="EAF1F4"/>
          </w:tcPr>
          <w:p>
            <w:pPr>
              <w:spacing w:after="50" w:before="50" w:line="252" w:lineRule="auto"/>
            </w:pPr>
            <w:r>
              <w:rPr>
                <w:sz w:val="17"/>
              </w:rPr>
              <w:t>Provision already made</w:t>
            </w:r>
          </w:p>
        </w:tc>
        <w:tc>
          <w:tcPr>
            <w:tcW w:type="dxa" w:w="6267"/>
            <w:shd w:val="clear" w:color="auto" w:fill="EAF1F4"/>
          </w:tcPr>
          <w:p>
            <w:pPr>
              <w:spacing w:after="50" w:before="50" w:line="252" w:lineRule="auto"/>
            </w:pPr>
            <w:r>
              <w:rPr>
                <w:sz w:val="17"/>
              </w:rPr>
              <w:t>₹75,00,000</w:t>
            </w:r>
          </w:p>
        </w:tc>
      </w:tr>
      <w:tr>
        <w:tc>
          <w:tcPr>
            <w:tcW w:type="dxa" w:w="3201"/>
          </w:tcPr>
          <w:p>
            <w:pPr>
              <w:spacing w:after="50" w:before="50" w:line="252" w:lineRule="auto"/>
            </w:pPr>
            <w:r>
              <w:rPr>
                <w:sz w:val="17"/>
              </w:rPr>
              <w:t>Insurance</w:t>
            </w:r>
          </w:p>
        </w:tc>
        <w:tc>
          <w:tcPr>
            <w:tcW w:type="dxa" w:w="6267"/>
          </w:tcPr>
          <w:p>
            <w:pPr>
              <w:spacing w:after="50" w:before="50" w:line="252" w:lineRule="auto"/>
            </w:pPr>
            <w:r>
              <w:rPr>
                <w:sz w:val="17"/>
              </w:rPr>
              <w:t>Reserved. Assume no recovery for the purposes of this mediation</w:t>
            </w:r>
          </w:p>
        </w:tc>
      </w:tr>
      <w:tr>
        <w:tc>
          <w:tcPr>
            <w:tcW w:type="dxa" w:w="3201"/>
            <w:shd w:val="clear" w:color="auto" w:fill="EAF1F4"/>
          </w:tcPr>
          <w:p>
            <w:pPr>
              <w:spacing w:after="50" w:before="50" w:line="252" w:lineRule="auto"/>
            </w:pPr>
            <w:r>
              <w:rPr>
                <w:sz w:val="17"/>
              </w:rPr>
              <w:t>Revenue lost since September</w:t>
            </w:r>
          </w:p>
        </w:tc>
        <w:tc>
          <w:tcPr>
            <w:tcW w:type="dxa" w:w="6267"/>
            <w:shd w:val="clear" w:color="auto" w:fill="EAF1F4"/>
          </w:tcPr>
          <w:p>
            <w:pPr>
              <w:spacing w:after="50" w:before="50" w:line="252" w:lineRule="auto"/>
            </w:pPr>
            <w:r>
              <w:rPr>
                <w:sz w:val="17"/>
              </w:rPr>
              <w:t>Sundara's export volumes, approximately ₹1.6 crore annualised, moved to a competitor</w:t>
            </w:r>
          </w:p>
        </w:tc>
      </w:tr>
      <w:tr>
        <w:tc>
          <w:tcPr>
            <w:tcW w:type="dxa" w:w="3201"/>
          </w:tcPr>
          <w:p>
            <w:pPr>
              <w:spacing w:after="50" w:before="50" w:line="252" w:lineRule="auto"/>
            </w:pPr>
            <w:r>
              <w:rPr>
                <w:sz w:val="17"/>
              </w:rPr>
              <w:t>Tuticorin facility</w:t>
            </w:r>
          </w:p>
        </w:tc>
        <w:tc>
          <w:tcPr>
            <w:tcW w:type="dxa" w:w="6267"/>
          </w:tcPr>
          <w:p>
            <w:pPr>
              <w:spacing w:after="50" w:before="50" w:line="252" w:lineRule="auto"/>
            </w:pPr>
            <w:r>
              <w:rPr>
                <w:sz w:val="17"/>
              </w:rPr>
              <w:t xml:space="preserve">Opened April 2025. </w:t>
            </w:r>
            <w:r>
              <w:rPr>
                <w:b/>
                <w:sz w:val="17"/>
              </w:rPr>
              <w:t>Currently at 41% utilisation.</w:t>
            </w:r>
            <w:r>
              <w:rPr>
                <w:sz w:val="17"/>
              </w:rPr>
              <w:t xml:space="preserve"> Kaveri needs anchor clients. Each anchor tenancy is worth approximately ₹90 lakh to ₹1.3 crore annually</w:t>
            </w:r>
          </w:p>
        </w:tc>
      </w:tr>
      <w:tr>
        <w:tc>
          <w:tcPr>
            <w:tcW w:type="dxa" w:w="3201"/>
            <w:shd w:val="clear" w:color="auto" w:fill="EAF1F4"/>
          </w:tcPr>
          <w:p>
            <w:pPr>
              <w:spacing w:after="50" w:before="50" w:line="252" w:lineRule="auto"/>
            </w:pPr>
            <w:r>
              <w:rPr>
                <w:sz w:val="17"/>
              </w:rPr>
              <w:t>Organic export segment</w:t>
            </w:r>
          </w:p>
        </w:tc>
        <w:tc>
          <w:tcPr>
            <w:tcW w:type="dxa" w:w="6267"/>
            <w:shd w:val="clear" w:color="auto" w:fill="EAF1F4"/>
          </w:tcPr>
          <w:p>
            <w:pPr>
              <w:spacing w:after="50" w:before="50" w:line="252" w:lineRule="auto"/>
            </w:pPr>
            <w:r>
              <w:rPr>
                <w:sz w:val="17"/>
              </w:rPr>
              <w:t>Kaveri has two small clients in this segment. Sundara as a named reference would be materially valuable in winning others</w:t>
            </w:r>
          </w:p>
        </w:tc>
      </w:tr>
      <w:tr>
        <w:tc>
          <w:tcPr>
            <w:tcW w:type="dxa" w:w="3201"/>
          </w:tcPr>
          <w:p>
            <w:pPr>
              <w:spacing w:after="50" w:before="50" w:line="252" w:lineRule="auto"/>
            </w:pPr>
            <w:r>
              <w:rPr>
                <w:sz w:val="17"/>
              </w:rPr>
              <w:t>Cash position</w:t>
            </w:r>
          </w:p>
        </w:tc>
        <w:tc>
          <w:tcPr>
            <w:tcW w:type="dxa" w:w="6267"/>
          </w:tcPr>
          <w:p>
            <w:pPr>
              <w:spacing w:after="50" w:before="50" w:line="252" w:lineRule="auto"/>
            </w:pPr>
            <w:r>
              <w:rPr>
                <w:sz w:val="17"/>
              </w:rPr>
              <w:t>Adequate but not comfortable; the Series B matters</w:t>
            </w:r>
          </w:p>
        </w:tc>
      </w:tr>
    </w:tbl>
    <w:p>
      <w:pPr>
        <w:spacing w:after="80" w:before="0"/>
      </w:pPr>
    </w:p>
    <w:p>
      <w:pPr>
        <w:spacing w:before="80" w:after="160"/>
        <w:pBdr>
          <w:bottom w:val="single" w:sz="6" w:space="1" w:color="C9D6DE"/>
        </w:pBdr>
      </w:pPr>
    </w:p>
    <w:p>
      <w:pPr>
        <w:pStyle w:val="Heading1"/>
        <w:pBdr>
          <w:bottom w:val="single" w:sz="8" w:space="4" w:color="C9D6DE"/>
        </w:pBdr>
      </w:pPr>
      <w:r>
        <w:t>6. What Kaveri can offer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556"/>
            <w:shd w:val="clear" w:color="auto" w:fill="10375C"/>
          </w:tcPr>
          <w:p>
            <w:pPr>
              <w:spacing w:after="50" w:before="50"/>
            </w:pPr>
            <w:r>
              <w:rPr>
                <w:b/>
                <w:color w:val="FFFFFF"/>
                <w:sz w:val="17"/>
              </w:rPr>
              <w:t>Item</w:t>
            </w:r>
          </w:p>
        </w:tc>
        <w:tc>
          <w:tcPr>
            <w:tcW w:type="dxa" w:w="3520"/>
            <w:shd w:val="clear" w:color="auto" w:fill="10375C"/>
          </w:tcPr>
          <w:p>
            <w:pPr>
              <w:spacing w:after="50" w:before="50"/>
            </w:pPr>
            <w:r>
              <w:rPr>
                <w:b/>
                <w:color w:val="FFFFFF"/>
                <w:sz w:val="17"/>
              </w:rPr>
              <w:t>Cost to Kaveri</w:t>
            </w:r>
          </w:p>
        </w:tc>
        <w:tc>
          <w:tcPr>
            <w:tcW w:type="dxa" w:w="2391"/>
            <w:shd w:val="clear" w:color="auto" w:fill="10375C"/>
          </w:tcPr>
          <w:p>
            <w:pPr>
              <w:spacing w:after="50" w:before="50"/>
            </w:pPr>
            <w:r>
              <w:rPr>
                <w:b/>
                <w:color w:val="FFFFFF"/>
                <w:sz w:val="17"/>
              </w:rPr>
              <w:t>Value to Sundara</w:t>
            </w:r>
          </w:p>
        </w:tc>
      </w:tr>
      <w:tr>
        <w:tc>
          <w:tcPr>
            <w:tcW w:type="dxa" w:w="3556"/>
          </w:tcPr>
          <w:p>
            <w:pPr>
              <w:spacing w:after="50" w:before="50" w:line="252" w:lineRule="auto"/>
            </w:pPr>
            <w:r>
              <w:rPr>
                <w:sz w:val="17"/>
              </w:rPr>
              <w:t>Cash</w:t>
            </w:r>
          </w:p>
        </w:tc>
        <w:tc>
          <w:tcPr>
            <w:tcW w:type="dxa" w:w="3520"/>
          </w:tcPr>
          <w:p>
            <w:pPr>
              <w:spacing w:after="50" w:before="50" w:line="252" w:lineRule="auto"/>
            </w:pPr>
            <w:r>
              <w:rPr>
                <w:sz w:val="17"/>
              </w:rPr>
              <w:t>Real, but ₹75 lakh is already provided</w:t>
            </w:r>
          </w:p>
        </w:tc>
        <w:tc>
          <w:tcPr>
            <w:tcW w:type="dxa" w:w="2391"/>
          </w:tcPr>
          <w:p>
            <w:pPr>
              <w:spacing w:after="50" w:before="50" w:line="252" w:lineRule="auto"/>
            </w:pPr>
            <w:r>
              <w:rPr>
                <w:sz w:val="17"/>
              </w:rPr>
              <w:t>High — Sundara needs cash on the face of the settlement</w:t>
            </w:r>
          </w:p>
        </w:tc>
      </w:tr>
      <w:tr>
        <w:tc>
          <w:tcPr>
            <w:tcW w:type="dxa" w:w="3556"/>
            <w:shd w:val="clear" w:color="auto" w:fill="EAF1F4"/>
          </w:tcPr>
          <w:p>
            <w:pPr>
              <w:spacing w:after="50" w:before="50" w:line="252" w:lineRule="auto"/>
            </w:pPr>
            <w:r>
              <w:rPr>
                <w:sz w:val="17"/>
              </w:rPr>
              <w:t>Service credits at Coimbatore and Tuticorin</w:t>
            </w:r>
          </w:p>
        </w:tc>
        <w:tc>
          <w:tcPr>
            <w:tcW w:type="dxa" w:w="3520"/>
            <w:shd w:val="clear" w:color="auto" w:fill="EAF1F4"/>
          </w:tcPr>
          <w:p>
            <w:pPr>
              <w:spacing w:after="50" w:before="50" w:line="252" w:lineRule="auto"/>
            </w:pPr>
            <w:r>
              <w:rPr>
                <w:sz w:val="17"/>
              </w:rPr>
              <w:t>Low marginal cost at 41% utilisation</w:t>
            </w:r>
          </w:p>
        </w:tc>
        <w:tc>
          <w:tcPr>
            <w:tcW w:type="dxa" w:w="2391"/>
            <w:shd w:val="clear" w:color="auto" w:fill="EAF1F4"/>
          </w:tcPr>
          <w:p>
            <w:pPr>
              <w:spacing w:after="50" w:before="50" w:line="252" w:lineRule="auto"/>
            </w:pPr>
            <w:r>
              <w:rPr>
                <w:sz w:val="17"/>
              </w:rPr>
              <w:t>Moderate</w:t>
            </w:r>
          </w:p>
        </w:tc>
      </w:tr>
      <w:tr>
        <w:tc>
          <w:tcPr>
            <w:tcW w:type="dxa" w:w="3556"/>
          </w:tcPr>
          <w:p>
            <w:pPr>
              <w:spacing w:after="50" w:before="50" w:line="252" w:lineRule="auto"/>
            </w:pPr>
            <w:r>
              <w:rPr>
                <w:sz w:val="17"/>
              </w:rPr>
              <w:t>Rate reduction for the balance of the MLSA</w:t>
            </w:r>
          </w:p>
        </w:tc>
        <w:tc>
          <w:tcPr>
            <w:tcW w:type="dxa" w:w="3520"/>
          </w:tcPr>
          <w:p>
            <w:pPr>
              <w:spacing w:after="50" w:before="50" w:line="252" w:lineRule="auto"/>
            </w:pPr>
            <w:r>
              <w:rPr>
                <w:sz w:val="17"/>
              </w:rPr>
              <w:t>Moderate</w:t>
            </w:r>
          </w:p>
        </w:tc>
        <w:tc>
          <w:tcPr>
            <w:tcW w:type="dxa" w:w="2391"/>
          </w:tcPr>
          <w:p>
            <w:pPr>
              <w:spacing w:after="50" w:before="50" w:line="252" w:lineRule="auto"/>
            </w:pPr>
            <w:r>
              <w:rPr>
                <w:sz w:val="17"/>
              </w:rPr>
              <w:t>Moderate</w:t>
            </w:r>
          </w:p>
        </w:tc>
      </w:tr>
      <w:tr>
        <w:tc>
          <w:tcPr>
            <w:tcW w:type="dxa" w:w="3556"/>
            <w:shd w:val="clear" w:color="auto" w:fill="EAF1F4"/>
          </w:tcPr>
          <w:p>
            <w:pPr>
              <w:spacing w:after="50" w:before="50" w:line="252" w:lineRule="auto"/>
            </w:pPr>
            <w:r>
              <w:rPr>
                <w:sz w:val="17"/>
              </w:rPr>
              <w:t>Extension of the MLSA on improved terms</w:t>
            </w:r>
          </w:p>
        </w:tc>
        <w:tc>
          <w:tcPr>
            <w:tcW w:type="dxa" w:w="3520"/>
            <w:shd w:val="clear" w:color="auto" w:fill="EAF1F4"/>
          </w:tcPr>
          <w:p>
            <w:pPr>
              <w:spacing w:after="50" w:before="50" w:line="252" w:lineRule="auto"/>
            </w:pPr>
            <w:r>
              <w:rPr>
                <w:sz w:val="17"/>
              </w:rPr>
              <w:t>None; positively valuable to Kaveri</w:t>
            </w:r>
          </w:p>
        </w:tc>
        <w:tc>
          <w:tcPr>
            <w:tcW w:type="dxa" w:w="2391"/>
            <w:shd w:val="clear" w:color="auto" w:fill="EAF1F4"/>
          </w:tcPr>
          <w:p>
            <w:pPr>
              <w:spacing w:after="50" w:before="50" w:line="252" w:lineRule="auto"/>
            </w:pPr>
            <w:r>
              <w:rPr>
                <w:sz w:val="17"/>
              </w:rPr>
              <w:t>Moderate</w:t>
            </w:r>
          </w:p>
        </w:tc>
      </w:tr>
      <w:tr>
        <w:tc>
          <w:tcPr>
            <w:tcW w:type="dxa" w:w="3556"/>
          </w:tcPr>
          <w:p>
            <w:pPr>
              <w:spacing w:after="50" w:before="50" w:line="252" w:lineRule="auto"/>
            </w:pPr>
            <w:r>
              <w:rPr>
                <w:b/>
                <w:sz w:val="17"/>
              </w:rPr>
              <w:t>A joint root-cause statement</w:t>
            </w:r>
          </w:p>
        </w:tc>
        <w:tc>
          <w:tcPr>
            <w:tcW w:type="dxa" w:w="3520"/>
          </w:tcPr>
          <w:p>
            <w:pPr>
              <w:spacing w:after="50" w:before="50" w:line="252" w:lineRule="auto"/>
            </w:pPr>
            <w:r>
              <w:rPr>
                <w:sz w:val="17"/>
              </w:rPr>
              <w:t>Depends entirely on wording</w:t>
            </w:r>
          </w:p>
        </w:tc>
        <w:tc>
          <w:tcPr>
            <w:tcW w:type="dxa" w:w="2391"/>
          </w:tcPr>
          <w:p>
            <w:pPr>
              <w:spacing w:after="50" w:before="50" w:line="252" w:lineRule="auto"/>
            </w:pPr>
            <w:r>
              <w:rPr>
                <w:b/>
                <w:sz w:val="17"/>
              </w:rPr>
              <w:t>Very high</w:t>
            </w:r>
            <w:r>
              <w:rPr>
                <w:sz w:val="17"/>
              </w:rPr>
              <w:t xml:space="preserve"> — but Kaveri does not know this</w:t>
            </w:r>
          </w:p>
        </w:tc>
      </w:tr>
      <w:tr>
        <w:tc>
          <w:tcPr>
            <w:tcW w:type="dxa" w:w="3556"/>
            <w:shd w:val="clear" w:color="auto" w:fill="EAF1F4"/>
          </w:tcPr>
          <w:p>
            <w:pPr>
              <w:spacing w:after="50" w:before="50" w:line="252" w:lineRule="auto"/>
            </w:pPr>
            <w:r>
              <w:rPr>
                <w:sz w:val="17"/>
              </w:rPr>
              <w:t>Investment in dual redundant logging and a 24-month data retention policy</w:t>
            </w:r>
          </w:p>
        </w:tc>
        <w:tc>
          <w:tcPr>
            <w:tcW w:type="dxa" w:w="3520"/>
            <w:shd w:val="clear" w:color="auto" w:fill="EAF1F4"/>
          </w:tcPr>
          <w:p>
            <w:pPr>
              <w:spacing w:after="50" w:before="50" w:line="252" w:lineRule="auto"/>
            </w:pPr>
            <w:r>
              <w:rPr>
                <w:sz w:val="17"/>
              </w:rPr>
              <w:t>Approximately ₹40 lakh across the network, and something Kaveri now has to do anyway</w:t>
            </w:r>
          </w:p>
        </w:tc>
        <w:tc>
          <w:tcPr>
            <w:tcW w:type="dxa" w:w="2391"/>
            <w:shd w:val="clear" w:color="auto" w:fill="EAF1F4"/>
          </w:tcPr>
          <w:p>
            <w:pPr>
              <w:spacing w:after="50" w:before="50" w:line="252" w:lineRule="auto"/>
            </w:pPr>
            <w:r>
              <w:rPr>
                <w:sz w:val="17"/>
              </w:rPr>
              <w:t>Moderate, and reputationally useful to both</w:t>
            </w:r>
          </w:p>
        </w:tc>
      </w:tr>
      <w:tr>
        <w:tc>
          <w:tcPr>
            <w:tcW w:type="dxa" w:w="3556"/>
          </w:tcPr>
          <w:p>
            <w:pPr>
              <w:spacing w:after="50" w:before="50" w:line="252" w:lineRule="auto"/>
            </w:pPr>
            <w:r>
              <w:rPr>
                <w:sz w:val="17"/>
              </w:rPr>
              <w:t>Joint quality protocol with Sundara's team</w:t>
            </w:r>
          </w:p>
        </w:tc>
        <w:tc>
          <w:tcPr>
            <w:tcW w:type="dxa" w:w="3520"/>
          </w:tcPr>
          <w:p>
            <w:pPr>
              <w:spacing w:after="50" w:before="50" w:line="252" w:lineRule="auto"/>
            </w:pPr>
            <w:r>
              <w:rPr>
                <w:sz w:val="17"/>
              </w:rPr>
              <w:t>Low</w:t>
            </w:r>
          </w:p>
        </w:tc>
        <w:tc>
          <w:tcPr>
            <w:tcW w:type="dxa" w:w="2391"/>
          </w:tcPr>
          <w:p>
            <w:pPr>
              <w:spacing w:after="50" w:before="50" w:line="252" w:lineRule="auto"/>
            </w:pPr>
            <w:r>
              <w:rPr>
                <w:sz w:val="17"/>
              </w:rPr>
              <w:t>Moderate</w:t>
            </w:r>
          </w:p>
        </w:tc>
      </w:tr>
      <w:tr>
        <w:tc>
          <w:tcPr>
            <w:tcW w:type="dxa" w:w="3556"/>
            <w:shd w:val="clear" w:color="auto" w:fill="EAF1F4"/>
          </w:tcPr>
          <w:p>
            <w:pPr>
              <w:spacing w:after="50" w:before="50" w:line="252" w:lineRule="auto"/>
            </w:pPr>
            <w:r>
              <w:rPr>
                <w:sz w:val="17"/>
              </w:rPr>
              <w:t>Priority allocation and guaranteed capacity at Tuticorin</w:t>
            </w:r>
          </w:p>
        </w:tc>
        <w:tc>
          <w:tcPr>
            <w:tcW w:type="dxa" w:w="3520"/>
            <w:shd w:val="clear" w:color="auto" w:fill="EAF1F4"/>
          </w:tcPr>
          <w:p>
            <w:pPr>
              <w:spacing w:after="50" w:before="50" w:line="252" w:lineRule="auto"/>
            </w:pPr>
            <w:r>
              <w:rPr>
                <w:sz w:val="17"/>
              </w:rPr>
              <w:t>Low at current utilisation</w:t>
            </w:r>
          </w:p>
        </w:tc>
        <w:tc>
          <w:tcPr>
            <w:tcW w:type="dxa" w:w="2391"/>
            <w:shd w:val="clear" w:color="auto" w:fill="EAF1F4"/>
          </w:tcPr>
          <w:p>
            <w:pPr>
              <w:spacing w:after="50" w:before="50" w:line="252" w:lineRule="auto"/>
            </w:pPr>
            <w:r>
              <w:rPr>
                <w:sz w:val="17"/>
              </w:rPr>
              <w:t>Moderate to high</w:t>
            </w:r>
          </w:p>
        </w:tc>
      </w:tr>
      <w:tr>
        <w:tc>
          <w:tcPr>
            <w:tcW w:type="dxa" w:w="3556"/>
          </w:tcPr>
          <w:p>
            <w:pPr>
              <w:spacing w:after="50" w:before="50" w:line="252" w:lineRule="auto"/>
            </w:pPr>
            <w:r>
              <w:rPr>
                <w:sz w:val="17"/>
              </w:rPr>
              <w:t>Confidentiality</w:t>
            </w:r>
          </w:p>
        </w:tc>
        <w:tc>
          <w:tcPr>
            <w:tcW w:type="dxa" w:w="3520"/>
          </w:tcPr>
          <w:p>
            <w:pPr>
              <w:spacing w:after="50" w:before="50" w:line="252" w:lineRule="auto"/>
            </w:pPr>
            <w:r>
              <w:rPr>
                <w:sz w:val="17"/>
              </w:rPr>
              <w:t>Positively valuable to Kaveri</w:t>
            </w:r>
          </w:p>
        </w:tc>
        <w:tc>
          <w:tcPr>
            <w:tcW w:type="dxa" w:w="2391"/>
          </w:tcPr>
          <w:p>
            <w:pPr>
              <w:spacing w:after="50" w:before="50" w:line="252" w:lineRule="auto"/>
            </w:pPr>
            <w:r>
              <w:rPr>
                <w:sz w:val="17"/>
              </w:rPr>
              <w:t>High</w:t>
            </w:r>
          </w:p>
        </w:tc>
      </w:tr>
    </w:tbl>
    <w:p>
      <w:pPr>
        <w:spacing w:after="80" w:before="0"/>
      </w:pPr>
    </w:p>
    <w:p>
      <w:pPr>
        <w:spacing w:before="80" w:after="160"/>
        <w:pBdr>
          <w:bottom w:val="single" w:sz="6" w:space="1" w:color="C9D6DE"/>
        </w:pBdr>
      </w:pPr>
    </w:p>
    <w:p>
      <w:pPr>
        <w:pStyle w:val="Heading1"/>
        <w:pBdr>
          <w:bottom w:val="single" w:sz="8" w:space="4" w:color="C9D6DE"/>
        </w:pBdr>
      </w:pPr>
      <w:r>
        <w:t>7. Your authority</w:t>
      </w:r>
    </w:p>
    <w:p>
      <w:r>
        <w:t>Mr Kaveri has authority to settle without further reference to the board, provided the settlement does not contain an admission of liability that would prejudice the insurance position.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83"/>
            <w:shd w:val="clear" w:color="auto" w:fill="10375C"/>
          </w:tcPr>
          <w:p>
            <w:pPr>
              <w:spacing w:after="50" w:before="50"/>
            </w:pPr>
            <w:r>
              <w:rPr>
                <w:b/>
                <w:color w:val="FFFFFF"/>
                <w:sz w:val="17"/>
              </w:rPr>
              <w:t>Element</w:t>
            </w:r>
          </w:p>
        </w:tc>
        <w:tc>
          <w:tcPr>
            <w:tcW w:type="dxa" w:w="6785"/>
            <w:shd w:val="clear" w:color="auto" w:fill="10375C"/>
          </w:tcPr>
          <w:p>
            <w:pPr>
              <w:spacing w:after="50" w:before="50"/>
            </w:pPr>
            <w:r>
              <w:rPr>
                <w:b/>
                <w:color w:val="FFFFFF"/>
                <w:sz w:val="17"/>
              </w:rPr>
              <w:t>Position</w:t>
            </w:r>
          </w:p>
        </w:tc>
      </w:tr>
      <w:tr>
        <w:tc>
          <w:tcPr>
            <w:tcW w:type="dxa" w:w="2683"/>
          </w:tcPr>
          <w:p>
            <w:pPr>
              <w:spacing w:after="50" w:before="50" w:line="252" w:lineRule="auto"/>
            </w:pPr>
            <w:r>
              <w:rPr>
                <w:sz w:val="17"/>
              </w:rPr>
              <w:t>Opening position</w:t>
            </w:r>
          </w:p>
        </w:tc>
        <w:tc>
          <w:tcPr>
            <w:tcW w:type="dxa" w:w="6785"/>
          </w:tcPr>
          <w:p>
            <w:pPr>
              <w:spacing w:after="50" w:before="50" w:line="252" w:lineRule="auto"/>
            </w:pPr>
            <w:r>
              <w:rPr>
                <w:sz w:val="17"/>
              </w:rPr>
              <w:t>Liability denied; cap of ₹42.1 lakh applies; offer of ₹21 lakh in service credits stands</w:t>
            </w:r>
          </w:p>
        </w:tc>
      </w:tr>
      <w:tr>
        <w:tc>
          <w:tcPr>
            <w:tcW w:type="dxa" w:w="2683"/>
            <w:shd w:val="clear" w:color="auto" w:fill="EAF1F4"/>
          </w:tcPr>
          <w:p>
            <w:pPr>
              <w:spacing w:after="50" w:before="50" w:line="252" w:lineRule="auto"/>
            </w:pPr>
            <w:r>
              <w:rPr>
                <w:sz w:val="17"/>
              </w:rPr>
              <w:t>Realistic target</w:t>
            </w:r>
          </w:p>
        </w:tc>
        <w:tc>
          <w:tcPr>
            <w:tcW w:type="dxa" w:w="6785"/>
            <w:shd w:val="clear" w:color="auto" w:fill="EAF1F4"/>
          </w:tcPr>
          <w:p>
            <w:pPr>
              <w:spacing w:after="50" w:before="50" w:line="252" w:lineRule="auto"/>
            </w:pPr>
            <w:r>
              <w:rPr>
                <w:sz w:val="17"/>
              </w:rPr>
              <w:t xml:space="preserve">Total package value up to </w:t>
            </w:r>
            <w:r>
              <w:rPr>
                <w:b/>
                <w:sz w:val="17"/>
              </w:rPr>
              <w:t>₹2.4 crore</w:t>
            </w:r>
            <w:r>
              <w:rPr>
                <w:sz w:val="17"/>
              </w:rPr>
              <w:t xml:space="preserve">, of which cash not exceeding </w:t>
            </w:r>
            <w:r>
              <w:rPr>
                <w:b/>
                <w:sz w:val="17"/>
              </w:rPr>
              <w:t>₹1.2 crore</w:t>
            </w:r>
          </w:p>
        </w:tc>
      </w:tr>
      <w:tr>
        <w:tc>
          <w:tcPr>
            <w:tcW w:type="dxa" w:w="2683"/>
          </w:tcPr>
          <w:p>
            <w:pPr>
              <w:spacing w:after="50" w:before="50" w:line="252" w:lineRule="auto"/>
            </w:pPr>
            <w:r>
              <w:rPr>
                <w:b/>
                <w:sz w:val="17"/>
              </w:rPr>
              <w:t>Maximum cash authority</w:t>
            </w:r>
          </w:p>
        </w:tc>
        <w:tc>
          <w:tcPr>
            <w:tcW w:type="dxa" w:w="6785"/>
          </w:tcPr>
          <w:p>
            <w:pPr>
              <w:spacing w:after="50" w:before="50" w:line="252" w:lineRule="auto"/>
            </w:pPr>
            <w:r>
              <w:rPr>
                <w:b/>
                <w:sz w:val="17"/>
              </w:rPr>
              <w:t>₹1.45 crore</w:t>
            </w:r>
          </w:p>
        </w:tc>
      </w:tr>
      <w:tr>
        <w:tc>
          <w:tcPr>
            <w:tcW w:type="dxa" w:w="2683"/>
            <w:shd w:val="clear" w:color="auto" w:fill="EAF1F4"/>
          </w:tcPr>
          <w:p>
            <w:pPr>
              <w:spacing w:after="50" w:before="50" w:line="252" w:lineRule="auto"/>
            </w:pPr>
            <w:r>
              <w:rPr>
                <w:sz w:val="17"/>
              </w:rPr>
              <w:t>Absolute requirements</w:t>
            </w:r>
          </w:p>
        </w:tc>
        <w:tc>
          <w:tcPr>
            <w:tcW w:type="dxa" w:w="6785"/>
            <w:shd w:val="clear" w:color="auto" w:fill="EAF1F4"/>
          </w:tcPr>
          <w:p>
            <w:pPr>
              <w:spacing w:after="50" w:before="50" w:line="252" w:lineRule="auto"/>
            </w:pPr>
            <w:r>
              <w:rPr>
                <w:sz w:val="17"/>
              </w:rPr>
              <w:t xml:space="preserve">(a) No admission of liability in terms that prejudice the insurance position; (b) </w:t>
            </w:r>
            <w:r>
              <w:rPr>
                <w:b/>
                <w:sz w:val="17"/>
              </w:rPr>
              <w:t>strict confidentiality</w:t>
            </w:r>
            <w:r>
              <w:rPr>
                <w:sz w:val="17"/>
              </w:rPr>
              <w:t>, including as to the temperature data and the retention policy; (c) full and final settlement of all claims arising from the consignment; (d) withdrawal of the section 12A application</w:t>
            </w:r>
          </w:p>
        </w:tc>
      </w:tr>
      <w:tr>
        <w:tc>
          <w:tcPr>
            <w:tcW w:type="dxa" w:w="2683"/>
          </w:tcPr>
          <w:p>
            <w:pPr>
              <w:spacing w:after="50" w:before="50" w:line="252" w:lineRule="auto"/>
            </w:pPr>
            <w:r>
              <w:rPr>
                <w:sz w:val="17"/>
              </w:rPr>
              <w:t>Strongly desired</w:t>
            </w:r>
          </w:p>
        </w:tc>
        <w:tc>
          <w:tcPr>
            <w:tcW w:type="dxa" w:w="6785"/>
          </w:tcPr>
          <w:p>
            <w:pPr>
              <w:spacing w:after="50" w:before="50" w:line="252" w:lineRule="auto"/>
            </w:pPr>
            <w:r>
              <w:rPr>
                <w:sz w:val="17"/>
              </w:rPr>
              <w:t xml:space="preserve">Return of Sundara's export volumes; extension of the MLSA; </w:t>
            </w:r>
            <w:r>
              <w:rPr>
                <w:b/>
                <w:sz w:val="17"/>
              </w:rPr>
              <w:t>the right to name Sundara as an organic export reference client</w:t>
            </w:r>
            <w:r>
              <w:rPr>
                <w:sz w:val="17"/>
              </w:rPr>
              <w:t>; an anchor commitment at Tuticorin</w:t>
            </w:r>
          </w:p>
        </w:tc>
      </w:tr>
      <w:tr>
        <w:tc>
          <w:tcPr>
            <w:tcW w:type="dxa" w:w="2683"/>
            <w:shd w:val="clear" w:color="auto" w:fill="EAF1F4"/>
          </w:tcPr>
          <w:p>
            <w:pPr>
              <w:spacing w:after="50" w:before="50" w:line="252" w:lineRule="auto"/>
            </w:pPr>
            <w:r>
              <w:rPr>
                <w:sz w:val="17"/>
              </w:rPr>
              <w:t>Timing</w:t>
            </w:r>
          </w:p>
        </w:tc>
        <w:tc>
          <w:tcPr>
            <w:tcW w:type="dxa" w:w="6785"/>
            <w:shd w:val="clear" w:color="auto" w:fill="EAF1F4"/>
          </w:tcPr>
          <w:p>
            <w:pPr>
              <w:spacing w:after="50" w:before="50" w:line="252" w:lineRule="auto"/>
            </w:pPr>
            <w:r>
              <w:rPr>
                <w:sz w:val="17"/>
              </w:rPr>
              <w:t xml:space="preserve">Resolved before </w:t>
            </w:r>
            <w:r>
              <w:rPr>
                <w:b/>
                <w:sz w:val="17"/>
              </w:rPr>
              <w:t>February 2026</w:t>
            </w:r>
            <w:r>
              <w:rPr>
                <w:sz w:val="17"/>
              </w:rPr>
              <w:t>, when operational due diligence begins</w:t>
            </w:r>
          </w:p>
        </w:tc>
      </w:tr>
      <w:tr>
        <w:tc>
          <w:tcPr>
            <w:tcW w:type="dxa" w:w="2683"/>
          </w:tcPr>
          <w:p>
            <w:pPr>
              <w:spacing w:after="50" w:before="50" w:line="252" w:lineRule="auto"/>
            </w:pPr>
            <w:r>
              <w:rPr>
                <w:sz w:val="17"/>
              </w:rPr>
              <w:t>Walk-away</w:t>
            </w:r>
          </w:p>
        </w:tc>
        <w:tc>
          <w:tcPr>
            <w:tcW w:type="dxa" w:w="6785"/>
          </w:tcPr>
          <w:p>
            <w:pPr>
              <w:spacing w:after="50" w:before="50" w:line="252" w:lineRule="auto"/>
            </w:pPr>
            <w:r>
              <w:rPr>
                <w:sz w:val="17"/>
              </w:rPr>
              <w:t>If Sundara insists on a settlement recital admitting that Kaveri's monitoring failed, in terms Kaveri's insurers would treat as an admission. Mr Kaveri would rather arbitrate than sign that — although he is well aware of what arbitration would expose</w:t>
            </w:r>
          </w:p>
        </w:tc>
      </w:tr>
    </w:tbl>
    <w:p>
      <w:pPr>
        <w:spacing w:after="80" w:before="0"/>
      </w:pPr>
    </w:p>
    <w:p>
      <w:pPr>
        <w:spacing w:before="80" w:after="160"/>
        <w:pBdr>
          <w:bottom w:val="single" w:sz="6" w:space="1" w:color="C9D6DE"/>
        </w:pBdr>
      </w:pPr>
    </w:p>
    <w:p>
      <w:pPr>
        <w:pStyle w:val="Heading1"/>
        <w:pBdr>
          <w:bottom w:val="single" w:sz="8" w:space="4" w:color="C9D6DE"/>
        </w:pBdr>
      </w:pPr>
      <w:r>
        <w:t>8. The cached data — your hardest decision</w:t>
      </w:r>
    </w:p>
    <w:p>
      <w:r>
        <w:t>You hold data showing a peak of 33.8°C, sustained above 30°C for nearly four hours, which Sundara does not have and has not seen. Sundara's claim is currently pleaded on a six-hour gap in the record, not on a proven excursion.</w:t>
      </w:r>
    </w:p>
    <w:p>
      <w:r>
        <w:t>Consider:</w:t>
      </w:r>
    </w:p>
    <w:p>
      <w:pPr>
        <w:pStyle w:val="ListBullet"/>
      </w:pPr>
      <w:r>
        <w:rPr>
          <w:sz w:val="21"/>
        </w:rPr>
        <w:t>If you do not disclose it and the matter goes to arbitration, it is disclosable, and the manner in which it emerges will be far worse than voluntary disclosure now.</w:t>
      </w:r>
    </w:p>
    <w:p>
      <w:pPr>
        <w:pStyle w:val="ListBullet"/>
      </w:pPr>
      <w:r>
        <w:rPr>
          <w:sz w:val="21"/>
        </w:rPr>
        <w:t>If you disclose it in the mediation, Sundara's position on causation strengthens immediately — but the disclosure is protected by the confidentiality regime of the Mediation Act, 2023 and is inadmissible in later proceedings, and it may buy you a great deal in credibility and in the terms of the root-cause statement.</w:t>
      </w:r>
    </w:p>
    <w:p>
      <w:pPr>
        <w:pStyle w:val="ListBullet"/>
      </w:pPr>
      <w:r>
        <w:rPr>
          <w:sz w:val="21"/>
        </w:rPr>
        <w:t>If you disclose it in caucus to the mediator only, you obtain the mediator's assistance without arming the other side directly — though you should think about what the mediator can and cannot do with it.</w:t>
      </w:r>
    </w:p>
    <w:p>
      <w:pPr>
        <w:pStyle w:val="ListBullet"/>
      </w:pPr>
      <w:r>
        <w:rPr>
          <w:sz w:val="21"/>
        </w:rPr>
        <w:t xml:space="preserve">Your counsel's advice is that disclosure in the mediation is the lesser risk </w:t>
      </w:r>
      <w:r>
        <w:rPr>
          <w:b/>
          <w:sz w:val="21"/>
        </w:rPr>
        <w:t>if it is accompanied by a settlement</w:t>
      </w:r>
      <w:r>
        <w:rPr>
          <w:sz w:val="21"/>
        </w:rPr>
        <w:t>, and the greater risk if it is not.</w:t>
      </w:r>
    </w:p>
    <w:p>
      <w:r>
        <w:rPr>
          <w:b/>
        </w:rPr>
        <w:t>This decision, and how you handle it, is the centre of this problem.</w:t>
      </w:r>
    </w:p>
    <w:p>
      <w:pPr>
        <w:spacing w:before="80" w:after="160"/>
        <w:pBdr>
          <w:bottom w:val="single" w:sz="6" w:space="1" w:color="C9D6DE"/>
        </w:pBdr>
      </w:pPr>
    </w:p>
    <w:p>
      <w:pPr>
        <w:pStyle w:val="Heading1"/>
        <w:pBdr>
          <w:bottom w:val="single" w:sz="8" w:space="4" w:color="C9D6DE"/>
        </w:pBdr>
      </w:pPr>
      <w:r>
        <w:t>9. What Mr Kaveri thinks of Ms Ramanathan</w:t>
      </w:r>
    </w:p>
    <w:p>
      <w:r>
        <w:t>He respects her. He thinks she has built something genuinely difficult and that she is more capable than her father was. He was uncomfortable with the 31 October letter, which was drafted by counsel and which he now thinks was a mistake — it made a commercial problem look like a legal fight.</w:t>
      </w:r>
    </w:p>
    <w:p>
      <w:r>
        <w:t>He would very much like to keep this client. He is also aware that if Sundara walks away publicly, other organic exporters will hear about it.</w:t>
      </w:r>
    </w:p>
    <w:p>
      <w:pPr>
        <w:spacing w:before="80" w:after="160"/>
        <w:pBdr>
          <w:bottom w:val="single" w:sz="6" w:space="1" w:color="C9D6DE"/>
        </w:pBdr>
      </w:pPr>
    </w:p>
    <w:p>
      <w:pPr>
        <w:pStyle w:val="Heading1"/>
        <w:pBdr>
          <w:bottom w:val="single" w:sz="8" w:space="4" w:color="C9D6DE"/>
        </w:pBdr>
      </w:pPr>
      <w:r>
        <w:t>10. Questions to consider before you enter the room</w:t>
      </w:r>
    </w:p>
    <w:p>
      <w:pPr>
        <w:pStyle w:val="ListNumber"/>
      </w:pPr>
      <w:r>
        <w:rPr>
          <w:sz w:val="21"/>
        </w:rPr>
        <w:t>Do you disclose the cached data? To whom, when, and on what condition?</w:t>
      </w:r>
    </w:p>
    <w:p>
      <w:pPr>
        <w:pStyle w:val="ListNumber"/>
      </w:pPr>
      <w:r>
        <w:rPr>
          <w:sz w:val="21"/>
        </w:rPr>
        <w:t>What is a root-cause statement actually worth to Sundara, and how would you find out without revealing that you are willing to give one?</w:t>
      </w:r>
    </w:p>
    <w:p>
      <w:pPr>
        <w:pStyle w:val="ListNumber"/>
      </w:pPr>
      <w:r>
        <w:rPr>
          <w:sz w:val="21"/>
        </w:rPr>
        <w:t>How do you use the pre-cooling point without making the mediation adversarial?</w:t>
      </w:r>
    </w:p>
    <w:p>
      <w:pPr>
        <w:pStyle w:val="ListNumber"/>
      </w:pPr>
      <w:r>
        <w:rPr>
          <w:sz w:val="21"/>
        </w:rPr>
        <w:t>What can you offer that costs Kaveri little and is worth a great deal to Sundara?</w:t>
      </w:r>
    </w:p>
    <w:p>
      <w:pPr>
        <w:pStyle w:val="ListNumber"/>
      </w:pPr>
      <w:r>
        <w:rPr>
          <w:sz w:val="21"/>
        </w:rPr>
        <w:t>If Sundara demands ₹2.8 crore in cash, what do you say?</w:t>
      </w:r>
    </w:p>
    <w:p>
      <w:pPr>
        <w:pStyle w:val="ListNumber"/>
      </w:pPr>
      <w:r>
        <w:rPr>
          <w:sz w:val="21"/>
        </w:rPr>
        <w:t>What do you need in the settlement wording to protect the insurance position, and how do you obtain it without appearing to be evading responsibility?</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Confidential Information — Kaveri Cold Chain Logistics</w:t>
    </w:r>
    <w:r>
      <w:rPr>
        <w:rFonts w:ascii="Calibri" w:hAnsi="Calibri"/>
        <w:color w:val="595959"/>
        <w:sz w:val="16"/>
      </w:rPr>
      <w:tab/>
      <w:t>STRICTLY CONFIDENTIAL — Respondent side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F15CEF0-3F70-4F9F-9EBB-6C06FABB9917}"/>
</file>

<file path=customXml/itemProps3.xml><?xml version="1.0" encoding="utf-8"?>
<ds:datastoreItem xmlns:ds="http://schemas.openxmlformats.org/officeDocument/2006/customXml" ds:itemID="{584CBEFC-DA1C-4665-B466-F072293EF731}"/>
</file>

<file path=customXml/itemProps4.xml><?xml version="1.0" encoding="utf-8"?>
<ds:datastoreItem xmlns:ds="http://schemas.openxmlformats.org/officeDocument/2006/customXml" ds:itemID="{F5320BC6-6F29-451C-9360-BBC5D660470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