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Mediator Brief &amp; Assessor Notes</w:t>
      </w:r>
    </w:p>
    <w:p>
      <w:pPr>
        <w:spacing w:after="280" w:line="276" w:lineRule="auto"/>
      </w:pPr>
      <w:r>
        <w:rPr>
          <w:rFonts w:ascii="Calibri" w:hAnsi="Calibri"/>
          <w:i/>
          <w:color w:val="3E6B8A"/>
          <w:sz w:val="25"/>
        </w:rPr>
        <w:t>For mediators, judges and the Competition Committee only. Contains both confidential briefs in summary and the intended learning architecture of the problem.</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EQ-UAP-066</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Competitions</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STRICTLY CONFIDENTIAL — Mediators, judges and Committee only</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spacing w:before="140" w:after="140"/>
        <w:ind w:left="198" w:right="113"/>
        <w:shd w:val="clear" w:color="auto" w:fill="EAF1F4"/>
        <w:pBdr>
          <w:left w:val="single" w:sz="18" w:space="6" w:color="0E7C7B"/>
        </w:pBdr>
      </w:pPr>
      <w:r>
        <w:rPr>
          <w:b/>
          <w:sz w:val="19"/>
        </w:rPr>
        <w:t>Do not circulate.</w:t>
      </w:r>
      <w:r>
        <w:rPr>
          <w:sz w:val="19"/>
        </w:rPr>
        <w:t xml:space="preserve"> Possession of this document by any competitor, coach or organising volunteer before public release of the problem is a disqualifying event. Judges and mediators receive it not less than seven days before the Championship and confirm receipt.</w:t>
      </w:r>
    </w:p>
    <w:p>
      <w:pPr>
        <w:spacing w:before="80" w:after="160"/>
        <w:pBdr>
          <w:bottom w:val="single" w:sz="6" w:space="1" w:color="C9D6DE"/>
        </w:pBdr>
      </w:pPr>
    </w:p>
    <w:p>
      <w:pPr>
        <w:pStyle w:val="Heading1"/>
        <w:pBdr>
          <w:bottom w:val="single" w:sz="8" w:space="4" w:color="C9D6DE"/>
        </w:pBdr>
      </w:pPr>
      <w:r>
        <w:t>1. What this problem is designed to test</w:t>
      </w:r>
    </w:p>
    <w:p>
      <w:r>
        <w:t xml:space="preserve">The </w:t>
      </w:r>
      <w:r>
        <w:rPr>
          <w:i/>
        </w:rPr>
        <w:t>Sundara / Kaveri</w:t>
      </w:r>
      <w:r>
        <w:t xml:space="preserve"> problem is built so that a team which negotiates only about money will score badly, and a team which finds the non-monetary currency will score well. Almost every point of difficulty is designed to reward disciplined information exchange over positional bargaining.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34"/>
            <w:shd w:val="clear" w:color="auto" w:fill="10375C"/>
          </w:tcPr>
          <w:p>
            <w:pPr>
              <w:spacing w:after="50" w:before="50"/>
            </w:pPr>
            <w:r>
              <w:rPr>
                <w:b/>
                <w:color w:val="FFFFFF"/>
                <w:sz w:val="17"/>
              </w:rPr>
              <w:t>Design element</w:t>
            </w:r>
          </w:p>
        </w:tc>
        <w:tc>
          <w:tcPr>
            <w:tcW w:type="dxa" w:w="4734"/>
            <w:shd w:val="clear" w:color="auto" w:fill="10375C"/>
          </w:tcPr>
          <w:p>
            <w:pPr>
              <w:spacing w:after="50" w:before="50"/>
            </w:pPr>
            <w:r>
              <w:rPr>
                <w:b/>
                <w:color w:val="FFFFFF"/>
                <w:sz w:val="17"/>
              </w:rPr>
              <w:t>What it tests</w:t>
            </w:r>
          </w:p>
        </w:tc>
      </w:tr>
      <w:tr>
        <w:tc>
          <w:tcPr>
            <w:tcW w:type="dxa" w:w="4734"/>
          </w:tcPr>
          <w:p>
            <w:pPr>
              <w:spacing w:after="50" w:before="50" w:line="252" w:lineRule="auto"/>
            </w:pPr>
            <w:r>
              <w:rPr>
                <w:sz w:val="17"/>
              </w:rPr>
              <w:t>Both sides hold a transaction-timing pressure the other does not know about</w:t>
            </w:r>
          </w:p>
        </w:tc>
        <w:tc>
          <w:tcPr>
            <w:tcW w:type="dxa" w:w="4734"/>
          </w:tcPr>
          <w:p>
            <w:pPr>
              <w:spacing w:after="50" w:before="50" w:line="252" w:lineRule="auto"/>
            </w:pPr>
            <w:r>
              <w:rPr>
                <w:sz w:val="17"/>
              </w:rPr>
              <w:t>Whether teams surface deadlines; whether they recognise a shared interest in speed</w:t>
            </w:r>
          </w:p>
        </w:tc>
      </w:tr>
      <w:tr>
        <w:tc>
          <w:tcPr>
            <w:tcW w:type="dxa" w:w="4734"/>
            <w:shd w:val="clear" w:color="auto" w:fill="EAF1F4"/>
          </w:tcPr>
          <w:p>
            <w:pPr>
              <w:spacing w:after="50" w:before="50" w:line="252" w:lineRule="auto"/>
            </w:pPr>
            <w:r>
              <w:rPr>
                <w:sz w:val="17"/>
              </w:rPr>
              <w:t>Both sides hold an internal fault they would rather not disclose</w:t>
            </w:r>
          </w:p>
        </w:tc>
        <w:tc>
          <w:tcPr>
            <w:tcW w:type="dxa" w:w="4734"/>
            <w:shd w:val="clear" w:color="auto" w:fill="EAF1F4"/>
          </w:tcPr>
          <w:p>
            <w:pPr>
              <w:spacing w:after="50" w:before="50" w:line="252" w:lineRule="auto"/>
            </w:pPr>
            <w:r>
              <w:rPr>
                <w:sz w:val="17"/>
              </w:rPr>
              <w:t>Judgement about disclosure; the difference between candour and carelessness</w:t>
            </w:r>
          </w:p>
        </w:tc>
      </w:tr>
      <w:tr>
        <w:tc>
          <w:tcPr>
            <w:tcW w:type="dxa" w:w="4734"/>
          </w:tcPr>
          <w:p>
            <w:pPr>
              <w:spacing w:after="50" w:before="50" w:line="252" w:lineRule="auto"/>
            </w:pPr>
            <w:r>
              <w:rPr>
                <w:sz w:val="17"/>
              </w:rPr>
              <w:t>Kaveri holds hard data that would strengthen Sundara's case</w:t>
            </w:r>
          </w:p>
        </w:tc>
        <w:tc>
          <w:tcPr>
            <w:tcW w:type="dxa" w:w="4734"/>
          </w:tcPr>
          <w:p>
            <w:pPr>
              <w:spacing w:after="50" w:before="50" w:line="252" w:lineRule="auto"/>
            </w:pPr>
            <w:r>
              <w:rPr>
                <w:sz w:val="17"/>
              </w:rPr>
              <w:t>The hardest ethical and strategic decision in the problem</w:t>
            </w:r>
          </w:p>
        </w:tc>
      </w:tr>
      <w:tr>
        <w:tc>
          <w:tcPr>
            <w:tcW w:type="dxa" w:w="4734"/>
            <w:shd w:val="clear" w:color="auto" w:fill="EAF1F4"/>
          </w:tcPr>
          <w:p>
            <w:pPr>
              <w:spacing w:after="50" w:before="50" w:line="252" w:lineRule="auto"/>
            </w:pPr>
            <w:r>
              <w:rPr>
                <w:sz w:val="17"/>
              </w:rPr>
              <w:t>The most valuable item to Sundara costs Kaveri almost nothing</w:t>
            </w:r>
          </w:p>
        </w:tc>
        <w:tc>
          <w:tcPr>
            <w:tcW w:type="dxa" w:w="4734"/>
            <w:shd w:val="clear" w:color="auto" w:fill="EAF1F4"/>
          </w:tcPr>
          <w:p>
            <w:pPr>
              <w:spacing w:after="50" w:before="50" w:line="252" w:lineRule="auto"/>
            </w:pPr>
            <w:r>
              <w:rPr>
                <w:sz w:val="17"/>
              </w:rPr>
              <w:t>Whether teams ask what the other side actually needs</w:t>
            </w:r>
          </w:p>
        </w:tc>
      </w:tr>
      <w:tr>
        <w:tc>
          <w:tcPr>
            <w:tcW w:type="dxa" w:w="4734"/>
          </w:tcPr>
          <w:p>
            <w:pPr>
              <w:spacing w:after="50" w:before="50" w:line="252" w:lineRule="auto"/>
            </w:pPr>
            <w:r>
              <w:rPr>
                <w:sz w:val="17"/>
              </w:rPr>
              <w:t>A contractual liability cap that looks decisive but is not</w:t>
            </w:r>
          </w:p>
        </w:tc>
        <w:tc>
          <w:tcPr>
            <w:tcW w:type="dxa" w:w="4734"/>
          </w:tcPr>
          <w:p>
            <w:pPr>
              <w:spacing w:after="50" w:before="50" w:line="252" w:lineRule="auto"/>
            </w:pPr>
            <w:r>
              <w:rPr>
                <w:sz w:val="17"/>
              </w:rPr>
              <w:t>Whether teams over-rely on a legal position in a mediation</w:t>
            </w:r>
          </w:p>
        </w:tc>
      </w:tr>
      <w:tr>
        <w:tc>
          <w:tcPr>
            <w:tcW w:type="dxa" w:w="4734"/>
            <w:shd w:val="clear" w:color="auto" w:fill="EAF1F4"/>
          </w:tcPr>
          <w:p>
            <w:pPr>
              <w:spacing w:after="50" w:before="50" w:line="252" w:lineRule="auto"/>
            </w:pPr>
            <w:r>
              <w:rPr>
                <w:sz w:val="17"/>
              </w:rPr>
              <w:t>Three non-cash currencies of real value</w:t>
            </w:r>
          </w:p>
        </w:tc>
        <w:tc>
          <w:tcPr>
            <w:tcW w:type="dxa" w:w="4734"/>
            <w:shd w:val="clear" w:color="auto" w:fill="EAF1F4"/>
          </w:tcPr>
          <w:p>
            <w:pPr>
              <w:spacing w:after="50" w:before="50" w:line="252" w:lineRule="auto"/>
            </w:pPr>
            <w:r>
              <w:rPr>
                <w:sz w:val="17"/>
              </w:rPr>
              <w:t>Option generation; expanding rather than dividing</w:t>
            </w:r>
          </w:p>
        </w:tc>
      </w:tr>
    </w:tbl>
    <w:p>
      <w:pPr>
        <w:spacing w:after="80" w:before="0"/>
      </w:pPr>
    </w:p>
    <w:p>
      <w:pPr>
        <w:spacing w:before="80" w:after="160"/>
        <w:pBdr>
          <w:bottom w:val="single" w:sz="6" w:space="1" w:color="C9D6DE"/>
        </w:pBdr>
      </w:pPr>
    </w:p>
    <w:p>
      <w:pPr>
        <w:pStyle w:val="Heading1"/>
        <w:pBdr>
          <w:bottom w:val="single" w:sz="8" w:space="4" w:color="C9D6DE"/>
        </w:pBdr>
      </w:pPr>
      <w:r>
        <w:t>2. Confidential positions in summary</w:t>
      </w:r>
    </w:p>
    <w:p>
      <w:pPr>
        <w:pStyle w:val="Heading2"/>
      </w:pPr>
      <w:r>
        <w:t>2.1 Sundara — Claimant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721"/>
            <w:shd w:val="clear" w:color="auto" w:fill="10375C"/>
          </w:tcPr>
          <w:p>
            <w:pPr>
              <w:spacing w:after="50" w:before="50"/>
            </w:pPr>
            <w:r>
              <w:rPr>
                <w:b/>
                <w:color w:val="FFFFFF"/>
                <w:sz w:val="17"/>
              </w:rPr>
              <w:t>Item</w:t>
            </w:r>
          </w:p>
        </w:tc>
        <w:tc>
          <w:tcPr>
            <w:tcW w:type="dxa" w:w="6747"/>
            <w:shd w:val="clear" w:color="auto" w:fill="10375C"/>
          </w:tcPr>
          <w:p>
            <w:pPr>
              <w:spacing w:after="50" w:before="50"/>
            </w:pPr>
            <w:r>
              <w:rPr>
                <w:b/>
                <w:color w:val="FFFFFF"/>
                <w:sz w:val="17"/>
              </w:rPr>
              <w:t>Position</w:t>
            </w:r>
          </w:p>
        </w:tc>
      </w:tr>
      <w:tr>
        <w:tc>
          <w:tcPr>
            <w:tcW w:type="dxa" w:w="2721"/>
          </w:tcPr>
          <w:p>
            <w:pPr>
              <w:spacing w:after="50" w:before="50" w:line="252" w:lineRule="auto"/>
            </w:pPr>
            <w:r>
              <w:rPr>
                <w:sz w:val="17"/>
              </w:rPr>
              <w:t>Real driver</w:t>
            </w:r>
          </w:p>
        </w:tc>
        <w:tc>
          <w:tcPr>
            <w:tcW w:type="dxa" w:w="6747"/>
          </w:tcPr>
          <w:p>
            <w:pPr>
              <w:spacing w:after="50" w:before="50" w:line="252" w:lineRule="auto"/>
            </w:pPr>
            <w:r>
              <w:rPr>
                <w:sz w:val="17"/>
              </w:rPr>
              <w:t>A €6m minority investment and offtake arrangement with a European investor, due diligence concluding February 2026. An unresolved disclosed claim is the largest risk to completion</w:t>
            </w:r>
          </w:p>
        </w:tc>
      </w:tr>
      <w:tr>
        <w:tc>
          <w:tcPr>
            <w:tcW w:type="dxa" w:w="2721"/>
            <w:shd w:val="clear" w:color="auto" w:fill="EAF1F4"/>
          </w:tcPr>
          <w:p>
            <w:pPr>
              <w:spacing w:after="50" w:before="50" w:line="252" w:lineRule="auto"/>
            </w:pPr>
            <w:r>
              <w:rPr>
                <w:sz w:val="17"/>
              </w:rPr>
              <w:t>Hidden weakness</w:t>
            </w:r>
          </w:p>
        </w:tc>
        <w:tc>
          <w:tcPr>
            <w:tcW w:type="dxa" w:w="6747"/>
            <w:shd w:val="clear" w:color="auto" w:fill="EAF1F4"/>
          </w:tcPr>
          <w:p>
            <w:pPr>
              <w:spacing w:after="50" w:before="50" w:line="252" w:lineRule="auto"/>
            </w:pPr>
            <w:r>
              <w:rPr>
                <w:sz w:val="17"/>
              </w:rPr>
              <w:t>Its own blast-cooling unit was out of service at loading; the pre-cooling certificate may be inaccurate; the QC manager did not probe the interior of the stack per SOP</w:t>
            </w:r>
          </w:p>
        </w:tc>
      </w:tr>
      <w:tr>
        <w:tc>
          <w:tcPr>
            <w:tcW w:type="dxa" w:w="2721"/>
          </w:tcPr>
          <w:p>
            <w:pPr>
              <w:spacing w:after="50" w:before="50" w:line="252" w:lineRule="auto"/>
            </w:pPr>
            <w:r>
              <w:rPr>
                <w:sz w:val="17"/>
              </w:rPr>
              <w:t>Undisclosed financial fact</w:t>
            </w:r>
          </w:p>
        </w:tc>
        <w:tc>
          <w:tcPr>
            <w:tcW w:type="dxa" w:w="6747"/>
          </w:tcPr>
          <w:p>
            <w:pPr>
              <w:spacing w:after="50" w:before="50" w:line="252" w:lineRule="auto"/>
            </w:pPr>
            <w:r>
              <w:rPr>
                <w:sz w:val="17"/>
              </w:rPr>
              <w:t>Marine insurance responded to ₹1.86 crore, so unrecovered direct loss is approximately ₹2.86 crore, not ₹4.72 crore</w:t>
            </w:r>
          </w:p>
        </w:tc>
      </w:tr>
      <w:tr>
        <w:tc>
          <w:tcPr>
            <w:tcW w:type="dxa" w:w="2721"/>
            <w:shd w:val="clear" w:color="auto" w:fill="EAF1F4"/>
          </w:tcPr>
          <w:p>
            <w:pPr>
              <w:spacing w:after="50" w:before="50" w:line="252" w:lineRule="auto"/>
            </w:pPr>
            <w:r>
              <w:rPr>
                <w:sz w:val="17"/>
              </w:rPr>
              <w:t>Absolute requirement</w:t>
            </w:r>
          </w:p>
        </w:tc>
        <w:tc>
          <w:tcPr>
            <w:tcW w:type="dxa" w:w="6747"/>
            <w:shd w:val="clear" w:color="auto" w:fill="EAF1F4"/>
          </w:tcPr>
          <w:p>
            <w:pPr>
              <w:spacing w:after="50" w:before="50" w:line="252" w:lineRule="auto"/>
            </w:pPr>
            <w:r>
              <w:rPr>
                <w:sz w:val="17"/>
              </w:rPr>
              <w:t>A jointly agreed written root-cause statement not attributing the failure to Sundara's agronomy, farmers or organic certification</w:t>
            </w:r>
          </w:p>
        </w:tc>
      </w:tr>
      <w:tr>
        <w:tc>
          <w:tcPr>
            <w:tcW w:type="dxa" w:w="2721"/>
          </w:tcPr>
          <w:p>
            <w:pPr>
              <w:spacing w:after="50" w:before="50" w:line="252" w:lineRule="auto"/>
            </w:pPr>
            <w:r>
              <w:rPr>
                <w:sz w:val="17"/>
              </w:rPr>
              <w:t>Second requirement</w:t>
            </w:r>
          </w:p>
        </w:tc>
        <w:tc>
          <w:tcPr>
            <w:tcW w:type="dxa" w:w="6747"/>
          </w:tcPr>
          <w:p>
            <w:pPr>
              <w:spacing w:after="50" w:before="50" w:line="252" w:lineRule="auto"/>
            </w:pPr>
            <w:r>
              <w:rPr>
                <w:sz w:val="17"/>
              </w:rPr>
              <w:t>Documented settlement by 31 January 2026</w:t>
            </w:r>
          </w:p>
        </w:tc>
      </w:tr>
      <w:tr>
        <w:tc>
          <w:tcPr>
            <w:tcW w:type="dxa" w:w="2721"/>
            <w:shd w:val="clear" w:color="auto" w:fill="EAF1F4"/>
          </w:tcPr>
          <w:p>
            <w:pPr>
              <w:spacing w:after="50" w:before="50" w:line="252" w:lineRule="auto"/>
            </w:pPr>
            <w:r>
              <w:rPr>
                <w:sz w:val="17"/>
              </w:rPr>
              <w:t>Minimum cash</w:t>
            </w:r>
          </w:p>
        </w:tc>
        <w:tc>
          <w:tcPr>
            <w:tcW w:type="dxa" w:w="6747"/>
            <w:shd w:val="clear" w:color="auto" w:fill="EAF1F4"/>
          </w:tcPr>
          <w:p>
            <w:pPr>
              <w:spacing w:after="50" w:before="50" w:line="252" w:lineRule="auto"/>
            </w:pPr>
            <w:r>
              <w:rPr>
                <w:b/>
                <w:sz w:val="17"/>
              </w:rPr>
              <w:t>₹65 lakh</w:t>
            </w:r>
          </w:p>
        </w:tc>
      </w:tr>
      <w:tr>
        <w:tc>
          <w:tcPr>
            <w:tcW w:type="dxa" w:w="2721"/>
          </w:tcPr>
          <w:p>
            <w:pPr>
              <w:spacing w:after="50" w:before="50" w:line="252" w:lineRule="auto"/>
            </w:pPr>
            <w:r>
              <w:rPr>
                <w:sz w:val="17"/>
              </w:rPr>
              <w:t>Realistic target</w:t>
            </w:r>
          </w:p>
        </w:tc>
        <w:tc>
          <w:tcPr>
            <w:tcW w:type="dxa" w:w="6747"/>
          </w:tcPr>
          <w:p>
            <w:pPr>
              <w:spacing w:after="50" w:before="50" w:line="252" w:lineRule="auto"/>
            </w:pPr>
            <w:r>
              <w:rPr>
                <w:sz w:val="17"/>
              </w:rPr>
              <w:t>₹2.2–2.8 crore in total value, ≥ ₹1.1 crore cash</w:t>
            </w:r>
          </w:p>
        </w:tc>
      </w:tr>
      <w:tr>
        <w:tc>
          <w:tcPr>
            <w:tcW w:type="dxa" w:w="2721"/>
            <w:shd w:val="clear" w:color="auto" w:fill="EAF1F4"/>
          </w:tcPr>
          <w:p>
            <w:pPr>
              <w:spacing w:after="50" w:before="50" w:line="252" w:lineRule="auto"/>
            </w:pPr>
            <w:r>
              <w:rPr>
                <w:sz w:val="17"/>
              </w:rPr>
              <w:t>Non-cash it can give</w:t>
            </w:r>
          </w:p>
        </w:tc>
        <w:tc>
          <w:tcPr>
            <w:tcW w:type="dxa" w:w="6747"/>
            <w:shd w:val="clear" w:color="auto" w:fill="EAF1F4"/>
          </w:tcPr>
          <w:p>
            <w:pPr>
              <w:spacing w:after="50" w:before="50" w:line="252" w:lineRule="auto"/>
            </w:pPr>
            <w:r>
              <w:rPr>
                <w:sz w:val="17"/>
              </w:rPr>
              <w:t>Return of export volumes (₹1.6 crore annualised), MLSA extension, reference rights in the organic segment, Tuticorin anchor commitment, confidentiality, withdrawal of proceedings</w:t>
            </w:r>
          </w:p>
        </w:tc>
      </w:tr>
      <w:tr>
        <w:tc>
          <w:tcPr>
            <w:tcW w:type="dxa" w:w="2721"/>
          </w:tcPr>
          <w:p>
            <w:pPr>
              <w:spacing w:after="50" w:before="50" w:line="252" w:lineRule="auto"/>
            </w:pPr>
            <w:r>
              <w:rPr>
                <w:sz w:val="17"/>
              </w:rPr>
              <w:t>Walk-away</w:t>
            </w:r>
          </w:p>
        </w:tc>
        <w:tc>
          <w:tcPr>
            <w:tcW w:type="dxa" w:w="6747"/>
          </w:tcPr>
          <w:p>
            <w:pPr>
              <w:spacing w:after="50" w:before="50" w:line="252" w:lineRule="auto"/>
            </w:pPr>
            <w:r>
              <w:rPr>
                <w:sz w:val="17"/>
              </w:rPr>
              <w:t>No acceptable root-cause statement</w:t>
            </w:r>
          </w:p>
        </w:tc>
      </w:tr>
    </w:tbl>
    <w:p>
      <w:pPr>
        <w:spacing w:after="80" w:before="0"/>
      </w:pPr>
    </w:p>
    <w:p>
      <w:pPr>
        <w:pStyle w:val="Heading2"/>
      </w:pPr>
      <w:r>
        <w:t>2.2 Kaveri — Respondent</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77"/>
            <w:shd w:val="clear" w:color="auto" w:fill="10375C"/>
          </w:tcPr>
          <w:p>
            <w:pPr>
              <w:spacing w:after="50" w:before="50"/>
            </w:pPr>
            <w:r>
              <w:rPr>
                <w:b/>
                <w:color w:val="FFFFFF"/>
                <w:sz w:val="17"/>
              </w:rPr>
              <w:t>Item</w:t>
            </w:r>
          </w:p>
        </w:tc>
        <w:tc>
          <w:tcPr>
            <w:tcW w:type="dxa" w:w="6791"/>
            <w:shd w:val="clear" w:color="auto" w:fill="10375C"/>
          </w:tcPr>
          <w:p>
            <w:pPr>
              <w:spacing w:after="50" w:before="50"/>
            </w:pPr>
            <w:r>
              <w:rPr>
                <w:b/>
                <w:color w:val="FFFFFF"/>
                <w:sz w:val="17"/>
              </w:rPr>
              <w:t>Position</w:t>
            </w:r>
          </w:p>
        </w:tc>
      </w:tr>
      <w:tr>
        <w:tc>
          <w:tcPr>
            <w:tcW w:type="dxa" w:w="2677"/>
          </w:tcPr>
          <w:p>
            <w:pPr>
              <w:spacing w:after="50" w:before="50" w:line="252" w:lineRule="auto"/>
            </w:pPr>
            <w:r>
              <w:rPr>
                <w:sz w:val="17"/>
              </w:rPr>
              <w:t>Real driver</w:t>
            </w:r>
          </w:p>
        </w:tc>
        <w:tc>
          <w:tcPr>
            <w:tcW w:type="dxa" w:w="6791"/>
          </w:tcPr>
          <w:p>
            <w:pPr>
              <w:spacing w:after="50" w:before="50" w:line="252" w:lineRule="auto"/>
            </w:pPr>
            <w:r>
              <w:rPr>
                <w:sz w:val="17"/>
              </w:rPr>
              <w:t>A ₹185 crore Series B; operational due diligence begins February 2026</w:t>
            </w:r>
          </w:p>
        </w:tc>
      </w:tr>
      <w:tr>
        <w:tc>
          <w:tcPr>
            <w:tcW w:type="dxa" w:w="2677"/>
            <w:shd w:val="clear" w:color="auto" w:fill="EAF1F4"/>
          </w:tcPr>
          <w:p>
            <w:pPr>
              <w:spacing w:after="50" w:before="50" w:line="252" w:lineRule="auto"/>
            </w:pPr>
            <w:r>
              <w:rPr>
                <w:b/>
                <w:sz w:val="17"/>
              </w:rPr>
              <w:t>Hidden material fact</w:t>
            </w:r>
          </w:p>
        </w:tc>
        <w:tc>
          <w:tcPr>
            <w:tcW w:type="dxa" w:w="6791"/>
            <w:shd w:val="clear" w:color="auto" w:fill="EAF1F4"/>
          </w:tcPr>
          <w:p>
            <w:pPr>
              <w:spacing w:after="50" w:before="50" w:line="252" w:lineRule="auto"/>
            </w:pPr>
            <w:r>
              <w:rPr>
                <w:sz w:val="17"/>
              </w:rPr>
              <w:t xml:space="preserve">A cached export of the secondary logger shows a peak of </w:t>
            </w:r>
            <w:r>
              <w:rPr>
                <w:b/>
                <w:sz w:val="17"/>
              </w:rPr>
              <w:t>33.8°C</w:t>
            </w:r>
            <w:r>
              <w:rPr>
                <w:sz w:val="17"/>
              </w:rPr>
              <w:t>, sustained above 30°C for approximately 3 hours 40 minutes. Not disclosed to Sundara. Disclosable in arbitration</w:t>
            </w:r>
          </w:p>
        </w:tc>
      </w:tr>
      <w:tr>
        <w:tc>
          <w:tcPr>
            <w:tcW w:type="dxa" w:w="2677"/>
          </w:tcPr>
          <w:p>
            <w:pPr>
              <w:spacing w:after="50" w:before="50" w:line="252" w:lineRule="auto"/>
            </w:pPr>
            <w:r>
              <w:rPr>
                <w:sz w:val="17"/>
              </w:rPr>
              <w:t>Systemic problem</w:t>
            </w:r>
          </w:p>
        </w:tc>
        <w:tc>
          <w:tcPr>
            <w:tcW w:type="dxa" w:w="6791"/>
          </w:tcPr>
          <w:p>
            <w:pPr>
              <w:spacing w:after="50" w:before="50" w:line="252" w:lineRule="auto"/>
            </w:pPr>
            <w:r>
              <w:rPr>
                <w:sz w:val="17"/>
              </w:rPr>
              <w:t>The primary logger was 19 days overdue for battery replacement; the 14-day automated data overwrite contradicts the 72-hour production obligation in clause 7.1 and applies across all contracts</w:t>
            </w:r>
          </w:p>
        </w:tc>
      </w:tr>
      <w:tr>
        <w:tc>
          <w:tcPr>
            <w:tcW w:type="dxa" w:w="2677"/>
            <w:shd w:val="clear" w:color="auto" w:fill="EAF1F4"/>
          </w:tcPr>
          <w:p>
            <w:pPr>
              <w:spacing w:after="50" w:before="50" w:line="252" w:lineRule="auto"/>
            </w:pPr>
            <w:r>
              <w:rPr>
                <w:sz w:val="17"/>
              </w:rPr>
              <w:t>Insurance</w:t>
            </w:r>
          </w:p>
        </w:tc>
        <w:tc>
          <w:tcPr>
            <w:tcW w:type="dxa" w:w="6791"/>
            <w:shd w:val="clear" w:color="auto" w:fill="EAF1F4"/>
          </w:tcPr>
          <w:p>
            <w:pPr>
              <w:spacing w:after="50" w:before="50" w:line="252" w:lineRule="auto"/>
            </w:pPr>
            <w:r>
              <w:rPr>
                <w:sz w:val="17"/>
              </w:rPr>
              <w:t>Reserved, citing the maintenance lapse and retention policy</w:t>
            </w:r>
          </w:p>
        </w:tc>
      </w:tr>
      <w:tr>
        <w:tc>
          <w:tcPr>
            <w:tcW w:type="dxa" w:w="2677"/>
          </w:tcPr>
          <w:p>
            <w:pPr>
              <w:spacing w:after="50" w:before="50" w:line="252" w:lineRule="auto"/>
            </w:pPr>
            <w:r>
              <w:rPr>
                <w:sz w:val="17"/>
              </w:rPr>
              <w:t>Greatest fear</w:t>
            </w:r>
          </w:p>
        </w:tc>
        <w:tc>
          <w:tcPr>
            <w:tcW w:type="dxa" w:w="6791"/>
          </w:tcPr>
          <w:p>
            <w:pPr>
              <w:spacing w:after="50" w:before="50" w:line="252" w:lineRule="auto"/>
            </w:pPr>
            <w:r>
              <w:rPr>
                <w:sz w:val="17"/>
              </w:rPr>
              <w:t>Not the claim — the data integrity issue becoming known to the Series B investor or triggering claims from other clients</w:t>
            </w:r>
          </w:p>
        </w:tc>
      </w:tr>
      <w:tr>
        <w:tc>
          <w:tcPr>
            <w:tcW w:type="dxa" w:w="2677"/>
            <w:shd w:val="clear" w:color="auto" w:fill="EAF1F4"/>
          </w:tcPr>
          <w:p>
            <w:pPr>
              <w:spacing w:after="50" w:before="50" w:line="252" w:lineRule="auto"/>
            </w:pPr>
            <w:r>
              <w:rPr>
                <w:sz w:val="17"/>
              </w:rPr>
              <w:t>Provision already made</w:t>
            </w:r>
          </w:p>
        </w:tc>
        <w:tc>
          <w:tcPr>
            <w:tcW w:type="dxa" w:w="6791"/>
            <w:shd w:val="clear" w:color="auto" w:fill="EAF1F4"/>
          </w:tcPr>
          <w:p>
            <w:pPr>
              <w:spacing w:after="50" w:before="50" w:line="252" w:lineRule="auto"/>
            </w:pPr>
            <w:r>
              <w:rPr>
                <w:sz w:val="17"/>
              </w:rPr>
              <w:t>₹75 lakh</w:t>
            </w:r>
          </w:p>
        </w:tc>
      </w:tr>
      <w:tr>
        <w:tc>
          <w:tcPr>
            <w:tcW w:type="dxa" w:w="2677"/>
          </w:tcPr>
          <w:p>
            <w:pPr>
              <w:spacing w:after="50" w:before="50" w:line="252" w:lineRule="auto"/>
            </w:pPr>
            <w:r>
              <w:rPr>
                <w:sz w:val="17"/>
              </w:rPr>
              <w:t>Maximum cash authority</w:t>
            </w:r>
          </w:p>
        </w:tc>
        <w:tc>
          <w:tcPr>
            <w:tcW w:type="dxa" w:w="6791"/>
          </w:tcPr>
          <w:p>
            <w:pPr>
              <w:spacing w:after="50" w:before="50" w:line="252" w:lineRule="auto"/>
            </w:pPr>
            <w:r>
              <w:rPr>
                <w:b/>
                <w:sz w:val="17"/>
              </w:rPr>
              <w:t>₹1.45 crore</w:t>
            </w:r>
          </w:p>
        </w:tc>
      </w:tr>
      <w:tr>
        <w:tc>
          <w:tcPr>
            <w:tcW w:type="dxa" w:w="2677"/>
            <w:shd w:val="clear" w:color="auto" w:fill="EAF1F4"/>
          </w:tcPr>
          <w:p>
            <w:pPr>
              <w:spacing w:after="50" w:before="50" w:line="252" w:lineRule="auto"/>
            </w:pPr>
            <w:r>
              <w:rPr>
                <w:sz w:val="17"/>
              </w:rPr>
              <w:t>Realistic target</w:t>
            </w:r>
          </w:p>
        </w:tc>
        <w:tc>
          <w:tcPr>
            <w:tcW w:type="dxa" w:w="6791"/>
            <w:shd w:val="clear" w:color="auto" w:fill="EAF1F4"/>
          </w:tcPr>
          <w:p>
            <w:pPr>
              <w:spacing w:after="50" w:before="50" w:line="252" w:lineRule="auto"/>
            </w:pPr>
            <w:r>
              <w:rPr>
                <w:sz w:val="17"/>
              </w:rPr>
              <w:t>Package to ₹2.4 crore, cash not exceeding ₹1.2 crore</w:t>
            </w:r>
          </w:p>
        </w:tc>
      </w:tr>
      <w:tr>
        <w:tc>
          <w:tcPr>
            <w:tcW w:type="dxa" w:w="2677"/>
          </w:tcPr>
          <w:p>
            <w:pPr>
              <w:spacing w:after="50" w:before="50" w:line="252" w:lineRule="auto"/>
            </w:pPr>
            <w:r>
              <w:rPr>
                <w:sz w:val="17"/>
              </w:rPr>
              <w:t>Absolute requirements</w:t>
            </w:r>
          </w:p>
        </w:tc>
        <w:tc>
          <w:tcPr>
            <w:tcW w:type="dxa" w:w="6791"/>
          </w:tcPr>
          <w:p>
            <w:pPr>
              <w:spacing w:after="50" w:before="50" w:line="252" w:lineRule="auto"/>
            </w:pPr>
            <w:r>
              <w:rPr>
                <w:sz w:val="17"/>
              </w:rPr>
              <w:t>No admission prejudicing insurance; strict confidentiality including as to the data; full and final settlement; withdrawal of the section 12A application</w:t>
            </w:r>
          </w:p>
        </w:tc>
      </w:tr>
      <w:tr>
        <w:tc>
          <w:tcPr>
            <w:tcW w:type="dxa" w:w="2677"/>
            <w:shd w:val="clear" w:color="auto" w:fill="EAF1F4"/>
          </w:tcPr>
          <w:p>
            <w:pPr>
              <w:spacing w:after="50" w:before="50" w:line="252" w:lineRule="auto"/>
            </w:pPr>
            <w:r>
              <w:rPr>
                <w:sz w:val="17"/>
              </w:rPr>
              <w:t>Strongly desired</w:t>
            </w:r>
          </w:p>
        </w:tc>
        <w:tc>
          <w:tcPr>
            <w:tcW w:type="dxa" w:w="6791"/>
            <w:shd w:val="clear" w:color="auto" w:fill="EAF1F4"/>
          </w:tcPr>
          <w:p>
            <w:pPr>
              <w:spacing w:after="50" w:before="50" w:line="252" w:lineRule="auto"/>
            </w:pPr>
            <w:r>
              <w:rPr>
                <w:sz w:val="17"/>
              </w:rPr>
              <w:t xml:space="preserve">Return of export volumes; MLSA extension; </w:t>
            </w:r>
            <w:r>
              <w:rPr>
                <w:b/>
                <w:sz w:val="17"/>
              </w:rPr>
              <w:t>right to name Sundara as an organic export reference</w:t>
            </w:r>
            <w:r>
              <w:rPr>
                <w:sz w:val="17"/>
              </w:rPr>
              <w:t>; Tuticorin anchor commitment</w:t>
            </w:r>
          </w:p>
        </w:tc>
      </w:tr>
      <w:tr>
        <w:tc>
          <w:tcPr>
            <w:tcW w:type="dxa" w:w="2677"/>
          </w:tcPr>
          <w:p>
            <w:pPr>
              <w:spacing w:after="50" w:before="50" w:line="252" w:lineRule="auto"/>
            </w:pPr>
            <w:r>
              <w:rPr>
                <w:sz w:val="17"/>
              </w:rPr>
              <w:t>Tuticorin</w:t>
            </w:r>
          </w:p>
        </w:tc>
        <w:tc>
          <w:tcPr>
            <w:tcW w:type="dxa" w:w="6791"/>
          </w:tcPr>
          <w:p>
            <w:pPr>
              <w:spacing w:after="50" w:before="50" w:line="252" w:lineRule="auto"/>
            </w:pPr>
            <w:r>
              <w:rPr>
                <w:sz w:val="17"/>
              </w:rPr>
              <w:t>41% utilisation; each anchor worth ₹90 lakh to ₹1.3 crore annually</w:t>
            </w:r>
          </w:p>
        </w:tc>
      </w:tr>
    </w:tbl>
    <w:p>
      <w:pPr>
        <w:spacing w:after="80" w:before="0"/>
      </w:pPr>
    </w:p>
    <w:p>
      <w:pPr>
        <w:spacing w:before="80" w:after="160"/>
        <w:pBdr>
          <w:bottom w:val="single" w:sz="6" w:space="1" w:color="C9D6DE"/>
        </w:pBdr>
      </w:pPr>
    </w:p>
    <w:p>
      <w:pPr>
        <w:pStyle w:val="Heading1"/>
        <w:pBdr>
          <w:bottom w:val="single" w:sz="8" w:space="4" w:color="C9D6DE"/>
        </w:pBdr>
      </w:pPr>
      <w:r>
        <w:t>3. The settlement zone</w:t>
      </w:r>
    </w:p>
    <w:p>
      <w:r>
        <w:rPr>
          <w:b/>
        </w:rPr>
        <w:t>Cash.</w:t>
      </w:r>
      <w:r>
        <w:t xml:space="preserve"> Sundara's floor is ₹65 lakh; Kaveri's ceiling is ₹1.45 crore. The zone is wide, and a team that spends the session fighting over it has missed the problem.</w:t>
      </w:r>
    </w:p>
    <w:p>
      <w:r>
        <w:rPr>
          <w:b/>
        </w:rPr>
        <w:t>The trade that a strong pair will find: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34"/>
            <w:shd w:val="clear" w:color="auto" w:fill="10375C"/>
          </w:tcPr>
          <w:p>
            <w:pPr>
              <w:spacing w:after="50" w:before="50"/>
            </w:pPr>
            <w:r>
              <w:rPr>
                <w:b/>
                <w:color w:val="FFFFFF"/>
                <w:sz w:val="17"/>
              </w:rPr>
              <w:t>Element</w:t>
            </w:r>
          </w:p>
        </w:tc>
        <w:tc>
          <w:tcPr>
            <w:tcW w:type="dxa" w:w="4734"/>
            <w:shd w:val="clear" w:color="auto" w:fill="10375C"/>
          </w:tcPr>
          <w:p>
            <w:pPr>
              <w:spacing w:after="50" w:before="50"/>
            </w:pPr>
            <w:r>
              <w:rPr>
                <w:b/>
                <w:color w:val="FFFFFF"/>
                <w:sz w:val="17"/>
              </w:rPr>
              <w:t>Why it works</w:t>
            </w:r>
          </w:p>
        </w:tc>
      </w:tr>
      <w:tr>
        <w:tc>
          <w:tcPr>
            <w:tcW w:type="dxa" w:w="4734"/>
          </w:tcPr>
          <w:p>
            <w:pPr>
              <w:spacing w:after="50" w:before="50" w:line="252" w:lineRule="auto"/>
            </w:pPr>
            <w:r>
              <w:rPr>
                <w:sz w:val="17"/>
              </w:rPr>
              <w:t>Cash between ₹85 lakh and ₹1.3 crore</w:t>
            </w:r>
          </w:p>
        </w:tc>
        <w:tc>
          <w:tcPr>
            <w:tcW w:type="dxa" w:w="4734"/>
          </w:tcPr>
          <w:p>
            <w:pPr>
              <w:spacing w:after="50" w:before="50" w:line="252" w:lineRule="auto"/>
            </w:pPr>
            <w:r>
              <w:rPr>
                <w:sz w:val="17"/>
              </w:rPr>
              <w:t>Within both mandates; Sundara needs cash on the face of the document, Kaveri has ₹75 lakh provided</w:t>
            </w:r>
          </w:p>
        </w:tc>
      </w:tr>
      <w:tr>
        <w:tc>
          <w:tcPr>
            <w:tcW w:type="dxa" w:w="4734"/>
            <w:shd w:val="clear" w:color="auto" w:fill="EAF1F4"/>
          </w:tcPr>
          <w:p>
            <w:pPr>
              <w:spacing w:after="50" w:before="50" w:line="252" w:lineRule="auto"/>
            </w:pPr>
            <w:r>
              <w:rPr>
                <w:b/>
                <w:sz w:val="17"/>
              </w:rPr>
              <w:t>A jointly drafted root-cause statement</w:t>
            </w:r>
            <w:r>
              <w:rPr>
                <w:sz w:val="17"/>
              </w:rPr>
              <w:t xml:space="preserve"> attributing the failure to a combination of factors across the chain, expressly not attributing it to Sundara's agronomy, farmers or certification, and expressly not constituting an admission of liability by Kaveri</w:t>
            </w:r>
          </w:p>
        </w:tc>
        <w:tc>
          <w:tcPr>
            <w:tcW w:type="dxa" w:w="4734"/>
            <w:shd w:val="clear" w:color="auto" w:fill="EAF1F4"/>
          </w:tcPr>
          <w:p>
            <w:pPr>
              <w:spacing w:after="50" w:before="50" w:line="252" w:lineRule="auto"/>
            </w:pPr>
            <w:r>
              <w:rPr>
                <w:sz w:val="17"/>
              </w:rPr>
              <w:t>The single highest-value item. Costs Kaveri almost nothing if drafted carefully; worth more than crores to Sundara</w:t>
            </w:r>
          </w:p>
        </w:tc>
      </w:tr>
      <w:tr>
        <w:tc>
          <w:tcPr>
            <w:tcW w:type="dxa" w:w="4734"/>
          </w:tcPr>
          <w:p>
            <w:pPr>
              <w:spacing w:after="50" w:before="50" w:line="252" w:lineRule="auto"/>
            </w:pPr>
            <w:r>
              <w:rPr>
                <w:sz w:val="17"/>
              </w:rPr>
              <w:t>Return of export volumes to Kaveri, phased</w:t>
            </w:r>
          </w:p>
        </w:tc>
        <w:tc>
          <w:tcPr>
            <w:tcW w:type="dxa" w:w="4734"/>
          </w:tcPr>
          <w:p>
            <w:pPr>
              <w:spacing w:after="50" w:before="50" w:line="252" w:lineRule="auto"/>
            </w:pPr>
            <w:r>
              <w:rPr>
                <w:sz w:val="17"/>
              </w:rPr>
              <w:t>₹1.6 crore annualised to Kaveri; costs Sundara its 18% premium at the alternative provider, so it is positively valuable to both</w:t>
            </w:r>
          </w:p>
        </w:tc>
      </w:tr>
      <w:tr>
        <w:tc>
          <w:tcPr>
            <w:tcW w:type="dxa" w:w="4734"/>
            <w:shd w:val="clear" w:color="auto" w:fill="EAF1F4"/>
          </w:tcPr>
          <w:p>
            <w:pPr>
              <w:spacing w:after="50" w:before="50" w:line="252" w:lineRule="auto"/>
            </w:pPr>
            <w:r>
              <w:rPr>
                <w:sz w:val="17"/>
              </w:rPr>
              <w:t>Anchor commitment at Tuticorin, with guaranteed capacity and preferential rates for Sundara</w:t>
            </w:r>
          </w:p>
        </w:tc>
        <w:tc>
          <w:tcPr>
            <w:tcW w:type="dxa" w:w="4734"/>
            <w:shd w:val="clear" w:color="auto" w:fill="EAF1F4"/>
          </w:tcPr>
          <w:p>
            <w:pPr>
              <w:spacing w:after="50" w:before="50" w:line="252" w:lineRule="auto"/>
            </w:pPr>
            <w:r>
              <w:rPr>
                <w:sz w:val="17"/>
              </w:rPr>
              <w:t>Kaveri is at 41% utilisation; marginal cost is low, value is high on both sides</w:t>
            </w:r>
          </w:p>
        </w:tc>
      </w:tr>
      <w:tr>
        <w:tc>
          <w:tcPr>
            <w:tcW w:type="dxa" w:w="4734"/>
          </w:tcPr>
          <w:p>
            <w:pPr>
              <w:spacing w:after="50" w:before="50" w:line="252" w:lineRule="auto"/>
            </w:pPr>
            <w:r>
              <w:rPr>
                <w:sz w:val="17"/>
              </w:rPr>
              <w:t>MLSA extended to 2029 with a joint quality protocol, dual redundant logging and 24-month data retention</w:t>
            </w:r>
          </w:p>
        </w:tc>
        <w:tc>
          <w:tcPr>
            <w:tcW w:type="dxa" w:w="4734"/>
          </w:tcPr>
          <w:p>
            <w:pPr>
              <w:spacing w:after="50" w:before="50" w:line="252" w:lineRule="auto"/>
            </w:pPr>
            <w:r>
              <w:rPr>
                <w:sz w:val="17"/>
              </w:rPr>
              <w:t>Kaveri must do this anyway; presenting it as a concession is legitimate and valuable</w:t>
            </w:r>
          </w:p>
        </w:tc>
      </w:tr>
      <w:tr>
        <w:tc>
          <w:tcPr>
            <w:tcW w:type="dxa" w:w="4734"/>
            <w:shd w:val="clear" w:color="auto" w:fill="EAF1F4"/>
          </w:tcPr>
          <w:p>
            <w:pPr>
              <w:spacing w:after="50" w:before="50" w:line="252" w:lineRule="auto"/>
            </w:pPr>
            <w:r>
              <w:rPr>
                <w:sz w:val="17"/>
              </w:rPr>
              <w:t>Right for Kaveri to name Sundara as an organic export reference</w:t>
            </w:r>
          </w:p>
        </w:tc>
        <w:tc>
          <w:tcPr>
            <w:tcW w:type="dxa" w:w="4734"/>
            <w:shd w:val="clear" w:color="auto" w:fill="EAF1F4"/>
          </w:tcPr>
          <w:p>
            <w:pPr>
              <w:spacing w:after="50" w:before="50" w:line="252" w:lineRule="auto"/>
            </w:pPr>
            <w:r>
              <w:rPr>
                <w:sz w:val="17"/>
              </w:rPr>
              <w:t>Costs Sundara nothing once the root-cause statement exists; opens a segment for Kaveri</w:t>
            </w:r>
          </w:p>
        </w:tc>
      </w:tr>
      <w:tr>
        <w:tc>
          <w:tcPr>
            <w:tcW w:type="dxa" w:w="4734"/>
          </w:tcPr>
          <w:p>
            <w:pPr>
              <w:spacing w:after="50" w:before="50" w:line="252" w:lineRule="auto"/>
            </w:pPr>
            <w:r>
              <w:rPr>
                <w:sz w:val="17"/>
              </w:rPr>
              <w:t>Mutual confidentiality, including as to the temperature data</w:t>
            </w:r>
          </w:p>
        </w:tc>
        <w:tc>
          <w:tcPr>
            <w:tcW w:type="dxa" w:w="4734"/>
          </w:tcPr>
          <w:p>
            <w:pPr>
              <w:spacing w:after="50" w:before="50" w:line="252" w:lineRule="auto"/>
            </w:pPr>
            <w:r>
              <w:rPr>
                <w:sz w:val="17"/>
              </w:rPr>
              <w:t>Both need it</w:t>
            </w:r>
          </w:p>
        </w:tc>
      </w:tr>
      <w:tr>
        <w:tc>
          <w:tcPr>
            <w:tcW w:type="dxa" w:w="4734"/>
            <w:shd w:val="clear" w:color="auto" w:fill="EAF1F4"/>
          </w:tcPr>
          <w:p>
            <w:pPr>
              <w:spacing w:after="50" w:before="50" w:line="252" w:lineRule="auto"/>
            </w:pPr>
            <w:r>
              <w:rPr>
                <w:sz w:val="17"/>
              </w:rPr>
              <w:t>Withdrawal of the section 12A application; full and final settlement</w:t>
            </w:r>
          </w:p>
        </w:tc>
        <w:tc>
          <w:tcPr>
            <w:tcW w:type="dxa" w:w="4734"/>
            <w:shd w:val="clear" w:color="auto" w:fill="EAF1F4"/>
          </w:tcPr>
          <w:p>
            <w:pPr>
              <w:spacing w:after="50" w:before="50" w:line="252" w:lineRule="auto"/>
            </w:pPr>
            <w:r>
              <w:rPr>
                <w:sz w:val="17"/>
              </w:rPr>
              <w:t>Both need it</w:t>
            </w:r>
          </w:p>
        </w:tc>
      </w:tr>
      <w:tr>
        <w:tc>
          <w:tcPr>
            <w:tcW w:type="dxa" w:w="4734"/>
          </w:tcPr>
          <w:p>
            <w:pPr>
              <w:spacing w:after="50" w:before="50" w:line="252" w:lineRule="auto"/>
            </w:pPr>
            <w:r>
              <w:rPr>
                <w:sz w:val="17"/>
              </w:rPr>
              <w:t>Execution by 31 January 2026</w:t>
            </w:r>
          </w:p>
        </w:tc>
        <w:tc>
          <w:tcPr>
            <w:tcW w:type="dxa" w:w="4734"/>
          </w:tcPr>
          <w:p>
            <w:pPr>
              <w:spacing w:after="50" w:before="50" w:line="252" w:lineRule="auto"/>
            </w:pPr>
            <w:r>
              <w:rPr>
                <w:sz w:val="17"/>
              </w:rPr>
              <w:t>Sundara's requirement; consistent with Kaveri's February deadline</w:t>
            </w:r>
          </w:p>
        </w:tc>
      </w:tr>
    </w:tbl>
    <w:p>
      <w:pPr>
        <w:spacing w:after="80" w:before="0"/>
      </w:pPr>
    </w:p>
    <w:p>
      <w:r>
        <w:rPr>
          <w:b/>
        </w:rPr>
        <w:t>A settlement of this shape is worth roughly ₹2.2 to ₹2.6 crore to Sundara in value and costs Kaveri roughly ₹1.4 to ₹1.8 crore, because most of the currency is non-cash and some of it is positively valuable to Kaveri.</w:t>
      </w:r>
      <w:r>
        <w:t xml:space="preserve"> That is the point of the problem.</w:t>
      </w:r>
    </w:p>
    <w:p>
      <w:pPr>
        <w:spacing w:before="80" w:after="160"/>
        <w:pBdr>
          <w:bottom w:val="single" w:sz="6" w:space="1" w:color="C9D6DE"/>
        </w:pBdr>
      </w:pPr>
    </w:p>
    <w:p>
      <w:pPr>
        <w:pStyle w:val="Heading1"/>
        <w:pBdr>
          <w:bottom w:val="single" w:sz="8" w:space="4" w:color="C9D6DE"/>
        </w:pBdr>
      </w:pPr>
      <w:r>
        <w:t>4. Guidance for mediators</w:t>
      </w:r>
    </w:p>
    <w:p>
      <w:r>
        <w:rPr>
          <w:b/>
        </w:rPr>
        <w:t>You do not score.</w:t>
      </w:r>
      <w:r>
        <w:t xml:space="preserve"> You conduct the process. Judges score. Do not participate in scoring discussions and do not indicate to a team how it is performing.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586"/>
            <w:shd w:val="clear" w:color="auto" w:fill="10375C"/>
          </w:tcPr>
          <w:p>
            <w:pPr>
              <w:spacing w:after="50" w:before="50"/>
            </w:pPr>
            <w:r>
              <w:rPr>
                <w:b/>
                <w:color w:val="FFFFFF"/>
                <w:sz w:val="17"/>
              </w:rPr>
              <w:t>Guidance</w:t>
            </w:r>
          </w:p>
        </w:tc>
        <w:tc>
          <w:tcPr>
            <w:tcW w:type="dxa" w:w="6881"/>
            <w:shd w:val="clear" w:color="auto" w:fill="10375C"/>
          </w:tcPr>
          <w:p>
            <w:pPr>
              <w:spacing w:after="50" w:before="50"/>
            </w:pPr>
            <w:r>
              <w:rPr>
                <w:b/>
                <w:color w:val="FFFFFF"/>
                <w:sz w:val="17"/>
              </w:rPr>
              <w:t>Detail</w:t>
            </w:r>
          </w:p>
        </w:tc>
      </w:tr>
      <w:tr>
        <w:tc>
          <w:tcPr>
            <w:tcW w:type="dxa" w:w="2586"/>
          </w:tcPr>
          <w:p>
            <w:pPr>
              <w:spacing w:after="50" w:before="50" w:line="252" w:lineRule="auto"/>
            </w:pPr>
            <w:r>
              <w:rPr>
                <w:sz w:val="17"/>
              </w:rPr>
              <w:t>Consistency</w:t>
            </w:r>
          </w:p>
        </w:tc>
        <w:tc>
          <w:tcPr>
            <w:tcW w:type="dxa" w:w="6881"/>
          </w:tcPr>
          <w:p>
            <w:pPr>
              <w:spacing w:after="50" w:before="50" w:line="252" w:lineRule="auto"/>
            </w:pPr>
            <w:r>
              <w:rPr>
                <w:sz w:val="17"/>
              </w:rPr>
              <w:t>Every pairing must receive substantially the same process. Do not vary your approach between sessions because one pair is stronger</w:t>
            </w:r>
          </w:p>
        </w:tc>
      </w:tr>
      <w:tr>
        <w:tc>
          <w:tcPr>
            <w:tcW w:type="dxa" w:w="2586"/>
            <w:shd w:val="clear" w:color="auto" w:fill="EAF1F4"/>
          </w:tcPr>
          <w:p>
            <w:pPr>
              <w:spacing w:after="50" w:before="50" w:line="252" w:lineRule="auto"/>
            </w:pPr>
            <w:r>
              <w:rPr>
                <w:sz w:val="17"/>
              </w:rPr>
              <w:t>Do not rescue</w:t>
            </w:r>
          </w:p>
        </w:tc>
        <w:tc>
          <w:tcPr>
            <w:tcW w:type="dxa" w:w="6881"/>
            <w:shd w:val="clear" w:color="auto" w:fill="EAF1F4"/>
          </w:tcPr>
          <w:p>
            <w:pPr>
              <w:spacing w:after="50" w:before="50" w:line="252" w:lineRule="auto"/>
            </w:pPr>
            <w:r>
              <w:rPr>
                <w:sz w:val="17"/>
              </w:rPr>
              <w:t>If a team fails to ask the obvious question, do not ask it for them. Their failure is what is being assessed</w:t>
            </w:r>
          </w:p>
        </w:tc>
      </w:tr>
      <w:tr>
        <w:tc>
          <w:tcPr>
            <w:tcW w:type="dxa" w:w="2586"/>
          </w:tcPr>
          <w:p>
            <w:pPr>
              <w:spacing w:after="50" w:before="50" w:line="252" w:lineRule="auto"/>
            </w:pPr>
            <w:r>
              <w:rPr>
                <w:sz w:val="17"/>
              </w:rPr>
              <w:t>Do not lead</w:t>
            </w:r>
          </w:p>
        </w:tc>
        <w:tc>
          <w:tcPr>
            <w:tcW w:type="dxa" w:w="6881"/>
          </w:tcPr>
          <w:p>
            <w:pPr>
              <w:spacing w:after="50" w:before="50" w:line="252" w:lineRule="auto"/>
            </w:pPr>
            <w:r>
              <w:rPr>
                <w:sz w:val="17"/>
              </w:rPr>
              <w:t>Do not suggest the settlement architecture in section 3. If a team finds it, it is theirs; if not, that is the result</w:t>
            </w:r>
          </w:p>
        </w:tc>
      </w:tr>
      <w:tr>
        <w:tc>
          <w:tcPr>
            <w:tcW w:type="dxa" w:w="2586"/>
            <w:shd w:val="clear" w:color="auto" w:fill="EAF1F4"/>
          </w:tcPr>
          <w:p>
            <w:pPr>
              <w:spacing w:after="50" w:before="50" w:line="252" w:lineRule="auto"/>
            </w:pPr>
            <w:r>
              <w:rPr>
                <w:sz w:val="17"/>
              </w:rPr>
              <w:t>Caucus</w:t>
            </w:r>
          </w:p>
        </w:tc>
        <w:tc>
          <w:tcPr>
            <w:tcW w:type="dxa" w:w="6881"/>
            <w:shd w:val="clear" w:color="auto" w:fill="EAF1F4"/>
          </w:tcPr>
          <w:p>
            <w:pPr>
              <w:spacing w:after="50" w:before="50" w:line="252" w:lineRule="auto"/>
            </w:pPr>
            <w:r>
              <w:rPr>
                <w:sz w:val="17"/>
              </w:rPr>
              <w:t>Grant caucuses on request and offer them at your discretion, but keep time even between the parties. Unequal caucus time distorts scoring</w:t>
            </w:r>
          </w:p>
        </w:tc>
      </w:tr>
      <w:tr>
        <w:tc>
          <w:tcPr>
            <w:tcW w:type="dxa" w:w="2586"/>
          </w:tcPr>
          <w:p>
            <w:pPr>
              <w:spacing w:after="50" w:before="50" w:line="252" w:lineRule="auto"/>
            </w:pPr>
            <w:r>
              <w:rPr>
                <w:sz w:val="17"/>
              </w:rPr>
              <w:t>Confidentiality within caucus</w:t>
            </w:r>
          </w:p>
        </w:tc>
        <w:tc>
          <w:tcPr>
            <w:tcW w:type="dxa" w:w="6881"/>
          </w:tcPr>
          <w:p>
            <w:pPr>
              <w:spacing w:after="50" w:before="50" w:line="252" w:lineRule="auto"/>
            </w:pPr>
            <w:r>
              <w:rPr>
                <w:sz w:val="17"/>
              </w:rPr>
              <w:t>Observe it strictly. If a team tells you something in caucus, ask expressly what you may carry across</w:t>
            </w:r>
          </w:p>
        </w:tc>
      </w:tr>
      <w:tr>
        <w:tc>
          <w:tcPr>
            <w:tcW w:type="dxa" w:w="2586"/>
            <w:shd w:val="clear" w:color="auto" w:fill="EAF1F4"/>
          </w:tcPr>
          <w:p>
            <w:pPr>
              <w:spacing w:after="50" w:before="50" w:line="252" w:lineRule="auto"/>
            </w:pPr>
            <w:r>
              <w:rPr>
                <w:sz w:val="17"/>
              </w:rPr>
              <w:t>Time</w:t>
            </w:r>
          </w:p>
        </w:tc>
        <w:tc>
          <w:tcPr>
            <w:tcW w:type="dxa" w:w="6881"/>
            <w:shd w:val="clear" w:color="auto" w:fill="EAF1F4"/>
          </w:tcPr>
          <w:p>
            <w:pPr>
              <w:spacing w:after="50" w:before="50" w:line="252" w:lineRule="auto"/>
            </w:pPr>
            <w:r>
              <w:rPr>
                <w:sz w:val="17"/>
              </w:rPr>
              <w:t>The session ends at 85 minutes. Stop it</w:t>
            </w:r>
          </w:p>
        </w:tc>
      </w:tr>
      <w:tr>
        <w:tc>
          <w:tcPr>
            <w:tcW w:type="dxa" w:w="2586"/>
          </w:tcPr>
          <w:p>
            <w:pPr>
              <w:spacing w:after="50" w:before="50" w:line="252" w:lineRule="auto"/>
            </w:pPr>
            <w:r>
              <w:rPr>
                <w:sz w:val="17"/>
              </w:rPr>
              <w:t>Difficult behaviour</w:t>
            </w:r>
          </w:p>
        </w:tc>
        <w:tc>
          <w:tcPr>
            <w:tcW w:type="dxa" w:w="6881"/>
          </w:tcPr>
          <w:p>
            <w:pPr>
              <w:spacing w:after="50" w:before="50" w:line="252" w:lineRule="auto"/>
            </w:pPr>
            <w:r>
              <w:rPr>
                <w:sz w:val="17"/>
              </w:rPr>
              <w:t>If a competitor is rude or aggressive, do not correct them in the room — note it and tell the Supervisor afterwards. The judges will have seen it</w:t>
            </w:r>
          </w:p>
        </w:tc>
      </w:tr>
      <w:tr>
        <w:tc>
          <w:tcPr>
            <w:tcW w:type="dxa" w:w="2586"/>
            <w:shd w:val="clear" w:color="auto" w:fill="EAF1F4"/>
          </w:tcPr>
          <w:p>
            <w:pPr>
              <w:spacing w:after="50" w:before="50" w:line="252" w:lineRule="auto"/>
            </w:pPr>
            <w:r>
              <w:rPr>
                <w:sz w:val="17"/>
              </w:rPr>
              <w:t>Your own view</w:t>
            </w:r>
          </w:p>
        </w:tc>
        <w:tc>
          <w:tcPr>
            <w:tcW w:type="dxa" w:w="6881"/>
            <w:shd w:val="clear" w:color="auto" w:fill="EAF1F4"/>
          </w:tcPr>
          <w:p>
            <w:pPr>
              <w:spacing w:after="50" w:before="50" w:line="252" w:lineRule="auto"/>
            </w:pPr>
            <w:r>
              <w:rPr>
                <w:sz w:val="17"/>
              </w:rPr>
              <w:t>Do not express a view on the merits, the law, or the reasonableness of any position</w:t>
            </w:r>
          </w:p>
        </w:tc>
      </w:tr>
      <w:tr>
        <w:tc>
          <w:tcPr>
            <w:tcW w:type="dxa" w:w="2586"/>
          </w:tcPr>
          <w:p>
            <w:pPr>
              <w:spacing w:after="50" w:before="50" w:line="252" w:lineRule="auto"/>
            </w:pPr>
            <w:r>
              <w:rPr>
                <w:sz w:val="17"/>
              </w:rPr>
              <w:t>Afterwards</w:t>
            </w:r>
          </w:p>
        </w:tc>
        <w:tc>
          <w:tcPr>
            <w:tcW w:type="dxa" w:w="6881"/>
          </w:tcPr>
          <w:p>
            <w:pPr>
              <w:spacing w:after="50" w:before="50" w:line="252" w:lineRule="auto"/>
            </w:pPr>
            <w:r>
              <w:rPr>
                <w:sz w:val="17"/>
              </w:rPr>
              <w:t>You may give general feedback in the 10-minute window if invited by the judges, but scoring commentary is theirs</w:t>
            </w:r>
          </w:p>
        </w:tc>
      </w:tr>
    </w:tbl>
    <w:p>
      <w:pPr>
        <w:spacing w:after="80" w:before="0"/>
      </w:pPr>
    </w:p>
    <w:p>
      <w:r>
        <w:rPr>
          <w:b/>
        </w:rPr>
        <w:t>If a team discloses the cached temperature data,</w:t>
      </w:r>
      <w:r>
        <w:t xml:space="preserve"> treat it exactly as you would any confidential disclosure. Do not signal that it is significant. Ask what may be carried across.</w:t>
      </w:r>
    </w:p>
    <w:p>
      <w:pPr>
        <w:spacing w:before="80" w:after="160"/>
        <w:pBdr>
          <w:bottom w:val="single" w:sz="6" w:space="1" w:color="C9D6DE"/>
        </w:pBdr>
      </w:pPr>
    </w:p>
    <w:p>
      <w:pPr>
        <w:pStyle w:val="Heading1"/>
        <w:pBdr>
          <w:bottom w:val="single" w:sz="8" w:space="4" w:color="C9D6DE"/>
        </w:pBdr>
      </w:pPr>
      <w:r>
        <w:t>5. Guidance for judges</w:t>
      </w:r>
    </w:p>
    <w:p>
      <w:pPr>
        <w:pStyle w:val="Heading2"/>
      </w:pPr>
      <w:r>
        <w:t>5.1 What a strong performance looks like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07"/>
            <w:shd w:val="clear" w:color="auto" w:fill="10375C"/>
          </w:tcPr>
          <w:p>
            <w:pPr>
              <w:spacing w:after="50" w:before="50"/>
            </w:pPr>
            <w:r>
              <w:rPr>
                <w:b/>
                <w:color w:val="FFFFFF"/>
                <w:sz w:val="17"/>
              </w:rPr>
              <w:t>Behaviour</w:t>
            </w:r>
          </w:p>
        </w:tc>
        <w:tc>
          <w:tcPr>
            <w:tcW w:type="dxa" w:w="861"/>
            <w:shd w:val="clear" w:color="auto" w:fill="10375C"/>
          </w:tcPr>
          <w:p>
            <w:pPr>
              <w:spacing w:after="50" w:before="50"/>
            </w:pPr>
            <w:r>
              <w:rPr>
                <w:b/>
                <w:color w:val="FFFFFF"/>
                <w:sz w:val="17"/>
              </w:rPr>
              <w:t>Section</w:t>
            </w:r>
          </w:p>
        </w:tc>
      </w:tr>
      <w:tr>
        <w:tc>
          <w:tcPr>
            <w:tcW w:type="dxa" w:w="8607"/>
          </w:tcPr>
          <w:p>
            <w:pPr>
              <w:spacing w:after="50" w:before="50" w:line="252" w:lineRule="auto"/>
            </w:pPr>
            <w:r>
              <w:rPr>
                <w:sz w:val="17"/>
              </w:rPr>
              <w:t xml:space="preserve">Opens by stating its party's </w:t>
            </w:r>
            <w:r>
              <w:rPr>
                <w:i/>
                <w:sz w:val="17"/>
              </w:rPr>
              <w:t>interests</w:t>
            </w:r>
            <w:r>
              <w:rPr>
                <w:sz w:val="17"/>
              </w:rPr>
              <w:t xml:space="preserve"> rather than reciting the pleaded case</w:t>
            </w:r>
          </w:p>
        </w:tc>
        <w:tc>
          <w:tcPr>
            <w:tcW w:type="dxa" w:w="861"/>
          </w:tcPr>
          <w:p>
            <w:pPr>
              <w:spacing w:after="50" w:before="50" w:line="252" w:lineRule="auto"/>
            </w:pPr>
            <w:r>
              <w:rPr>
                <w:sz w:val="17"/>
              </w:rPr>
              <w:t>A</w:t>
            </w:r>
          </w:p>
        </w:tc>
      </w:tr>
      <w:tr>
        <w:tc>
          <w:tcPr>
            <w:tcW w:type="dxa" w:w="8607"/>
            <w:shd w:val="clear" w:color="auto" w:fill="EAF1F4"/>
          </w:tcPr>
          <w:p>
            <w:pPr>
              <w:spacing w:after="50" w:before="50" w:line="252" w:lineRule="auto"/>
            </w:pPr>
            <w:r>
              <w:rPr>
                <w:sz w:val="17"/>
              </w:rPr>
              <w:t>Asks the other side what it actually needs, and listens to the answer</w:t>
            </w:r>
          </w:p>
        </w:tc>
        <w:tc>
          <w:tcPr>
            <w:tcW w:type="dxa" w:w="861"/>
            <w:shd w:val="clear" w:color="auto" w:fill="EAF1F4"/>
          </w:tcPr>
          <w:p>
            <w:pPr>
              <w:spacing w:after="50" w:before="50" w:line="252" w:lineRule="auto"/>
            </w:pPr>
            <w:r>
              <w:rPr>
                <w:sz w:val="17"/>
              </w:rPr>
              <w:t>B</w:t>
            </w:r>
          </w:p>
        </w:tc>
      </w:tr>
      <w:tr>
        <w:tc>
          <w:tcPr>
            <w:tcW w:type="dxa" w:w="8607"/>
          </w:tcPr>
          <w:p>
            <w:pPr>
              <w:spacing w:after="50" w:before="50" w:line="252" w:lineRule="auto"/>
            </w:pPr>
            <w:r>
              <w:rPr>
                <w:sz w:val="17"/>
              </w:rPr>
              <w:t>Identifies that the other side has a timing pressure, and uses it constructively rather than exploitatively</w:t>
            </w:r>
          </w:p>
        </w:tc>
        <w:tc>
          <w:tcPr>
            <w:tcW w:type="dxa" w:w="861"/>
          </w:tcPr>
          <w:p>
            <w:pPr>
              <w:spacing w:after="50" w:before="50" w:line="252" w:lineRule="auto"/>
            </w:pPr>
            <w:r>
              <w:rPr>
                <w:sz w:val="17"/>
              </w:rPr>
              <w:t>A, B</w:t>
            </w:r>
          </w:p>
        </w:tc>
      </w:tr>
      <w:tr>
        <w:tc>
          <w:tcPr>
            <w:tcW w:type="dxa" w:w="8607"/>
            <w:shd w:val="clear" w:color="auto" w:fill="EAF1F4"/>
          </w:tcPr>
          <w:p>
            <w:pPr>
              <w:spacing w:after="50" w:before="50" w:line="252" w:lineRule="auto"/>
            </w:pPr>
            <w:r>
              <w:rPr>
                <w:sz w:val="17"/>
              </w:rPr>
              <w:t>Recognises that the root-cause statement is available and cheap, and asks for it</w:t>
            </w:r>
          </w:p>
        </w:tc>
        <w:tc>
          <w:tcPr>
            <w:tcW w:type="dxa" w:w="861"/>
            <w:shd w:val="clear" w:color="auto" w:fill="EAF1F4"/>
          </w:tcPr>
          <w:p>
            <w:pPr>
              <w:spacing w:after="50" w:before="50" w:line="252" w:lineRule="auto"/>
            </w:pPr>
            <w:r>
              <w:rPr>
                <w:sz w:val="17"/>
              </w:rPr>
              <w:t>A</w:t>
            </w:r>
          </w:p>
        </w:tc>
      </w:tr>
      <w:tr>
        <w:tc>
          <w:tcPr>
            <w:tcW w:type="dxa" w:w="8607"/>
          </w:tcPr>
          <w:p>
            <w:pPr>
              <w:spacing w:after="50" w:before="50" w:line="252" w:lineRule="auto"/>
            </w:pPr>
            <w:r>
              <w:rPr>
                <w:sz w:val="17"/>
              </w:rPr>
              <w:t>Generates non-cash options before arguing about the number</w:t>
            </w:r>
          </w:p>
        </w:tc>
        <w:tc>
          <w:tcPr>
            <w:tcW w:type="dxa" w:w="861"/>
          </w:tcPr>
          <w:p>
            <w:pPr>
              <w:spacing w:after="50" w:before="50" w:line="252" w:lineRule="auto"/>
            </w:pPr>
            <w:r>
              <w:rPr>
                <w:sz w:val="17"/>
              </w:rPr>
              <w:t>B</w:t>
            </w:r>
          </w:p>
        </w:tc>
      </w:tr>
      <w:tr>
        <w:tc>
          <w:tcPr>
            <w:tcW w:type="dxa" w:w="8607"/>
            <w:shd w:val="clear" w:color="auto" w:fill="EAF1F4"/>
          </w:tcPr>
          <w:p>
            <w:pPr>
              <w:spacing w:after="50" w:before="50" w:line="252" w:lineRule="auto"/>
            </w:pPr>
            <w:r>
              <w:rPr>
                <w:sz w:val="17"/>
              </w:rPr>
              <w:t>Uses caucus deliberately and can say why</w:t>
            </w:r>
          </w:p>
        </w:tc>
        <w:tc>
          <w:tcPr>
            <w:tcW w:type="dxa" w:w="861"/>
            <w:shd w:val="clear" w:color="auto" w:fill="EAF1F4"/>
          </w:tcPr>
          <w:p>
            <w:pPr>
              <w:spacing w:after="50" w:before="50" w:line="252" w:lineRule="auto"/>
            </w:pPr>
            <w:r>
              <w:rPr>
                <w:sz w:val="17"/>
              </w:rPr>
              <w:t>C</w:t>
            </w:r>
          </w:p>
        </w:tc>
      </w:tr>
      <w:tr>
        <w:tc>
          <w:tcPr>
            <w:tcW w:type="dxa" w:w="8607"/>
          </w:tcPr>
          <w:p>
            <w:pPr>
              <w:spacing w:after="50" w:before="50" w:line="252" w:lineRule="auto"/>
            </w:pPr>
            <w:r>
              <w:rPr>
                <w:sz w:val="17"/>
              </w:rPr>
              <w:t>Client and Counsel visibly divide roles; the Client is not a passenger</w:t>
            </w:r>
          </w:p>
        </w:tc>
        <w:tc>
          <w:tcPr>
            <w:tcW w:type="dxa" w:w="861"/>
          </w:tcPr>
          <w:p>
            <w:pPr>
              <w:spacing w:after="50" w:before="50" w:line="252" w:lineRule="auto"/>
            </w:pPr>
            <w:r>
              <w:rPr>
                <w:sz w:val="17"/>
              </w:rPr>
              <w:t>D</w:t>
            </w:r>
          </w:p>
        </w:tc>
      </w:tr>
      <w:tr>
        <w:tc>
          <w:tcPr>
            <w:tcW w:type="dxa" w:w="8607"/>
            <w:shd w:val="clear" w:color="auto" w:fill="EAF1F4"/>
          </w:tcPr>
          <w:p>
            <w:pPr>
              <w:spacing w:after="50" w:before="50" w:line="252" w:lineRule="auto"/>
            </w:pPr>
            <w:r>
              <w:rPr>
                <w:sz w:val="17"/>
              </w:rPr>
              <w:t>Handles adverse information — its own or the other side's — with composure and judgement</w:t>
            </w:r>
          </w:p>
        </w:tc>
        <w:tc>
          <w:tcPr>
            <w:tcW w:type="dxa" w:w="861"/>
            <w:shd w:val="clear" w:color="auto" w:fill="EAF1F4"/>
          </w:tcPr>
          <w:p>
            <w:pPr>
              <w:spacing w:after="50" w:before="50" w:line="252" w:lineRule="auto"/>
            </w:pPr>
            <w:r>
              <w:rPr>
                <w:sz w:val="17"/>
              </w:rPr>
              <w:t>A</w:t>
            </w:r>
          </w:p>
        </w:tc>
      </w:tr>
      <w:tr>
        <w:tc>
          <w:tcPr>
            <w:tcW w:type="dxa" w:w="8607"/>
          </w:tcPr>
          <w:p>
            <w:pPr>
              <w:spacing w:after="50" w:before="50" w:line="252" w:lineRule="auto"/>
            </w:pPr>
            <w:r>
              <w:rPr>
                <w:sz w:val="17"/>
              </w:rPr>
              <w:t>Makes a concession and says what it wants in return</w:t>
            </w:r>
          </w:p>
        </w:tc>
        <w:tc>
          <w:tcPr>
            <w:tcW w:type="dxa" w:w="861"/>
          </w:tcPr>
          <w:p>
            <w:pPr>
              <w:spacing w:after="50" w:before="50" w:line="252" w:lineRule="auto"/>
            </w:pPr>
            <w:r>
              <w:rPr>
                <w:sz w:val="17"/>
              </w:rPr>
              <w:t>A, B</w:t>
            </w:r>
          </w:p>
        </w:tc>
      </w:tr>
    </w:tbl>
    <w:p>
      <w:pPr>
        <w:spacing w:after="80" w:before="0"/>
      </w:pPr>
    </w:p>
    <w:p>
      <w:pPr>
        <w:pStyle w:val="Heading2"/>
      </w:pPr>
      <w:r>
        <w:t>5.2 What a weak performance looks like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9468"/>
      </w:tblGrid>
      <w:tr>
        <w:trPr>
          <w:tblHeader w:val="true"/>
        </w:trPr>
        <w:tc>
          <w:tcPr>
            <w:tcW w:type="dxa" w:w="9468"/>
            <w:shd w:val="clear" w:color="auto" w:fill="10375C"/>
          </w:tcPr>
          <w:p>
            <w:pPr>
              <w:spacing w:after="50" w:before="50"/>
            </w:pPr>
            <w:r>
              <w:rPr>
                <w:b/>
                <w:color w:val="FFFFFF"/>
                <w:sz w:val="17"/>
              </w:rPr>
              <w:t>Behaviour</w:t>
            </w:r>
          </w:p>
        </w:tc>
      </w:tr>
      <w:tr>
        <w:tc>
          <w:tcPr>
            <w:tcW w:type="dxa" w:w="9468"/>
          </w:tcPr>
          <w:p>
            <w:pPr>
              <w:spacing w:after="50" w:before="50" w:line="252" w:lineRule="auto"/>
            </w:pPr>
            <w:r>
              <w:rPr>
                <w:sz w:val="17"/>
              </w:rPr>
              <w:t>Opens with a recitation of the claim and the contract clauses, addressed to the mediator rather than to the other party</w:t>
            </w:r>
          </w:p>
        </w:tc>
      </w:tr>
      <w:tr>
        <w:tc>
          <w:tcPr>
            <w:tcW w:type="dxa" w:w="9468"/>
            <w:shd w:val="clear" w:color="auto" w:fill="EAF1F4"/>
          </w:tcPr>
          <w:p>
            <w:pPr>
              <w:spacing w:after="50" w:before="50" w:line="252" w:lineRule="auto"/>
            </w:pPr>
            <w:r>
              <w:rPr>
                <w:sz w:val="17"/>
              </w:rPr>
              <w:t>Treats the liability cap or the force majeure clause as decisive and refuses to move beyond it</w:t>
            </w:r>
          </w:p>
        </w:tc>
      </w:tr>
      <w:tr>
        <w:tc>
          <w:tcPr>
            <w:tcW w:type="dxa" w:w="9468"/>
          </w:tcPr>
          <w:p>
            <w:pPr>
              <w:spacing w:after="50" w:before="50" w:line="252" w:lineRule="auto"/>
            </w:pPr>
            <w:r>
              <w:rPr>
                <w:sz w:val="17"/>
              </w:rPr>
              <w:t>Negotiates a single number for 70 minutes</w:t>
            </w:r>
          </w:p>
        </w:tc>
      </w:tr>
      <w:tr>
        <w:tc>
          <w:tcPr>
            <w:tcW w:type="dxa" w:w="9468"/>
            <w:shd w:val="clear" w:color="auto" w:fill="EAF1F4"/>
          </w:tcPr>
          <w:p>
            <w:pPr>
              <w:spacing w:after="50" w:before="50" w:line="252" w:lineRule="auto"/>
            </w:pPr>
            <w:r>
              <w:rPr>
                <w:sz w:val="17"/>
              </w:rPr>
              <w:t>Never asks the other side a genuine question</w:t>
            </w:r>
          </w:p>
        </w:tc>
      </w:tr>
      <w:tr>
        <w:tc>
          <w:tcPr>
            <w:tcW w:type="dxa" w:w="9468"/>
          </w:tcPr>
          <w:p>
            <w:pPr>
              <w:spacing w:after="50" w:before="50" w:line="252" w:lineRule="auto"/>
            </w:pPr>
            <w:r>
              <w:rPr>
                <w:sz w:val="17"/>
              </w:rPr>
              <w:t>The Client says almost nothing, or Counsel answers questions put to the Client</w:t>
            </w:r>
          </w:p>
        </w:tc>
      </w:tr>
      <w:tr>
        <w:tc>
          <w:tcPr>
            <w:tcW w:type="dxa" w:w="9468"/>
            <w:shd w:val="clear" w:color="auto" w:fill="EAF1F4"/>
          </w:tcPr>
          <w:p>
            <w:pPr>
              <w:spacing w:after="50" w:before="50" w:line="252" w:lineRule="auto"/>
            </w:pPr>
            <w:r>
              <w:rPr>
                <w:sz w:val="17"/>
              </w:rPr>
              <w:t>Discloses a confidential weakness carelessly, without obtaining anything for it</w:t>
            </w:r>
          </w:p>
        </w:tc>
      </w:tr>
      <w:tr>
        <w:tc>
          <w:tcPr>
            <w:tcW w:type="dxa" w:w="9468"/>
          </w:tcPr>
          <w:p>
            <w:pPr>
              <w:spacing w:after="50" w:before="50" w:line="252" w:lineRule="auto"/>
            </w:pPr>
            <w:r>
              <w:rPr>
                <w:sz w:val="17"/>
              </w:rPr>
              <w:t>Refuses to disclose anything at all, and is therefore unable to construct a trade</w:t>
            </w:r>
          </w:p>
        </w:tc>
      </w:tr>
      <w:tr>
        <w:tc>
          <w:tcPr>
            <w:tcW w:type="dxa" w:w="9468"/>
            <w:shd w:val="clear" w:color="auto" w:fill="EAF1F4"/>
          </w:tcPr>
          <w:p>
            <w:pPr>
              <w:spacing w:after="50" w:before="50" w:line="252" w:lineRule="auto"/>
            </w:pPr>
            <w:r>
              <w:rPr>
                <w:sz w:val="17"/>
              </w:rPr>
              <w:t>Reaches a settlement at any price to be seen to settle</w:t>
            </w:r>
          </w:p>
        </w:tc>
      </w:tr>
      <w:tr>
        <w:tc>
          <w:tcPr>
            <w:tcW w:type="dxa" w:w="9468"/>
          </w:tcPr>
          <w:p>
            <w:pPr>
              <w:spacing w:after="50" w:before="50" w:line="252" w:lineRule="auto"/>
            </w:pPr>
            <w:r>
              <w:rPr>
                <w:sz w:val="17"/>
              </w:rPr>
              <w:t>Becomes adversarial, sarcastic or personal</w:t>
            </w:r>
          </w:p>
        </w:tc>
      </w:tr>
    </w:tbl>
    <w:p>
      <w:pPr>
        <w:spacing w:after="80" w:before="0"/>
      </w:pPr>
    </w:p>
    <w:p>
      <w:pPr>
        <w:pStyle w:val="Heading2"/>
      </w:pPr>
      <w:r>
        <w:t>5.3 Two instructions repeated at calibration</w:t>
      </w:r>
    </w:p>
    <w:p>
      <w:pPr>
        <w:pStyle w:val="ListNumber"/>
      </w:pPr>
      <w:r>
        <w:rPr>
          <w:b/>
          <w:sz w:val="21"/>
        </w:rPr>
        <w:t>No marks for settling.</w:t>
      </w:r>
      <w:r>
        <w:rPr>
          <w:sz w:val="21"/>
        </w:rPr>
        <w:t xml:space="preserve"> A team that does not settle but negotiates well outscores a team that settles badly. Score the process and the advancement of interests, not the outcome.</w:t>
      </w:r>
    </w:p>
    <w:p>
      <w:pPr>
        <w:pStyle w:val="ListNumber"/>
      </w:pPr>
      <w:r>
        <w:rPr>
          <w:b/>
          <w:sz w:val="21"/>
        </w:rPr>
        <w:t>Score each team independently.</w:t>
      </w:r>
      <w:r>
        <w:rPr>
          <w:sz w:val="21"/>
        </w:rPr>
        <w:t xml:space="preserve"> You must not award equal points to both teams; there must be at least one point of difference.</w:t>
      </w:r>
    </w:p>
    <w:p>
      <w:pPr>
        <w:spacing w:before="80" w:after="160"/>
        <w:pBdr>
          <w:bottom w:val="single" w:sz="6" w:space="1" w:color="C9D6DE"/>
        </w:pBdr>
      </w:pPr>
    </w:p>
    <w:p>
      <w:pPr>
        <w:pStyle w:val="Heading1"/>
        <w:pBdr>
          <w:bottom w:val="single" w:sz="8" w:space="4" w:color="C9D6DE"/>
        </w:pBdr>
      </w:pPr>
      <w:r>
        <w:t>6. Traps built into the problem</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116"/>
            <w:shd w:val="clear" w:color="auto" w:fill="10375C"/>
          </w:tcPr>
          <w:p>
            <w:pPr>
              <w:spacing w:after="50" w:before="50"/>
            </w:pPr>
            <w:r>
              <w:rPr>
                <w:b/>
                <w:color w:val="FFFFFF"/>
                <w:sz w:val="17"/>
              </w:rPr>
              <w:t>Trap</w:t>
            </w:r>
          </w:p>
        </w:tc>
        <w:tc>
          <w:tcPr>
            <w:tcW w:type="dxa" w:w="6352"/>
            <w:shd w:val="clear" w:color="auto" w:fill="10375C"/>
          </w:tcPr>
          <w:p>
            <w:pPr>
              <w:spacing w:after="50" w:before="50"/>
            </w:pPr>
            <w:r>
              <w:rPr>
                <w:b/>
                <w:color w:val="FFFFFF"/>
                <w:sz w:val="17"/>
              </w:rPr>
              <w:t>Intended effect</w:t>
            </w:r>
          </w:p>
        </w:tc>
      </w:tr>
      <w:tr>
        <w:tc>
          <w:tcPr>
            <w:tcW w:type="dxa" w:w="3116"/>
          </w:tcPr>
          <w:p>
            <w:pPr>
              <w:spacing w:after="50" w:before="50" w:line="252" w:lineRule="auto"/>
            </w:pPr>
            <w:r>
              <w:rPr>
                <w:sz w:val="17"/>
              </w:rPr>
              <w:t>The clause 11.1 liability cap</w:t>
            </w:r>
          </w:p>
        </w:tc>
        <w:tc>
          <w:tcPr>
            <w:tcW w:type="dxa" w:w="6352"/>
          </w:tcPr>
          <w:p>
            <w:pPr>
              <w:spacing w:after="50" w:before="50" w:line="252" w:lineRule="auto"/>
            </w:pPr>
            <w:r>
              <w:rPr>
                <w:sz w:val="17"/>
              </w:rPr>
              <w:t>Invites Kaveri teams to anchor on ₹42.1 lakh and refuse to move. Teams that do so score poorly on option generation and on working with the other party — a cap is a litigation argument, not a mediation position</w:t>
            </w:r>
          </w:p>
        </w:tc>
      </w:tr>
      <w:tr>
        <w:tc>
          <w:tcPr>
            <w:tcW w:type="dxa" w:w="3116"/>
            <w:shd w:val="clear" w:color="auto" w:fill="EAF1F4"/>
          </w:tcPr>
          <w:p>
            <w:pPr>
              <w:spacing w:after="50" w:before="50" w:line="252" w:lineRule="auto"/>
            </w:pPr>
            <w:r>
              <w:rPr>
                <w:sz w:val="17"/>
              </w:rPr>
              <w:t>The force majeure clause</w:t>
            </w:r>
          </w:p>
        </w:tc>
        <w:tc>
          <w:tcPr>
            <w:tcW w:type="dxa" w:w="6352"/>
            <w:shd w:val="clear" w:color="auto" w:fill="EAF1F4"/>
          </w:tcPr>
          <w:p>
            <w:pPr>
              <w:spacing w:after="50" w:before="50" w:line="252" w:lineRule="auto"/>
            </w:pPr>
            <w:r>
              <w:rPr>
                <w:sz w:val="17"/>
              </w:rPr>
              <w:t>Invites a legal argument about the port strike that cannot be resolved in the room</w:t>
            </w:r>
          </w:p>
        </w:tc>
      </w:tr>
      <w:tr>
        <w:tc>
          <w:tcPr>
            <w:tcW w:type="dxa" w:w="3116"/>
          </w:tcPr>
          <w:p>
            <w:pPr>
              <w:spacing w:after="50" w:before="50" w:line="252" w:lineRule="auto"/>
            </w:pPr>
            <w:r>
              <w:rPr>
                <w:sz w:val="17"/>
              </w:rPr>
              <w:t>The six-hour data gap</w:t>
            </w:r>
          </w:p>
        </w:tc>
        <w:tc>
          <w:tcPr>
            <w:tcW w:type="dxa" w:w="6352"/>
          </w:tcPr>
          <w:p>
            <w:pPr>
              <w:spacing w:after="50" w:before="50" w:line="252" w:lineRule="auto"/>
            </w:pPr>
            <w:r>
              <w:rPr>
                <w:sz w:val="17"/>
              </w:rPr>
              <w:t>Invites Sundara teams to treat it as a smoking gun and become adversarial. The stronger play is to ask what happened and let Kaveri decide what to disclose</w:t>
            </w:r>
          </w:p>
        </w:tc>
      </w:tr>
      <w:tr>
        <w:tc>
          <w:tcPr>
            <w:tcW w:type="dxa" w:w="3116"/>
            <w:shd w:val="clear" w:color="auto" w:fill="EAF1F4"/>
          </w:tcPr>
          <w:p>
            <w:pPr>
              <w:spacing w:after="50" w:before="50" w:line="252" w:lineRule="auto"/>
            </w:pPr>
            <w:r>
              <w:rPr>
                <w:sz w:val="17"/>
              </w:rPr>
              <w:t>The pre-cooling certificate</w:t>
            </w:r>
          </w:p>
        </w:tc>
        <w:tc>
          <w:tcPr>
            <w:tcW w:type="dxa" w:w="6352"/>
            <w:shd w:val="clear" w:color="auto" w:fill="EAF1F4"/>
          </w:tcPr>
          <w:p>
            <w:pPr>
              <w:spacing w:after="50" w:before="50" w:line="252" w:lineRule="auto"/>
            </w:pPr>
            <w:r>
              <w:rPr>
                <w:sz w:val="17"/>
              </w:rPr>
              <w:t>Invites Kaveri teams to accuse Sundara. Weak teams accuse; strong teams ask a question and let Sundara reveal the blast-cooling problem</w:t>
            </w:r>
          </w:p>
        </w:tc>
      </w:tr>
      <w:tr>
        <w:tc>
          <w:tcPr>
            <w:tcW w:type="dxa" w:w="3116"/>
          </w:tcPr>
          <w:p>
            <w:pPr>
              <w:spacing w:after="50" w:before="50" w:line="252" w:lineRule="auto"/>
            </w:pPr>
            <w:r>
              <w:rPr>
                <w:sz w:val="17"/>
              </w:rPr>
              <w:t>The insurance recovery</w:t>
            </w:r>
          </w:p>
        </w:tc>
        <w:tc>
          <w:tcPr>
            <w:tcW w:type="dxa" w:w="6352"/>
          </w:tcPr>
          <w:p>
            <w:pPr>
              <w:spacing w:after="50" w:before="50" w:line="252" w:lineRule="auto"/>
            </w:pPr>
            <w:r>
              <w:rPr>
                <w:sz w:val="17"/>
              </w:rPr>
              <w:t>Sundara teams frequently claim ₹4.72 crore of direct loss while knowing ₹1.86 crore was recovered. Judges should watch how this is handled — overstatement, if exposed, is damaging</w:t>
            </w:r>
          </w:p>
        </w:tc>
      </w:tr>
      <w:tr>
        <w:tc>
          <w:tcPr>
            <w:tcW w:type="dxa" w:w="3116"/>
            <w:shd w:val="clear" w:color="auto" w:fill="EAF1F4"/>
          </w:tcPr>
          <w:p>
            <w:pPr>
              <w:spacing w:after="50" w:before="50" w:line="252" w:lineRule="auto"/>
            </w:pPr>
            <w:r>
              <w:rPr>
                <w:sz w:val="17"/>
              </w:rPr>
              <w:t>Nordheim</w:t>
            </w:r>
          </w:p>
        </w:tc>
        <w:tc>
          <w:tcPr>
            <w:tcW w:type="dxa" w:w="6352"/>
            <w:shd w:val="clear" w:color="auto" w:fill="EAF1F4"/>
          </w:tcPr>
          <w:p>
            <w:pPr>
              <w:spacing w:after="50" w:before="50" w:line="252" w:lineRule="auto"/>
            </w:pPr>
            <w:r>
              <w:rPr>
                <w:sz w:val="17"/>
              </w:rPr>
              <w:t>Both sides can help with Nordheim. Very few teams think to ask whether a joint letter to Nordheim is possible. It is, and it is worth a great deal</w:t>
            </w:r>
          </w:p>
        </w:tc>
      </w:tr>
    </w:tbl>
    <w:p>
      <w:pPr>
        <w:spacing w:after="80" w:before="0"/>
      </w:pPr>
    </w:p>
    <w:p>
      <w:pPr>
        <w:spacing w:before="80" w:after="160"/>
        <w:pBdr>
          <w:bottom w:val="single" w:sz="6" w:space="1" w:color="C9D6DE"/>
        </w:pBdr>
      </w:pPr>
    </w:p>
    <w:p>
      <w:pPr>
        <w:pStyle w:val="Heading1"/>
        <w:pBdr>
          <w:bottom w:val="single" w:sz="8" w:space="4" w:color="C9D6DE"/>
        </w:pBdr>
      </w:pPr>
      <w:r>
        <w:t>7. Model outcomes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4734"/>
            <w:shd w:val="clear" w:color="auto" w:fill="10375C"/>
          </w:tcPr>
          <w:p>
            <w:pPr>
              <w:spacing w:after="50" w:before="50"/>
            </w:pPr>
            <w:r>
              <w:rPr>
                <w:b/>
                <w:color w:val="FFFFFF"/>
                <w:sz w:val="17"/>
              </w:rPr>
              <w:t>Outcome</w:t>
            </w:r>
          </w:p>
        </w:tc>
        <w:tc>
          <w:tcPr>
            <w:tcW w:type="dxa" w:w="4734"/>
            <w:shd w:val="clear" w:color="auto" w:fill="10375C"/>
          </w:tcPr>
          <w:p>
            <w:pPr>
              <w:spacing w:after="50" w:before="50"/>
            </w:pPr>
            <w:r>
              <w:rPr>
                <w:b/>
                <w:color w:val="FFFFFF"/>
                <w:sz w:val="17"/>
              </w:rPr>
              <w:t>Assessment</w:t>
            </w:r>
          </w:p>
        </w:tc>
      </w:tr>
      <w:tr>
        <w:tc>
          <w:tcPr>
            <w:tcW w:type="dxa" w:w="4734"/>
          </w:tcPr>
          <w:p>
            <w:pPr>
              <w:spacing w:after="50" w:before="50" w:line="252" w:lineRule="auto"/>
            </w:pPr>
            <w:r>
              <w:rPr>
                <w:b/>
                <w:sz w:val="17"/>
              </w:rPr>
              <w:t>A. Full architecture</w:t>
            </w:r>
            <w:r>
              <w:rPr>
                <w:sz w:val="17"/>
              </w:rPr>
              <w:t xml:space="preserve"> — cash ₹1.0–1.3 crore, root-cause statement, volumes returned, Tuticorin anchor, MLSA extended, reference rights, dual logging, confidentiality, execution by 31 January</w:t>
            </w:r>
          </w:p>
        </w:tc>
        <w:tc>
          <w:tcPr>
            <w:tcW w:type="dxa" w:w="4734"/>
          </w:tcPr>
          <w:p>
            <w:pPr>
              <w:spacing w:after="50" w:before="50" w:line="252" w:lineRule="auto"/>
            </w:pPr>
            <w:r>
              <w:rPr>
                <w:sz w:val="17"/>
              </w:rPr>
              <w:t>Excellent. Very few pairs will reach this</w:t>
            </w:r>
          </w:p>
        </w:tc>
      </w:tr>
      <w:tr>
        <w:tc>
          <w:tcPr>
            <w:tcW w:type="dxa" w:w="4734"/>
            <w:shd w:val="clear" w:color="auto" w:fill="EAF1F4"/>
          </w:tcPr>
          <w:p>
            <w:pPr>
              <w:spacing w:after="50" w:before="50" w:line="252" w:lineRule="auto"/>
            </w:pPr>
            <w:r>
              <w:rPr>
                <w:b/>
                <w:sz w:val="17"/>
              </w:rPr>
              <w:t>B. Partial</w:t>
            </w:r>
            <w:r>
              <w:rPr>
                <w:sz w:val="17"/>
              </w:rPr>
              <w:t xml:space="preserve"> — cash ₹80 lakh–₹1.1 crore, root-cause statement, volumes returned, confidentiality</w:t>
            </w:r>
          </w:p>
        </w:tc>
        <w:tc>
          <w:tcPr>
            <w:tcW w:type="dxa" w:w="4734"/>
            <w:shd w:val="clear" w:color="auto" w:fill="EAF1F4"/>
          </w:tcPr>
          <w:p>
            <w:pPr>
              <w:spacing w:after="50" w:before="50" w:line="252" w:lineRule="auto"/>
            </w:pPr>
            <w:r>
              <w:rPr>
                <w:sz w:val="17"/>
              </w:rPr>
              <w:t>Strong. Most credit is available here</w:t>
            </w:r>
          </w:p>
        </w:tc>
      </w:tr>
      <w:tr>
        <w:tc>
          <w:tcPr>
            <w:tcW w:type="dxa" w:w="4734"/>
          </w:tcPr>
          <w:p>
            <w:pPr>
              <w:spacing w:after="50" w:before="50" w:line="252" w:lineRule="auto"/>
            </w:pPr>
            <w:r>
              <w:rPr>
                <w:b/>
                <w:sz w:val="17"/>
              </w:rPr>
              <w:t>C. Cash only</w:t>
            </w:r>
            <w:r>
              <w:rPr>
                <w:sz w:val="17"/>
              </w:rPr>
              <w:t xml:space="preserve"> — a number between ₹60 lakh and ₹1.4 crore and nothing else</w:t>
            </w:r>
          </w:p>
        </w:tc>
        <w:tc>
          <w:tcPr>
            <w:tcW w:type="dxa" w:w="4734"/>
          </w:tcPr>
          <w:p>
            <w:pPr>
              <w:spacing w:after="50" w:before="50" w:line="252" w:lineRule="auto"/>
            </w:pPr>
            <w:r>
              <w:rPr>
                <w:sz w:val="17"/>
              </w:rPr>
              <w:t>Weak, even if within both mandates. The problem was not solved; it was split</w:t>
            </w:r>
          </w:p>
        </w:tc>
      </w:tr>
      <w:tr>
        <w:tc>
          <w:tcPr>
            <w:tcW w:type="dxa" w:w="4734"/>
            <w:shd w:val="clear" w:color="auto" w:fill="EAF1F4"/>
          </w:tcPr>
          <w:p>
            <w:pPr>
              <w:spacing w:after="50" w:before="50" w:line="252" w:lineRule="auto"/>
            </w:pPr>
            <w:r>
              <w:rPr>
                <w:b/>
                <w:sz w:val="17"/>
              </w:rPr>
              <w:t>D. No settlement, well negotiated</w:t>
            </w:r>
            <w:r>
              <w:rPr>
                <w:sz w:val="17"/>
              </w:rPr>
              <w:t xml:space="preserve"> — interests surfaced, options generated, the gap identified and articulated, adjournment proposed</w:t>
            </w:r>
          </w:p>
        </w:tc>
        <w:tc>
          <w:tcPr>
            <w:tcW w:type="dxa" w:w="4734"/>
            <w:shd w:val="clear" w:color="auto" w:fill="EAF1F4"/>
          </w:tcPr>
          <w:p>
            <w:pPr>
              <w:spacing w:after="50" w:before="50" w:line="252" w:lineRule="auto"/>
            </w:pPr>
            <w:r>
              <w:rPr>
                <w:b/>
                <w:sz w:val="17"/>
              </w:rPr>
              <w:t>Can outscore C.</w:t>
            </w:r>
            <w:r>
              <w:rPr>
                <w:sz w:val="17"/>
              </w:rPr>
              <w:t xml:space="preserve"> Judges should be prepared to score this highly</w:t>
            </w:r>
          </w:p>
        </w:tc>
      </w:tr>
      <w:tr>
        <w:tc>
          <w:tcPr>
            <w:tcW w:type="dxa" w:w="4734"/>
          </w:tcPr>
          <w:p>
            <w:pPr>
              <w:spacing w:after="50" w:before="50" w:line="252" w:lineRule="auto"/>
            </w:pPr>
            <w:r>
              <w:rPr>
                <w:b/>
                <w:sz w:val="17"/>
              </w:rPr>
              <w:t>E. No settlement, positionally argued</w:t>
            </w:r>
          </w:p>
        </w:tc>
        <w:tc>
          <w:tcPr>
            <w:tcW w:type="dxa" w:w="4734"/>
          </w:tcPr>
          <w:p>
            <w:pPr>
              <w:spacing w:after="50" w:before="50" w:line="252" w:lineRule="auto"/>
            </w:pPr>
            <w:r>
              <w:rPr>
                <w:sz w:val="17"/>
              </w:rPr>
              <w:t>Weak</w:t>
            </w:r>
          </w:p>
        </w:tc>
      </w:tr>
      <w:tr>
        <w:tc>
          <w:tcPr>
            <w:tcW w:type="dxa" w:w="4734"/>
            <w:shd w:val="clear" w:color="auto" w:fill="EAF1F4"/>
          </w:tcPr>
          <w:p>
            <w:pPr>
              <w:spacing w:after="50" w:before="50" w:line="252" w:lineRule="auto"/>
            </w:pPr>
            <w:r>
              <w:rPr>
                <w:b/>
                <w:sz w:val="17"/>
              </w:rPr>
              <w:t>F. Sundara accepts ₹42.1 lakh</w:t>
            </w:r>
          </w:p>
        </w:tc>
        <w:tc>
          <w:tcPr>
            <w:tcW w:type="dxa" w:w="4734"/>
            <w:shd w:val="clear" w:color="auto" w:fill="EAF1F4"/>
          </w:tcPr>
          <w:p>
            <w:pPr>
              <w:spacing w:after="50" w:before="50" w:line="252" w:lineRule="auto"/>
            </w:pPr>
            <w:r>
              <w:rPr>
                <w:sz w:val="17"/>
              </w:rPr>
              <w:t>Below mandate. Note it; it indicates the team did not read its brief</w:t>
            </w:r>
          </w:p>
        </w:tc>
      </w:tr>
      <w:tr>
        <w:tc>
          <w:tcPr>
            <w:tcW w:type="dxa" w:w="4734"/>
          </w:tcPr>
          <w:p>
            <w:pPr>
              <w:spacing w:after="50" w:before="50" w:line="252" w:lineRule="auto"/>
            </w:pPr>
            <w:r>
              <w:rPr>
                <w:b/>
                <w:sz w:val="17"/>
              </w:rPr>
              <w:t>G. Kaveri pays above ₹1.45 crore cash</w:t>
            </w:r>
          </w:p>
        </w:tc>
        <w:tc>
          <w:tcPr>
            <w:tcW w:type="dxa" w:w="4734"/>
          </w:tcPr>
          <w:p>
            <w:pPr>
              <w:spacing w:after="50" w:before="50" w:line="252" w:lineRule="auto"/>
            </w:pPr>
            <w:r>
              <w:rPr>
                <w:sz w:val="17"/>
              </w:rPr>
              <w:t>Above mandate. Note it</w:t>
            </w:r>
          </w:p>
        </w:tc>
      </w:tr>
    </w:tbl>
    <w:p>
      <w:pPr>
        <w:spacing w:after="80" w:before="0"/>
      </w:pPr>
    </w:p>
    <w:p>
      <w:r>
        <w:t>Outcomes F and G are not automatic failures — a team may have exceeded its mandate for a defensible reason and said so. Judges should assess the reasoning, not merely the number.</w:t>
      </w:r>
    </w:p>
    <w:p>
      <w:pPr>
        <w:spacing w:before="80" w:after="160"/>
        <w:pBdr>
          <w:bottom w:val="single" w:sz="6" w:space="1" w:color="C9D6DE"/>
        </w:pBdr>
      </w:pPr>
    </w:p>
    <w:p>
      <w:pPr>
        <w:pStyle w:val="Heading1"/>
        <w:pBdr>
          <w:bottom w:val="single" w:sz="8" w:space="4" w:color="C9D6DE"/>
        </w:pBdr>
      </w:pPr>
      <w:r>
        <w:t>8. Administration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3081"/>
            <w:shd w:val="clear" w:color="auto" w:fill="10375C"/>
          </w:tcPr>
          <w:p>
            <w:pPr>
              <w:spacing w:after="50" w:before="50"/>
            </w:pPr>
            <w:r>
              <w:rPr>
                <w:b/>
                <w:color w:val="FFFFFF"/>
                <w:sz w:val="17"/>
              </w:rPr>
              <w:t>Item</w:t>
            </w:r>
          </w:p>
        </w:tc>
        <w:tc>
          <w:tcPr>
            <w:tcW w:type="dxa" w:w="6386"/>
            <w:shd w:val="clear" w:color="auto" w:fill="10375C"/>
          </w:tcPr>
          <w:p>
            <w:pPr>
              <w:spacing w:after="50" w:before="50"/>
            </w:pPr>
            <w:r>
              <w:rPr>
                <w:b/>
                <w:color w:val="FFFFFF"/>
                <w:sz w:val="17"/>
              </w:rPr>
              <w:t>Detail</w:t>
            </w:r>
          </w:p>
        </w:tc>
      </w:tr>
      <w:tr>
        <w:tc>
          <w:tcPr>
            <w:tcW w:type="dxa" w:w="3081"/>
          </w:tcPr>
          <w:p>
            <w:pPr>
              <w:spacing w:after="50" w:before="50" w:line="252" w:lineRule="auto"/>
            </w:pPr>
            <w:r>
              <w:rPr>
                <w:sz w:val="17"/>
              </w:rPr>
              <w:t>Briefs issued to mediators and judges</w:t>
            </w:r>
          </w:p>
        </w:tc>
        <w:tc>
          <w:tcPr>
            <w:tcW w:type="dxa" w:w="6386"/>
          </w:tcPr>
          <w:p>
            <w:pPr>
              <w:spacing w:after="50" w:before="50" w:line="252" w:lineRule="auto"/>
            </w:pPr>
            <w:r>
              <w:rPr>
                <w:sz w:val="17"/>
              </w:rPr>
              <w:t>7 days before</w:t>
            </w:r>
          </w:p>
        </w:tc>
      </w:tr>
      <w:tr>
        <w:tc>
          <w:tcPr>
            <w:tcW w:type="dxa" w:w="3081"/>
            <w:shd w:val="clear" w:color="auto" w:fill="EAF1F4"/>
          </w:tcPr>
          <w:p>
            <w:pPr>
              <w:spacing w:after="50" w:before="50" w:line="252" w:lineRule="auto"/>
            </w:pPr>
            <w:r>
              <w:rPr>
                <w:sz w:val="17"/>
              </w:rPr>
              <w:t>Calibration briefing</w:t>
            </w:r>
          </w:p>
        </w:tc>
        <w:tc>
          <w:tcPr>
            <w:tcW w:type="dxa" w:w="6386"/>
            <w:shd w:val="clear" w:color="auto" w:fill="EAF1F4"/>
          </w:tcPr>
          <w:p>
            <w:pPr>
              <w:spacing w:after="50" w:before="50" w:line="252" w:lineRule="auto"/>
            </w:pPr>
            <w:r>
              <w:rPr>
                <w:sz w:val="17"/>
              </w:rPr>
              <w:t>Mandatory, 60 minutes, on the evening before day 1</w:t>
            </w:r>
          </w:p>
        </w:tc>
      </w:tr>
      <w:tr>
        <w:tc>
          <w:tcPr>
            <w:tcW w:type="dxa" w:w="3081"/>
          </w:tcPr>
          <w:p>
            <w:pPr>
              <w:spacing w:after="50" w:before="50" w:line="252" w:lineRule="auto"/>
            </w:pPr>
            <w:r>
              <w:rPr>
                <w:sz w:val="17"/>
              </w:rPr>
              <w:t>Storage</w:t>
            </w:r>
          </w:p>
        </w:tc>
        <w:tc>
          <w:tcPr>
            <w:tcW w:type="dxa" w:w="6386"/>
          </w:tcPr>
          <w:p>
            <w:pPr>
              <w:spacing w:after="50" w:before="50" w:line="252" w:lineRule="auto"/>
            </w:pPr>
            <w:r>
              <w:rPr>
                <w:sz w:val="17"/>
              </w:rPr>
              <w:t>Materials are not to be left in a session room, sent by personal email, or discussed outside the judging area</w:t>
            </w:r>
          </w:p>
        </w:tc>
      </w:tr>
      <w:tr>
        <w:tc>
          <w:tcPr>
            <w:tcW w:type="dxa" w:w="3081"/>
            <w:shd w:val="clear" w:color="auto" w:fill="EAF1F4"/>
          </w:tcPr>
          <w:p>
            <w:pPr>
              <w:spacing w:after="50" w:before="50" w:line="252" w:lineRule="auto"/>
            </w:pPr>
            <w:r>
              <w:rPr>
                <w:sz w:val="17"/>
              </w:rPr>
              <w:t>Post-Championship</w:t>
            </w:r>
          </w:p>
        </w:tc>
        <w:tc>
          <w:tcPr>
            <w:tcW w:type="dxa" w:w="6386"/>
            <w:shd w:val="clear" w:color="auto" w:fill="EAF1F4"/>
          </w:tcPr>
          <w:p>
            <w:pPr>
              <w:spacing w:after="50" w:before="50" w:line="252" w:lineRule="auto"/>
            </w:pPr>
            <w:r>
              <w:rPr>
                <w:sz w:val="17"/>
              </w:rPr>
              <w:t>All copies destroyed or returned to the Convenor</w:t>
            </w:r>
          </w:p>
        </w:tc>
      </w:tr>
      <w:tr>
        <w:tc>
          <w:tcPr>
            <w:tcW w:type="dxa" w:w="3081"/>
          </w:tcPr>
          <w:p>
            <w:pPr>
              <w:spacing w:after="50" w:before="50" w:line="252" w:lineRule="auto"/>
            </w:pPr>
            <w:r>
              <w:rPr>
                <w:sz w:val="17"/>
              </w:rPr>
              <w:t>Publication</w:t>
            </w:r>
          </w:p>
        </w:tc>
        <w:tc>
          <w:tcPr>
            <w:tcW w:type="dxa" w:w="6386"/>
          </w:tcPr>
          <w:p>
            <w:pPr>
              <w:spacing w:after="50" w:before="50" w:line="252" w:lineRule="auto"/>
            </w:pPr>
            <w:r>
              <w:rPr>
                <w:sz w:val="17"/>
              </w:rPr>
              <w:t>The full problem is released publicly 12 months after the edition, and enters the licensable casebook</w:t>
            </w:r>
          </w:p>
        </w:tc>
      </w:tr>
    </w:tbl>
    <w:p>
      <w:pPr>
        <w:spacing w:after="80" w:before="0"/>
      </w:pP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EQ-UAP-066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Mediator Brief &amp; Assessor Notes</w:t>
    </w:r>
    <w:r>
      <w:rPr>
        <w:rFonts w:ascii="Calibri" w:hAnsi="Calibri"/>
        <w:color w:val="595959"/>
        <w:sz w:val="16"/>
      </w:rPr>
      <w:tab/>
      <w:t>STRICTLY CONFIDENTIAL — Mediators, judges and Committee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41656E8-E139-45C2-AF31-157293E2B419}"/>
</file>

<file path=customXml/itemProps3.xml><?xml version="1.0" encoding="utf-8"?>
<ds:datastoreItem xmlns:ds="http://schemas.openxmlformats.org/officeDocument/2006/customXml" ds:itemID="{4B666C7C-0E2F-48AC-BBF9-044A8E7EAC2C}"/>
</file>

<file path=customXml/itemProps4.xml><?xml version="1.0" encoding="utf-8"?>
<ds:datastoreItem xmlns:ds="http://schemas.openxmlformats.org/officeDocument/2006/customXml" ds:itemID="{3E64E791-6654-4054-ABA3-D549EB9F99E7}"/>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