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Judge &amp; Assessor Briefing and Calibration Pack</w:t>
      </w:r>
    </w:p>
    <w:p>
      <w:pPr>
        <w:spacing w:after="280" w:line="276" w:lineRule="auto"/>
      </w:pPr>
      <w:r>
        <w:rPr>
          <w:rFonts w:ascii="Calibri" w:hAnsi="Calibri"/>
          <w:i/>
          <w:color w:val="3E6B8A"/>
          <w:sz w:val="25"/>
        </w:rPr>
        <w:t>The mandatory pre-Championship briefing, the calibration exercise, and the standing instructions to judges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Judges, mediators and Committee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Why calibration is mandatory</w:t>
      </w:r>
    </w:p>
    <w:p>
      <w:r>
        <w:t>Two judges watching the same session and applying the same rubric can differ by fifteen marks. In a competition decided on aggregate points, that difference decides who advances. Calibration is what makes the result defensible, and it is the reason institutions are willing to travel.</w:t>
      </w:r>
    </w:p>
    <w:p>
      <w:r>
        <w:rPr>
          <w:b/>
        </w:rPr>
        <w:t>No person judges without attending calibration.</w:t>
      </w:r>
      <w:r>
        <w:t xml:space="preserve"> There is no exception for seniority, and the invitation letter says so.</w:t>
      </w:r>
    </w:p>
    <w:p>
      <w:pPr>
        <w:spacing w:before="80" w:after="160"/>
        <w:pBdr>
          <w:bottom w:val="single" w:sz="6" w:space="1" w:color="C9D6DE"/>
        </w:pBdr>
      </w:pPr>
    </w:p>
    <w:p>
      <w:pPr>
        <w:pStyle w:val="Heading1"/>
        <w:pBdr>
          <w:bottom w:val="single" w:sz="8" w:space="4" w:color="C9D6DE"/>
        </w:pBdr>
      </w:pPr>
      <w:r>
        <w:t>2. The briefing — 60 minutes, evening before day 1</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93"/>
            <w:shd w:val="clear" w:color="auto" w:fill="10375C"/>
          </w:tcPr>
          <w:p>
            <w:pPr>
              <w:spacing w:after="50" w:before="50"/>
            </w:pPr>
            <w:r>
              <w:rPr>
                <w:b/>
                <w:color w:val="FFFFFF"/>
                <w:sz w:val="17"/>
              </w:rPr>
              <w:t>Time</w:t>
            </w:r>
          </w:p>
        </w:tc>
        <w:tc>
          <w:tcPr>
            <w:tcW w:type="dxa" w:w="8575"/>
            <w:shd w:val="clear" w:color="auto" w:fill="10375C"/>
          </w:tcPr>
          <w:p>
            <w:pPr>
              <w:spacing w:after="50" w:before="50"/>
            </w:pPr>
            <w:r>
              <w:rPr>
                <w:b/>
                <w:color w:val="FFFFFF"/>
                <w:sz w:val="17"/>
              </w:rPr>
              <w:t>Item</w:t>
            </w:r>
          </w:p>
        </w:tc>
      </w:tr>
      <w:tr>
        <w:tc>
          <w:tcPr>
            <w:tcW w:type="dxa" w:w="893"/>
          </w:tcPr>
          <w:p>
            <w:pPr>
              <w:spacing w:after="50" w:before="50" w:line="252" w:lineRule="auto"/>
            </w:pPr>
            <w:r>
              <w:rPr>
                <w:sz w:val="17"/>
              </w:rPr>
              <w:t>0–5</w:t>
            </w:r>
          </w:p>
        </w:tc>
        <w:tc>
          <w:tcPr>
            <w:tcW w:type="dxa" w:w="8575"/>
          </w:tcPr>
          <w:p>
            <w:pPr>
              <w:spacing w:after="50" w:before="50" w:line="252" w:lineRule="auto"/>
            </w:pPr>
            <w:r>
              <w:rPr>
                <w:sz w:val="17"/>
              </w:rPr>
              <w:t>Welcome; the standard expected</w:t>
            </w:r>
          </w:p>
        </w:tc>
      </w:tr>
      <w:tr>
        <w:tc>
          <w:tcPr>
            <w:tcW w:type="dxa" w:w="893"/>
            <w:shd w:val="clear" w:color="auto" w:fill="EAF1F4"/>
          </w:tcPr>
          <w:p>
            <w:pPr>
              <w:spacing w:after="50" w:before="50" w:line="252" w:lineRule="auto"/>
            </w:pPr>
            <w:r>
              <w:rPr>
                <w:sz w:val="17"/>
              </w:rPr>
              <w:t>5–15</w:t>
            </w:r>
          </w:p>
        </w:tc>
        <w:tc>
          <w:tcPr>
            <w:tcW w:type="dxa" w:w="8575"/>
            <w:shd w:val="clear" w:color="auto" w:fill="EAF1F4"/>
          </w:tcPr>
          <w:p>
            <w:pPr>
              <w:spacing w:after="50" w:before="50" w:line="252" w:lineRule="auto"/>
            </w:pPr>
            <w:r>
              <w:rPr>
                <w:sz w:val="17"/>
              </w:rPr>
              <w:t>The problem — structure, hidden interests, the settlement zone, the traps</w:t>
            </w:r>
          </w:p>
        </w:tc>
      </w:tr>
      <w:tr>
        <w:tc>
          <w:tcPr>
            <w:tcW w:type="dxa" w:w="893"/>
          </w:tcPr>
          <w:p>
            <w:pPr>
              <w:spacing w:after="50" w:before="50" w:line="252" w:lineRule="auto"/>
            </w:pPr>
            <w:r>
              <w:rPr>
                <w:sz w:val="17"/>
              </w:rPr>
              <w:t>15–25</w:t>
            </w:r>
          </w:p>
        </w:tc>
        <w:tc>
          <w:tcPr>
            <w:tcW w:type="dxa" w:w="8575"/>
          </w:tcPr>
          <w:p>
            <w:pPr>
              <w:spacing w:after="50" w:before="50" w:line="252" w:lineRule="auto"/>
            </w:pPr>
            <w:r>
              <w:rPr>
                <w:sz w:val="17"/>
              </w:rPr>
              <w:t>The scoring instrument, criterion by criterion</w:t>
            </w:r>
          </w:p>
        </w:tc>
      </w:tr>
      <w:tr>
        <w:tc>
          <w:tcPr>
            <w:tcW w:type="dxa" w:w="893"/>
            <w:shd w:val="clear" w:color="auto" w:fill="EAF1F4"/>
          </w:tcPr>
          <w:p>
            <w:pPr>
              <w:spacing w:after="50" w:before="50" w:line="252" w:lineRule="auto"/>
            </w:pPr>
            <w:r>
              <w:rPr>
                <w:sz w:val="17"/>
              </w:rPr>
              <w:t>25–35</w:t>
            </w:r>
          </w:p>
        </w:tc>
        <w:tc>
          <w:tcPr>
            <w:tcW w:type="dxa" w:w="8575"/>
            <w:shd w:val="clear" w:color="auto" w:fill="EAF1F4"/>
          </w:tcPr>
          <w:p>
            <w:pPr>
              <w:spacing w:after="50" w:before="50" w:line="252" w:lineRule="auto"/>
            </w:pPr>
            <w:r>
              <w:rPr>
                <w:b/>
                <w:sz w:val="17"/>
              </w:rPr>
              <w:t>The two rules</w:t>
            </w:r>
            <w:r>
              <w:rPr>
                <w:sz w:val="17"/>
              </w:rPr>
              <w:t>: no marks for settling; no equal scores</w:t>
            </w:r>
          </w:p>
        </w:tc>
      </w:tr>
      <w:tr>
        <w:tc>
          <w:tcPr>
            <w:tcW w:type="dxa" w:w="893"/>
          </w:tcPr>
          <w:p>
            <w:pPr>
              <w:spacing w:after="50" w:before="50" w:line="252" w:lineRule="auto"/>
            </w:pPr>
            <w:r>
              <w:rPr>
                <w:sz w:val="17"/>
              </w:rPr>
              <w:t>35–50</w:t>
            </w:r>
          </w:p>
        </w:tc>
        <w:tc>
          <w:tcPr>
            <w:tcW w:type="dxa" w:w="8575"/>
          </w:tcPr>
          <w:p>
            <w:pPr>
              <w:spacing w:after="50" w:before="50" w:line="252" w:lineRule="auto"/>
            </w:pPr>
            <w:r>
              <w:rPr>
                <w:b/>
                <w:sz w:val="17"/>
              </w:rPr>
              <w:t>Calibration exercise</w:t>
            </w:r>
            <w:r>
              <w:rPr>
                <w:sz w:val="17"/>
              </w:rPr>
              <w:t xml:space="preserve"> — score a recorded or live benchmark session</w:t>
            </w:r>
          </w:p>
        </w:tc>
      </w:tr>
      <w:tr>
        <w:tc>
          <w:tcPr>
            <w:tcW w:type="dxa" w:w="893"/>
            <w:shd w:val="clear" w:color="auto" w:fill="EAF1F4"/>
          </w:tcPr>
          <w:p>
            <w:pPr>
              <w:spacing w:after="50" w:before="50" w:line="252" w:lineRule="auto"/>
            </w:pPr>
            <w:r>
              <w:rPr>
                <w:sz w:val="17"/>
              </w:rPr>
              <w:t>50–58</w:t>
            </w:r>
          </w:p>
        </w:tc>
        <w:tc>
          <w:tcPr>
            <w:tcW w:type="dxa" w:w="8575"/>
            <w:shd w:val="clear" w:color="auto" w:fill="EAF1F4"/>
          </w:tcPr>
          <w:p>
            <w:pPr>
              <w:spacing w:after="50" w:before="50" w:line="252" w:lineRule="auto"/>
            </w:pPr>
            <w:r>
              <w:rPr>
                <w:sz w:val="17"/>
              </w:rPr>
              <w:t>Reconciliation of scores; discussion of divergence</w:t>
            </w:r>
          </w:p>
        </w:tc>
      </w:tr>
      <w:tr>
        <w:tc>
          <w:tcPr>
            <w:tcW w:type="dxa" w:w="893"/>
          </w:tcPr>
          <w:p>
            <w:pPr>
              <w:spacing w:after="50" w:before="50" w:line="252" w:lineRule="auto"/>
            </w:pPr>
            <w:r>
              <w:rPr>
                <w:sz w:val="17"/>
              </w:rPr>
              <w:t>58–60</w:t>
            </w:r>
          </w:p>
        </w:tc>
        <w:tc>
          <w:tcPr>
            <w:tcW w:type="dxa" w:w="8575"/>
          </w:tcPr>
          <w:p>
            <w:pPr>
              <w:spacing w:after="50" w:before="50" w:line="252" w:lineRule="auto"/>
            </w:pPr>
            <w:r>
              <w:rPr>
                <w:sz w:val="17"/>
              </w:rPr>
              <w:t>Logistics, conflicts, room allocations</w:t>
            </w:r>
          </w:p>
        </w:tc>
      </w:tr>
    </w:tbl>
    <w:p>
      <w:pPr>
        <w:spacing w:after="80" w:before="0"/>
      </w:pPr>
    </w:p>
    <w:p>
      <w:pPr>
        <w:spacing w:before="80" w:after="160"/>
        <w:pBdr>
          <w:bottom w:val="single" w:sz="6" w:space="1" w:color="C9D6DE"/>
        </w:pBdr>
      </w:pPr>
    </w:p>
    <w:p>
      <w:pPr>
        <w:pStyle w:val="Heading1"/>
        <w:pBdr>
          <w:bottom w:val="single" w:sz="8" w:space="4" w:color="C9D6DE"/>
        </w:pBdr>
      </w:pPr>
      <w:r>
        <w:t>3. Standing instructions to judges</w:t>
      </w:r>
    </w:p>
    <w:p>
      <w:pPr>
        <w:pStyle w:val="Heading2"/>
      </w:pPr>
      <w:r>
        <w:t>3.1 Before the session</w:t>
      </w:r>
    </w:p>
    <w:p>
      <w:pPr>
        <w:pStyle w:val="ListBullet"/>
      </w:pPr>
      <w:r>
        <w:rPr>
          <w:sz w:val="21"/>
        </w:rPr>
        <w:t xml:space="preserve">Confirm you have no association with either institution. If you do, tell the Supervisor </w:t>
      </w:r>
      <w:r>
        <w:rPr>
          <w:b/>
          <w:sz w:val="21"/>
        </w:rPr>
        <w:t>before</w:t>
      </w:r>
      <w:r>
        <w:rPr>
          <w:sz w:val="21"/>
        </w:rPr>
        <w:t xml:space="preserve"> the session begins, not afterwards.</w:t>
      </w:r>
    </w:p>
    <w:p>
      <w:pPr>
        <w:pStyle w:val="ListBullet"/>
      </w:pPr>
      <w:r>
        <w:rPr>
          <w:sz w:val="21"/>
        </w:rPr>
        <w:t>Read the Mediation Plans for both teams. They are provided to you and to no one else.</w:t>
      </w:r>
    </w:p>
    <w:p>
      <w:pPr>
        <w:pStyle w:val="ListBullet"/>
      </w:pPr>
      <w:r>
        <w:rPr>
          <w:sz w:val="21"/>
        </w:rPr>
        <w:t>Have the scoresheet and the criteria in front of you throughout.</w:t>
      </w:r>
    </w:p>
    <w:p>
      <w:pPr>
        <w:pStyle w:val="ListBullet"/>
      </w:pPr>
      <w:r>
        <w:rPr>
          <w:sz w:val="21"/>
        </w:rPr>
        <w:t>Do not discuss the problem, the teams or your expectations with the other judge before scoring.</w:t>
      </w:r>
    </w:p>
    <w:p>
      <w:pPr>
        <w:pStyle w:val="Heading2"/>
      </w:pPr>
      <w:r>
        <w:t>3.2 During the session</w:t>
      </w:r>
    </w:p>
    <w:p>
      <w:pPr>
        <w:pStyle w:val="ListBullet"/>
      </w:pPr>
      <w:r>
        <w:rPr>
          <w:b/>
          <w:sz w:val="21"/>
        </w:rPr>
        <w:t>Take notes against the criteria</w:t>
      </w:r>
      <w:r>
        <w:rPr>
          <w:sz w:val="21"/>
        </w:rPr>
        <w:t>, not as a general narrative. You must record three specific observations per team.</w:t>
      </w:r>
    </w:p>
    <w:p>
      <w:pPr>
        <w:pStyle w:val="ListBullet"/>
      </w:pPr>
      <w:r>
        <w:rPr>
          <w:sz w:val="21"/>
        </w:rPr>
        <w:t xml:space="preserve">Note verbatim what was said where you can. </w:t>
      </w:r>
      <w:r>
        <w:rPr>
          <w:i/>
          <w:sz w:val="21"/>
        </w:rPr>
        <w:t>"You keep saying the contract caps it at forty-two lakh — what would actually help your client here?"</w:t>
      </w:r>
      <w:r>
        <w:rPr>
          <w:sz w:val="21"/>
        </w:rPr>
        <w:t xml:space="preserve"> is evidence; </w:t>
      </w:r>
      <w:r>
        <w:rPr>
          <w:i/>
          <w:sz w:val="21"/>
        </w:rPr>
        <w:t>"good question"</w:t>
      </w:r>
      <w:r>
        <w:rPr>
          <w:sz w:val="21"/>
        </w:rPr>
        <w:t xml:space="preserve"> is not.</w:t>
      </w:r>
    </w:p>
    <w:p>
      <w:pPr>
        <w:pStyle w:val="ListBullet"/>
      </w:pPr>
      <w:r>
        <w:rPr>
          <w:sz w:val="21"/>
        </w:rPr>
        <w:t>Attend caucuses where the mediator permits, and attend both sides' caucuses or neither.</w:t>
      </w:r>
    </w:p>
    <w:p>
      <w:pPr>
        <w:pStyle w:val="ListBullet"/>
      </w:pPr>
      <w:r>
        <w:rPr>
          <w:sz w:val="21"/>
        </w:rPr>
        <w:t>Do not react visibly. Teams read faces.</w:t>
      </w:r>
    </w:p>
    <w:p>
      <w:pPr>
        <w:pStyle w:val="ListBullet"/>
      </w:pPr>
      <w:r>
        <w:rPr>
          <w:sz w:val="21"/>
        </w:rPr>
        <w:t>Do not intervene. If a rule is breached, note it; the Supervisor manages the room.</w:t>
      </w:r>
    </w:p>
    <w:p>
      <w:pPr>
        <w:pStyle w:val="Heading2"/>
      </w:pPr>
      <w:r>
        <w:t>3.3 Scoring</w:t>
      </w:r>
    </w:p>
    <w:p>
      <w:pPr>
        <w:pStyle w:val="ListBullet"/>
      </w:pPr>
      <w:r>
        <w:rPr>
          <w:sz w:val="21"/>
        </w:rPr>
        <w:t xml:space="preserve">Score </w:t>
      </w:r>
      <w:r>
        <w:rPr>
          <w:b/>
          <w:sz w:val="21"/>
        </w:rPr>
        <w:t>immediately</w:t>
      </w:r>
      <w:r>
        <w:rPr>
          <w:sz w:val="21"/>
        </w:rPr>
        <w:t xml:space="preserve"> at the end of the session, before feedback and before conferring.</w:t>
      </w:r>
    </w:p>
    <w:p>
      <w:pPr>
        <w:pStyle w:val="ListBullet"/>
      </w:pPr>
      <w:r>
        <w:rPr>
          <w:sz w:val="21"/>
        </w:rPr>
        <w:t>Score against the descriptors. Resist the impression formed in the first ten minutes.</w:t>
      </w:r>
    </w:p>
    <w:p>
      <w:pPr>
        <w:pStyle w:val="ListBullet"/>
      </w:pPr>
      <w:r>
        <w:rPr>
          <w:b/>
          <w:sz w:val="21"/>
        </w:rPr>
        <w:t>Do not confer with the other judge before submitting.</w:t>
      </w:r>
      <w:r>
        <w:rPr>
          <w:sz w:val="21"/>
        </w:rPr>
        <w:t xml:space="preserve"> Independent scores are the point.</w:t>
      </w:r>
    </w:p>
    <w:p>
      <w:pPr>
        <w:pStyle w:val="ListBullet"/>
      </w:pPr>
      <w:r>
        <w:rPr>
          <w:sz w:val="21"/>
        </w:rPr>
        <w:t>Check your arithmetic and tick the box.</w:t>
      </w:r>
    </w:p>
    <w:p>
      <w:pPr>
        <w:pStyle w:val="ListBullet"/>
      </w:pPr>
      <w:r>
        <w:rPr>
          <w:sz w:val="21"/>
        </w:rPr>
        <w:t>Indicate Won or Lost. Equal scores are not permitted.</w:t>
      </w:r>
    </w:p>
    <w:p>
      <w:pPr>
        <w:pStyle w:val="ListBullet"/>
      </w:pPr>
      <w:r>
        <w:rPr>
          <w:sz w:val="21"/>
        </w:rPr>
        <w:t>Hand the sheet to the Supervisor. Do not photograph it, retain a copy, or discuss the score with anyone other than the Scoring Officer.</w:t>
      </w:r>
    </w:p>
    <w:p>
      <w:pPr>
        <w:pStyle w:val="Heading2"/>
      </w:pPr>
      <w:r>
        <w:t>3.4 Feedback — 10 minutes</w:t>
      </w:r>
    </w:p>
    <w:p>
      <w:r>
        <w:t>This is, for most competitors, the most valuable part of the exercise. Do it properly.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Address both teams together</w:t>
            </w:r>
          </w:p>
        </w:tc>
      </w:tr>
      <w:tr>
        <w:tc>
          <w:tcPr>
            <w:tcW w:type="dxa" w:w="9468"/>
            <w:shd w:val="clear" w:color="auto" w:fill="EAF1F4"/>
          </w:tcPr>
          <w:p>
            <w:pPr>
              <w:spacing w:after="50" w:before="50" w:line="252" w:lineRule="auto"/>
            </w:pPr>
            <w:r>
              <w:rPr>
                <w:sz w:val="17"/>
              </w:rPr>
              <w:t xml:space="preserve">Two things that worked, one thing to change, </w:t>
            </w:r>
            <w:r>
              <w:rPr>
                <w:b/>
                <w:sz w:val="17"/>
              </w:rPr>
              <w:t>for each team</w:t>
            </w:r>
          </w:p>
        </w:tc>
      </w:tr>
      <w:tr>
        <w:tc>
          <w:tcPr>
            <w:tcW w:type="dxa" w:w="9468"/>
          </w:tcPr>
          <w:p>
            <w:pPr>
              <w:spacing w:after="50" w:before="50" w:line="252" w:lineRule="auto"/>
            </w:pPr>
            <w:r>
              <w:rPr>
                <w:sz w:val="17"/>
              </w:rPr>
              <w:t xml:space="preserve">Be specific and behavioural — </w:t>
            </w:r>
            <w:r>
              <w:rPr>
                <w:i/>
                <w:sz w:val="17"/>
              </w:rPr>
              <w:t>when you asked what Nordheim actually needed, the whole conversation changed</w:t>
            </w:r>
          </w:p>
        </w:tc>
      </w:tr>
      <w:tr>
        <w:tc>
          <w:tcPr>
            <w:tcW w:type="dxa" w:w="9468"/>
            <w:shd w:val="clear" w:color="auto" w:fill="EAF1F4"/>
          </w:tcPr>
          <w:p>
            <w:pPr>
              <w:spacing w:after="50" w:before="50" w:line="252" w:lineRule="auto"/>
            </w:pPr>
            <w:r>
              <w:rPr>
                <w:b/>
                <w:sz w:val="17"/>
              </w:rPr>
              <w:t>Never disclose scores, ranking, or who won</w:t>
            </w:r>
          </w:p>
        </w:tc>
      </w:tr>
      <w:tr>
        <w:tc>
          <w:tcPr>
            <w:tcW w:type="dxa" w:w="9468"/>
          </w:tcPr>
          <w:p>
            <w:pPr>
              <w:spacing w:after="50" w:before="50" w:line="252" w:lineRule="auto"/>
            </w:pPr>
            <w:r>
              <w:rPr>
                <w:sz w:val="17"/>
              </w:rPr>
              <w:t>Never comment on the confidential briefs or reveal what one side held</w:t>
            </w:r>
          </w:p>
        </w:tc>
      </w:tr>
      <w:tr>
        <w:tc>
          <w:tcPr>
            <w:tcW w:type="dxa" w:w="9468"/>
            <w:shd w:val="clear" w:color="auto" w:fill="EAF1F4"/>
          </w:tcPr>
          <w:p>
            <w:pPr>
              <w:spacing w:after="50" w:before="50" w:line="252" w:lineRule="auto"/>
            </w:pPr>
            <w:r>
              <w:rPr>
                <w:sz w:val="17"/>
              </w:rPr>
              <w:t>Do not lecture. Ten minutes total, both teams</w:t>
            </w:r>
          </w:p>
        </w:tc>
      </w:tr>
      <w:tr>
        <w:tc>
          <w:tcPr>
            <w:tcW w:type="dxa" w:w="9468"/>
          </w:tcPr>
          <w:p>
            <w:pPr>
              <w:spacing w:after="50" w:before="50" w:line="252" w:lineRule="auto"/>
            </w:pPr>
            <w:r>
              <w:rPr>
                <w:sz w:val="17"/>
              </w:rPr>
              <w:t>If a team performed badly, be kind and be honest. They are students, and most of them will remember this</w:t>
            </w:r>
          </w:p>
        </w:tc>
      </w:tr>
    </w:tbl>
    <w:p>
      <w:pPr>
        <w:spacing w:after="80" w:before="0"/>
      </w:pPr>
    </w:p>
    <w:p>
      <w:pPr>
        <w:pStyle w:val="Heading2"/>
      </w:pPr>
      <w:r>
        <w:t>3.5 Never</w:t>
      </w:r>
    </w:p>
    <w:p>
      <w:pPr>
        <w:pStyle w:val="ListBullet"/>
      </w:pPr>
      <w:r>
        <w:rPr>
          <w:sz w:val="21"/>
        </w:rPr>
        <w:t>Never discuss a session with a coach, a competitor or an institution.</w:t>
      </w:r>
    </w:p>
    <w:p>
      <w:pPr>
        <w:pStyle w:val="ListBullet"/>
      </w:pPr>
      <w:r>
        <w:rPr>
          <w:sz w:val="21"/>
        </w:rPr>
        <w:t>Never indicate to a team how it is performing during or between rounds.</w:t>
      </w:r>
    </w:p>
    <w:p>
      <w:pPr>
        <w:pStyle w:val="ListBullet"/>
      </w:pPr>
      <w:r>
        <w:rPr>
          <w:sz w:val="21"/>
        </w:rPr>
        <w:t>Never accept hospitality from a participating institution during the Championship.</w:t>
      </w:r>
    </w:p>
    <w:p>
      <w:pPr>
        <w:pStyle w:val="ListBullet"/>
      </w:pPr>
      <w:r>
        <w:rPr>
          <w:sz w:val="21"/>
        </w:rPr>
        <w:t>Never adjust a score after submission except through the Scoring Officer, on the record.</w:t>
      </w:r>
    </w:p>
    <w:p>
      <w:pPr>
        <w:pStyle w:val="ListBullet"/>
      </w:pPr>
      <w:r>
        <w:rPr>
          <w:sz w:val="21"/>
        </w:rPr>
        <w:t>Never judge a session involving an institution with which you are associated.</w:t>
      </w:r>
    </w:p>
    <w:p>
      <w:pPr>
        <w:spacing w:before="80" w:after="160"/>
        <w:pBdr>
          <w:bottom w:val="single" w:sz="6" w:space="1" w:color="C9D6DE"/>
        </w:pBdr>
      </w:pPr>
    </w:p>
    <w:p>
      <w:pPr>
        <w:pStyle w:val="Heading1"/>
        <w:pBdr>
          <w:bottom w:val="single" w:sz="8" w:space="4" w:color="C9D6DE"/>
        </w:pBdr>
      </w:pPr>
      <w:r>
        <w:t>4. The calibration exercise</w:t>
      </w:r>
    </w:p>
    <w:p>
      <w:pPr>
        <w:pStyle w:val="Heading2"/>
      </w:pPr>
      <w:r>
        <w:t>4.1 Method</w:t>
      </w:r>
    </w:p>
    <w:p>
      <w:r>
        <w:t>All judges score a common benchmark session — a recording made for this purpose, or a live demonstration by trained volunteers. Scores are collected before any discussion.</w:t>
      </w:r>
    </w:p>
    <w:p>
      <w:pPr>
        <w:pStyle w:val="Heading2"/>
      </w:pPr>
      <w:r>
        <w:t>4.2 Benchmark scores</w:t>
      </w:r>
    </w:p>
    <w:p>
      <w:r>
        <w:t>The Committee sets a benchmark score for the recording, section by section, before the briefing.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993"/>
            <w:shd w:val="clear" w:color="auto" w:fill="10375C"/>
          </w:tcPr>
          <w:p>
            <w:pPr>
              <w:spacing w:after="50" w:before="50"/>
            </w:pPr>
            <w:r>
              <w:rPr>
                <w:b/>
                <w:color w:val="FFFFFF"/>
                <w:sz w:val="17"/>
              </w:rPr>
              <w:t>Section</w:t>
            </w:r>
          </w:p>
        </w:tc>
        <w:tc>
          <w:tcPr>
            <w:tcW w:type="dxa" w:w="2737"/>
            <w:shd w:val="clear" w:color="auto" w:fill="10375C"/>
          </w:tcPr>
          <w:p>
            <w:pPr>
              <w:spacing w:after="50" w:before="50"/>
            </w:pPr>
            <w:r>
              <w:rPr>
                <w:b/>
                <w:color w:val="FFFFFF"/>
                <w:sz w:val="17"/>
              </w:rPr>
              <w:t>Benchmark, Team A</w:t>
            </w:r>
          </w:p>
        </w:tc>
        <w:tc>
          <w:tcPr>
            <w:tcW w:type="dxa" w:w="2737"/>
            <w:shd w:val="clear" w:color="auto" w:fill="10375C"/>
          </w:tcPr>
          <w:p>
            <w:pPr>
              <w:spacing w:after="50" w:before="50"/>
            </w:pPr>
            <w:r>
              <w:rPr>
                <w:b/>
                <w:color w:val="FFFFFF"/>
                <w:sz w:val="17"/>
              </w:rPr>
              <w:t>Benchmark, Team B</w:t>
            </w:r>
          </w:p>
        </w:tc>
      </w:tr>
      <w:tr>
        <w:tc>
          <w:tcPr>
            <w:tcW w:type="dxa" w:w="3993"/>
          </w:tcPr>
          <w:p>
            <w:pPr>
              <w:spacing w:after="50" w:before="50" w:line="252" w:lineRule="auto"/>
            </w:pPr>
            <w:r>
              <w:rPr>
                <w:sz w:val="17"/>
              </w:rPr>
              <w:t>Plan</w:t>
            </w:r>
          </w:p>
        </w:tc>
        <w:tc>
          <w:tcPr>
            <w:tcW w:type="dxa" w:w="2737"/>
          </w:tcPr>
          <w:p>
            <w:pPr>
              <w:spacing w:after="50" w:before="50" w:line="252" w:lineRule="auto"/>
            </w:pPr>
            <w:r>
              <w:rPr>
                <w:sz w:val="17"/>
              </w:rPr>
              <w:t>[●]</w:t>
            </w:r>
          </w:p>
        </w:tc>
        <w:tc>
          <w:tcPr>
            <w:tcW w:type="dxa" w:w="2737"/>
          </w:tcPr>
          <w:p>
            <w:pPr>
              <w:spacing w:after="50" w:before="50" w:line="252" w:lineRule="auto"/>
            </w:pPr>
            <w:r>
              <w:rPr>
                <w:sz w:val="17"/>
              </w:rPr>
              <w:t>[●]</w:t>
            </w:r>
          </w:p>
        </w:tc>
      </w:tr>
      <w:tr>
        <w:tc>
          <w:tcPr>
            <w:tcW w:type="dxa" w:w="3993"/>
            <w:shd w:val="clear" w:color="auto" w:fill="EAF1F4"/>
          </w:tcPr>
          <w:p>
            <w:pPr>
              <w:spacing w:after="50" w:before="50" w:line="252" w:lineRule="auto"/>
            </w:pPr>
            <w:r>
              <w:rPr>
                <w:sz w:val="17"/>
              </w:rPr>
              <w:t>A — own interests</w:t>
            </w:r>
          </w:p>
        </w:tc>
        <w:tc>
          <w:tcPr>
            <w:tcW w:type="dxa" w:w="2737"/>
            <w:shd w:val="clear" w:color="auto" w:fill="EAF1F4"/>
          </w:tcPr>
          <w:p>
            <w:pPr>
              <w:spacing w:after="50" w:before="50" w:line="252" w:lineRule="auto"/>
            </w:pPr>
            <w:r>
              <w:rPr>
                <w:sz w:val="17"/>
              </w:rPr>
              <w:t>[●]</w:t>
            </w:r>
          </w:p>
        </w:tc>
        <w:tc>
          <w:tcPr>
            <w:tcW w:type="dxa" w:w="2737"/>
            <w:shd w:val="clear" w:color="auto" w:fill="EAF1F4"/>
          </w:tcPr>
          <w:p>
            <w:pPr>
              <w:spacing w:after="50" w:before="50" w:line="252" w:lineRule="auto"/>
            </w:pPr>
            <w:r>
              <w:rPr>
                <w:sz w:val="17"/>
              </w:rPr>
              <w:t>[●]</w:t>
            </w:r>
          </w:p>
        </w:tc>
      </w:tr>
      <w:tr>
        <w:tc>
          <w:tcPr>
            <w:tcW w:type="dxa" w:w="3993"/>
          </w:tcPr>
          <w:p>
            <w:pPr>
              <w:spacing w:after="50" w:before="50" w:line="252" w:lineRule="auto"/>
            </w:pPr>
            <w:r>
              <w:rPr>
                <w:sz w:val="17"/>
              </w:rPr>
              <w:t>B — other party</w:t>
            </w:r>
          </w:p>
        </w:tc>
        <w:tc>
          <w:tcPr>
            <w:tcW w:type="dxa" w:w="2737"/>
          </w:tcPr>
          <w:p>
            <w:pPr>
              <w:spacing w:after="50" w:before="50" w:line="252" w:lineRule="auto"/>
            </w:pPr>
            <w:r>
              <w:rPr>
                <w:sz w:val="17"/>
              </w:rPr>
              <w:t>[●]</w:t>
            </w:r>
          </w:p>
        </w:tc>
        <w:tc>
          <w:tcPr>
            <w:tcW w:type="dxa" w:w="2737"/>
          </w:tcPr>
          <w:p>
            <w:pPr>
              <w:spacing w:after="50" w:before="50" w:line="252" w:lineRule="auto"/>
            </w:pPr>
            <w:r>
              <w:rPr>
                <w:sz w:val="17"/>
              </w:rPr>
              <w:t>[●]</w:t>
            </w:r>
          </w:p>
        </w:tc>
      </w:tr>
      <w:tr>
        <w:tc>
          <w:tcPr>
            <w:tcW w:type="dxa" w:w="3993"/>
            <w:shd w:val="clear" w:color="auto" w:fill="EAF1F4"/>
          </w:tcPr>
          <w:p>
            <w:pPr>
              <w:spacing w:after="50" w:before="50" w:line="252" w:lineRule="auto"/>
            </w:pPr>
            <w:r>
              <w:rPr>
                <w:sz w:val="17"/>
              </w:rPr>
              <w:t>C — mediator</w:t>
            </w:r>
          </w:p>
        </w:tc>
        <w:tc>
          <w:tcPr>
            <w:tcW w:type="dxa" w:w="2737"/>
            <w:shd w:val="clear" w:color="auto" w:fill="EAF1F4"/>
          </w:tcPr>
          <w:p>
            <w:pPr>
              <w:spacing w:after="50" w:before="50" w:line="252" w:lineRule="auto"/>
            </w:pPr>
            <w:r>
              <w:rPr>
                <w:sz w:val="17"/>
              </w:rPr>
              <w:t>[●]</w:t>
            </w:r>
          </w:p>
        </w:tc>
        <w:tc>
          <w:tcPr>
            <w:tcW w:type="dxa" w:w="2737"/>
            <w:shd w:val="clear" w:color="auto" w:fill="EAF1F4"/>
          </w:tcPr>
          <w:p>
            <w:pPr>
              <w:spacing w:after="50" w:before="50" w:line="252" w:lineRule="auto"/>
            </w:pPr>
            <w:r>
              <w:rPr>
                <w:sz w:val="17"/>
              </w:rPr>
              <w:t>[●]</w:t>
            </w:r>
          </w:p>
        </w:tc>
      </w:tr>
      <w:tr>
        <w:tc>
          <w:tcPr>
            <w:tcW w:type="dxa" w:w="3993"/>
          </w:tcPr>
          <w:p>
            <w:pPr>
              <w:spacing w:after="50" w:before="50" w:line="252" w:lineRule="auto"/>
            </w:pPr>
            <w:r>
              <w:rPr>
                <w:sz w:val="17"/>
              </w:rPr>
              <w:t>D — teamwork</w:t>
            </w:r>
          </w:p>
        </w:tc>
        <w:tc>
          <w:tcPr>
            <w:tcW w:type="dxa" w:w="2737"/>
          </w:tcPr>
          <w:p>
            <w:pPr>
              <w:spacing w:after="50" w:before="50" w:line="252" w:lineRule="auto"/>
            </w:pPr>
            <w:r>
              <w:rPr>
                <w:sz w:val="17"/>
              </w:rPr>
              <w:t>[●]</w:t>
            </w:r>
          </w:p>
        </w:tc>
        <w:tc>
          <w:tcPr>
            <w:tcW w:type="dxa" w:w="2737"/>
          </w:tcPr>
          <w:p>
            <w:pPr>
              <w:spacing w:after="50" w:before="50" w:line="252" w:lineRule="auto"/>
            </w:pPr>
            <w:r>
              <w:rPr>
                <w:sz w:val="17"/>
              </w:rPr>
              <w:t>[●]</w:t>
            </w:r>
          </w:p>
        </w:tc>
      </w:tr>
      <w:tr>
        <w:tc>
          <w:tcPr>
            <w:tcW w:type="dxa" w:w="3993"/>
            <w:shd w:val="clear" w:color="auto" w:fill="EAF1F4"/>
          </w:tcPr>
          <w:p>
            <w:pPr>
              <w:spacing w:after="50" w:before="50" w:line="252" w:lineRule="auto"/>
            </w:pPr>
            <w:r>
              <w:rPr>
                <w:b/>
                <w:sz w:val="17"/>
              </w:rPr>
              <w:t>Total</w:t>
            </w:r>
          </w:p>
        </w:tc>
        <w:tc>
          <w:tcPr>
            <w:tcW w:type="dxa" w:w="2737"/>
            <w:shd w:val="clear" w:color="auto" w:fill="EAF1F4"/>
          </w:tcPr>
          <w:p>
            <w:pPr>
              <w:spacing w:after="50" w:before="50" w:line="252" w:lineRule="auto"/>
            </w:pPr>
            <w:r>
              <w:rPr>
                <w:b/>
                <w:sz w:val="17"/>
              </w:rPr>
              <w:t>[●]</w:t>
            </w:r>
          </w:p>
        </w:tc>
        <w:tc>
          <w:tcPr>
            <w:tcW w:type="dxa" w:w="2737"/>
            <w:shd w:val="clear" w:color="auto" w:fill="EAF1F4"/>
          </w:tcPr>
          <w:p>
            <w:pPr>
              <w:spacing w:after="50" w:before="50" w:line="252" w:lineRule="auto"/>
            </w:pPr>
            <w:r>
              <w:rPr>
                <w:b/>
                <w:sz w:val="17"/>
              </w:rPr>
              <w:t>[●]</w:t>
            </w:r>
          </w:p>
        </w:tc>
      </w:tr>
    </w:tbl>
    <w:p>
      <w:pPr>
        <w:spacing w:after="80" w:before="0"/>
      </w:pPr>
    </w:p>
    <w:p>
      <w:pPr>
        <w:pStyle w:val="Heading2"/>
      </w:pPr>
      <w:r>
        <w:t>4.3 Tolerance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10"/>
            <w:shd w:val="clear" w:color="auto" w:fill="10375C"/>
          </w:tcPr>
          <w:p>
            <w:pPr>
              <w:spacing w:after="50" w:before="50"/>
            </w:pPr>
            <w:r>
              <w:rPr>
                <w:b/>
                <w:color w:val="FFFFFF"/>
                <w:sz w:val="17"/>
              </w:rPr>
              <w:t>Divergence from benchmark total</w:t>
            </w:r>
          </w:p>
        </w:tc>
        <w:tc>
          <w:tcPr>
            <w:tcW w:type="dxa" w:w="6358"/>
            <w:shd w:val="clear" w:color="auto" w:fill="10375C"/>
          </w:tcPr>
          <w:p>
            <w:pPr>
              <w:spacing w:after="50" w:before="50"/>
            </w:pPr>
            <w:r>
              <w:rPr>
                <w:b/>
                <w:color w:val="FFFFFF"/>
                <w:sz w:val="17"/>
              </w:rPr>
              <w:t>Action</w:t>
            </w:r>
          </w:p>
        </w:tc>
      </w:tr>
      <w:tr>
        <w:tc>
          <w:tcPr>
            <w:tcW w:type="dxa" w:w="3110"/>
          </w:tcPr>
          <w:p>
            <w:pPr>
              <w:spacing w:after="50" w:before="50" w:line="252" w:lineRule="auto"/>
            </w:pPr>
            <w:r>
              <w:rPr>
                <w:sz w:val="17"/>
              </w:rPr>
              <w:t>Within 5 marks</w:t>
            </w:r>
          </w:p>
        </w:tc>
        <w:tc>
          <w:tcPr>
            <w:tcW w:type="dxa" w:w="6358"/>
          </w:tcPr>
          <w:p>
            <w:pPr>
              <w:spacing w:after="50" w:before="50" w:line="252" w:lineRule="auto"/>
            </w:pPr>
            <w:r>
              <w:rPr>
                <w:sz w:val="17"/>
              </w:rPr>
              <w:t>Within tolerance</w:t>
            </w:r>
          </w:p>
        </w:tc>
      </w:tr>
      <w:tr>
        <w:tc>
          <w:tcPr>
            <w:tcW w:type="dxa" w:w="3110"/>
            <w:shd w:val="clear" w:color="auto" w:fill="EAF1F4"/>
          </w:tcPr>
          <w:p>
            <w:pPr>
              <w:spacing w:after="50" w:before="50" w:line="252" w:lineRule="auto"/>
            </w:pPr>
            <w:r>
              <w:rPr>
                <w:sz w:val="17"/>
              </w:rPr>
              <w:t>6 to 8 marks</w:t>
            </w:r>
          </w:p>
        </w:tc>
        <w:tc>
          <w:tcPr>
            <w:tcW w:type="dxa" w:w="6358"/>
            <w:shd w:val="clear" w:color="auto" w:fill="EAF1F4"/>
          </w:tcPr>
          <w:p>
            <w:pPr>
              <w:spacing w:after="50" w:before="50" w:line="252" w:lineRule="auto"/>
            </w:pPr>
            <w:r>
              <w:rPr>
                <w:sz w:val="17"/>
              </w:rPr>
              <w:t>Discussed; judge confirms understanding of the descriptors</w:t>
            </w:r>
          </w:p>
        </w:tc>
      </w:tr>
      <w:tr>
        <w:tc>
          <w:tcPr>
            <w:tcW w:type="dxa" w:w="3110"/>
          </w:tcPr>
          <w:p>
            <w:pPr>
              <w:spacing w:after="50" w:before="50" w:line="252" w:lineRule="auto"/>
            </w:pPr>
            <w:r>
              <w:rPr>
                <w:sz w:val="17"/>
              </w:rPr>
              <w:t>More than 8 marks</w:t>
            </w:r>
          </w:p>
        </w:tc>
        <w:tc>
          <w:tcPr>
            <w:tcW w:type="dxa" w:w="6358"/>
          </w:tcPr>
          <w:p>
            <w:pPr>
              <w:spacing w:after="50" w:before="50" w:line="252" w:lineRule="auto"/>
            </w:pPr>
            <w:r>
              <w:rPr>
                <w:sz w:val="17"/>
              </w:rPr>
              <w:t>Judge re-scores a second benchmark. If still outside tolerance, the judge is allocated as a second judge only, paired with a calibrated judge, or is not allocated</w:t>
            </w:r>
          </w:p>
        </w:tc>
      </w:tr>
    </w:tbl>
    <w:p>
      <w:pPr>
        <w:spacing w:after="80" w:before="0"/>
      </w:pPr>
    </w:p>
    <w:p>
      <w:r>
        <w:t>Calibration scores are recorded and retained for three years. They are not disclosed to institutions.</w:t>
      </w:r>
    </w:p>
    <w:p>
      <w:pPr>
        <w:pStyle w:val="Heading2"/>
      </w:pPr>
      <w:r>
        <w:t>4.4 The three divergences that recur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323"/>
            <w:shd w:val="clear" w:color="auto" w:fill="10375C"/>
          </w:tcPr>
          <w:p>
            <w:pPr>
              <w:spacing w:after="50" w:before="50"/>
            </w:pPr>
            <w:r>
              <w:rPr>
                <w:b/>
                <w:color w:val="FFFFFF"/>
                <w:sz w:val="17"/>
              </w:rPr>
              <w:t>Divergence</w:t>
            </w:r>
          </w:p>
        </w:tc>
        <w:tc>
          <w:tcPr>
            <w:tcW w:type="dxa" w:w="6145"/>
            <w:shd w:val="clear" w:color="auto" w:fill="10375C"/>
          </w:tcPr>
          <w:p>
            <w:pPr>
              <w:spacing w:after="50" w:before="50"/>
            </w:pPr>
            <w:r>
              <w:rPr>
                <w:b/>
                <w:color w:val="FFFFFF"/>
                <w:sz w:val="17"/>
              </w:rPr>
              <w:t>Correction</w:t>
            </w:r>
          </w:p>
        </w:tc>
      </w:tr>
      <w:tr>
        <w:tc>
          <w:tcPr>
            <w:tcW w:type="dxa" w:w="3323"/>
          </w:tcPr>
          <w:p>
            <w:pPr>
              <w:spacing w:after="50" w:before="50" w:line="252" w:lineRule="auto"/>
            </w:pPr>
            <w:r>
              <w:rPr>
                <w:sz w:val="17"/>
              </w:rPr>
              <w:t>Rewarding settlement</w:t>
            </w:r>
          </w:p>
        </w:tc>
        <w:tc>
          <w:tcPr>
            <w:tcW w:type="dxa" w:w="6145"/>
          </w:tcPr>
          <w:p>
            <w:pPr>
              <w:spacing w:after="50" w:before="50" w:line="252" w:lineRule="auto"/>
            </w:pPr>
            <w:r>
              <w:rPr>
                <w:sz w:val="17"/>
              </w:rPr>
              <w:t xml:space="preserve">The rule is repeated. Ask: </w:t>
            </w:r>
            <w:r>
              <w:rPr>
                <w:i/>
                <w:sz w:val="17"/>
              </w:rPr>
              <w:t>would this settlement have served the client?</w:t>
            </w:r>
          </w:p>
        </w:tc>
      </w:tr>
      <w:tr>
        <w:tc>
          <w:tcPr>
            <w:tcW w:type="dxa" w:w="3323"/>
            <w:shd w:val="clear" w:color="auto" w:fill="EAF1F4"/>
          </w:tcPr>
          <w:p>
            <w:pPr>
              <w:spacing w:after="50" w:before="50" w:line="252" w:lineRule="auto"/>
            </w:pPr>
            <w:r>
              <w:rPr>
                <w:sz w:val="17"/>
              </w:rPr>
              <w:t>Rewarding fluency over substance</w:t>
            </w:r>
          </w:p>
        </w:tc>
        <w:tc>
          <w:tcPr>
            <w:tcW w:type="dxa" w:w="6145"/>
            <w:shd w:val="clear" w:color="auto" w:fill="EAF1F4"/>
          </w:tcPr>
          <w:p>
            <w:pPr>
              <w:spacing w:after="50" w:before="50" w:line="252" w:lineRule="auto"/>
            </w:pPr>
            <w:r>
              <w:rPr>
                <w:sz w:val="17"/>
              </w:rPr>
              <w:t>A confident speaker who asked no questions scores badly on B1. Score the questions, not the delivery</w:t>
            </w:r>
          </w:p>
        </w:tc>
      </w:tr>
      <w:tr>
        <w:tc>
          <w:tcPr>
            <w:tcW w:type="dxa" w:w="3323"/>
          </w:tcPr>
          <w:p>
            <w:pPr>
              <w:spacing w:after="50" w:before="50" w:line="252" w:lineRule="auto"/>
            </w:pPr>
            <w:r>
              <w:rPr>
                <w:sz w:val="17"/>
              </w:rPr>
              <w:t>Under-scoring Section C</w:t>
            </w:r>
          </w:p>
        </w:tc>
        <w:tc>
          <w:tcPr>
            <w:tcW w:type="dxa" w:w="6145"/>
          </w:tcPr>
          <w:p>
            <w:pPr>
              <w:spacing w:after="50" w:before="50" w:line="252" w:lineRule="auto"/>
            </w:pPr>
            <w:r>
              <w:rPr>
                <w:sz w:val="17"/>
              </w:rPr>
              <w:t>Working with the mediator is worth 8 marks. A team that used caucus deliberately and can articulate why should be rewarded, and one that ignored the mediator entirely should not</w:t>
            </w:r>
          </w:p>
        </w:tc>
      </w:tr>
    </w:tbl>
    <w:p>
      <w:pPr>
        <w:spacing w:after="80" w:before="0"/>
      </w:pPr>
    </w:p>
    <w:p>
      <w:pPr>
        <w:spacing w:before="80" w:after="160"/>
        <w:pBdr>
          <w:bottom w:val="single" w:sz="6" w:space="1" w:color="C9D6DE"/>
        </w:pBdr>
      </w:pPr>
    </w:p>
    <w:p>
      <w:pPr>
        <w:pStyle w:val="Heading1"/>
        <w:pBdr>
          <w:bottom w:val="single" w:sz="8" w:space="4" w:color="C9D6DE"/>
        </w:pBdr>
      </w:pPr>
      <w:r>
        <w:t>5. Conflicts</w:t>
      </w:r>
    </w:p>
    <w:p>
      <w:r>
        <w:t>Every judge completes the declaration at F-07 before allocation.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518"/>
            <w:shd w:val="clear" w:color="auto" w:fill="10375C"/>
          </w:tcPr>
          <w:p>
            <w:pPr>
              <w:spacing w:after="50" w:before="50"/>
            </w:pPr>
            <w:r>
              <w:rPr>
                <w:b/>
                <w:color w:val="FFFFFF"/>
                <w:sz w:val="17"/>
              </w:rPr>
              <w:t>Association</w:t>
            </w:r>
          </w:p>
        </w:tc>
        <w:tc>
          <w:tcPr>
            <w:tcW w:type="dxa" w:w="4949"/>
            <w:shd w:val="clear" w:color="auto" w:fill="10375C"/>
          </w:tcPr>
          <w:p>
            <w:pPr>
              <w:spacing w:after="50" w:before="50"/>
            </w:pPr>
            <w:r>
              <w:rPr>
                <w:b/>
                <w:color w:val="FFFFFF"/>
                <w:sz w:val="17"/>
              </w:rPr>
              <w:t>Consequence</w:t>
            </w:r>
          </w:p>
        </w:tc>
      </w:tr>
      <w:tr>
        <w:tc>
          <w:tcPr>
            <w:tcW w:type="dxa" w:w="4518"/>
          </w:tcPr>
          <w:p>
            <w:pPr>
              <w:spacing w:after="50" w:before="50" w:line="252" w:lineRule="auto"/>
            </w:pPr>
            <w:r>
              <w:rPr>
                <w:sz w:val="17"/>
              </w:rPr>
              <w:t>Current or former faculty of a participating institution</w:t>
            </w:r>
          </w:p>
        </w:tc>
        <w:tc>
          <w:tcPr>
            <w:tcW w:type="dxa" w:w="4949"/>
          </w:tcPr>
          <w:p>
            <w:pPr>
              <w:spacing w:after="50" w:before="50" w:line="252" w:lineRule="auto"/>
            </w:pPr>
            <w:r>
              <w:rPr>
                <w:sz w:val="17"/>
              </w:rPr>
              <w:t>Not allotted to that institution's sessions</w:t>
            </w:r>
          </w:p>
        </w:tc>
      </w:tr>
      <w:tr>
        <w:tc>
          <w:tcPr>
            <w:tcW w:type="dxa" w:w="4518"/>
            <w:shd w:val="clear" w:color="auto" w:fill="EAF1F4"/>
          </w:tcPr>
          <w:p>
            <w:pPr>
              <w:spacing w:after="50" w:before="50" w:line="252" w:lineRule="auto"/>
            </w:pPr>
            <w:r>
              <w:rPr>
                <w:sz w:val="17"/>
              </w:rPr>
              <w:t>Alumnus of a participating institution</w:t>
            </w:r>
          </w:p>
        </w:tc>
        <w:tc>
          <w:tcPr>
            <w:tcW w:type="dxa" w:w="4949"/>
            <w:shd w:val="clear" w:color="auto" w:fill="EAF1F4"/>
          </w:tcPr>
          <w:p>
            <w:pPr>
              <w:spacing w:after="50" w:before="50" w:line="252" w:lineRule="auto"/>
            </w:pPr>
            <w:r>
              <w:rPr>
                <w:sz w:val="17"/>
              </w:rPr>
              <w:t>Disclosed; allocation at the Convenor's discretion</w:t>
            </w:r>
          </w:p>
        </w:tc>
      </w:tr>
      <w:tr>
        <w:tc>
          <w:tcPr>
            <w:tcW w:type="dxa" w:w="4518"/>
          </w:tcPr>
          <w:p>
            <w:pPr>
              <w:spacing w:after="50" w:before="50" w:line="252" w:lineRule="auto"/>
            </w:pPr>
            <w:r>
              <w:rPr>
                <w:sz w:val="17"/>
              </w:rPr>
              <w:t>Coached any team in this edition</w:t>
            </w:r>
          </w:p>
        </w:tc>
        <w:tc>
          <w:tcPr>
            <w:tcW w:type="dxa" w:w="4949"/>
          </w:tcPr>
          <w:p>
            <w:pPr>
              <w:spacing w:after="50" w:before="50" w:line="252" w:lineRule="auto"/>
            </w:pPr>
            <w:r>
              <w:rPr>
                <w:b/>
                <w:sz w:val="17"/>
              </w:rPr>
              <w:t>Ineligible to judge in this edition</w:t>
            </w:r>
          </w:p>
        </w:tc>
      </w:tr>
      <w:tr>
        <w:tc>
          <w:tcPr>
            <w:tcW w:type="dxa" w:w="4518"/>
            <w:shd w:val="clear" w:color="auto" w:fill="EAF1F4"/>
          </w:tcPr>
          <w:p>
            <w:pPr>
              <w:spacing w:after="50" w:before="50" w:line="252" w:lineRule="auto"/>
            </w:pPr>
            <w:r>
              <w:rPr>
                <w:sz w:val="17"/>
              </w:rPr>
              <w:t>Employer of a competitor, or their employment offer pending</w:t>
            </w:r>
          </w:p>
        </w:tc>
        <w:tc>
          <w:tcPr>
            <w:tcW w:type="dxa" w:w="4949"/>
            <w:shd w:val="clear" w:color="auto" w:fill="EAF1F4"/>
          </w:tcPr>
          <w:p>
            <w:pPr>
              <w:spacing w:after="50" w:before="50" w:line="252" w:lineRule="auto"/>
            </w:pPr>
            <w:r>
              <w:rPr>
                <w:sz w:val="17"/>
              </w:rPr>
              <w:t>Not allotted to that team's sessions</w:t>
            </w:r>
          </w:p>
        </w:tc>
      </w:tr>
      <w:tr>
        <w:tc>
          <w:tcPr>
            <w:tcW w:type="dxa" w:w="4518"/>
          </w:tcPr>
          <w:p>
            <w:pPr>
              <w:spacing w:after="50" w:before="50" w:line="252" w:lineRule="auto"/>
            </w:pPr>
            <w:r>
              <w:rPr>
                <w:sz w:val="17"/>
              </w:rPr>
              <w:t>Related to a competitor</w:t>
            </w:r>
          </w:p>
        </w:tc>
        <w:tc>
          <w:tcPr>
            <w:tcW w:type="dxa" w:w="4949"/>
          </w:tcPr>
          <w:p>
            <w:pPr>
              <w:spacing w:after="50" w:before="50" w:line="252" w:lineRule="auto"/>
            </w:pPr>
            <w:r>
              <w:rPr>
                <w:sz w:val="17"/>
              </w:rPr>
              <w:t>Not allotted; disclosed</w:t>
            </w:r>
          </w:p>
        </w:tc>
      </w:tr>
      <w:tr>
        <w:tc>
          <w:tcPr>
            <w:tcW w:type="dxa" w:w="4518"/>
            <w:shd w:val="clear" w:color="auto" w:fill="EAF1F4"/>
          </w:tcPr>
          <w:p>
            <w:pPr>
              <w:spacing w:after="50" w:before="50" w:line="252" w:lineRule="auto"/>
            </w:pPr>
            <w:r>
              <w:rPr>
                <w:sz w:val="17"/>
              </w:rPr>
              <w:t>Nominated by a sponsor</w:t>
            </w:r>
          </w:p>
        </w:tc>
        <w:tc>
          <w:tcPr>
            <w:tcW w:type="dxa" w:w="4949"/>
            <w:shd w:val="clear" w:color="auto" w:fill="EAF1F4"/>
          </w:tcPr>
          <w:p>
            <w:pPr>
              <w:spacing w:after="50" w:before="50" w:line="252" w:lineRule="auto"/>
            </w:pPr>
            <w:r>
              <w:rPr>
                <w:sz w:val="17"/>
              </w:rPr>
              <w:t>Eligible, subject to the same declaration; nomination confers no entitlement</w:t>
            </w:r>
          </w:p>
        </w:tc>
      </w:tr>
      <w:tr>
        <w:tc>
          <w:tcPr>
            <w:tcW w:type="dxa" w:w="4518"/>
          </w:tcPr>
          <w:p>
            <w:pPr>
              <w:spacing w:after="50" w:before="50" w:line="252" w:lineRule="auto"/>
            </w:pPr>
            <w:r>
              <w:rPr>
                <w:sz w:val="17"/>
              </w:rPr>
              <w:t>Involved in drafting the problem</w:t>
            </w:r>
          </w:p>
        </w:tc>
        <w:tc>
          <w:tcPr>
            <w:tcW w:type="dxa" w:w="4949"/>
          </w:tcPr>
          <w:p>
            <w:pPr>
              <w:spacing w:after="50" w:before="50" w:line="252" w:lineRule="auto"/>
            </w:pPr>
            <w:r>
              <w:rPr>
                <w:b/>
                <w:sz w:val="17"/>
              </w:rPr>
              <w:t>Ineligible to judge, and may not attend sessions</w:t>
            </w:r>
          </w:p>
        </w:tc>
      </w:tr>
    </w:tbl>
    <w:p>
      <w:pPr>
        <w:spacing w:after="80" w:before="0"/>
      </w:pPr>
    </w:p>
    <w:p>
      <w:r>
        <w:t>A conflict emerging during the Championship must be disclosed immediately and before the session begins.</w:t>
      </w:r>
    </w:p>
    <w:p>
      <w:pPr>
        <w:spacing w:before="80" w:after="160"/>
        <w:pBdr>
          <w:bottom w:val="single" w:sz="6" w:space="1" w:color="C9D6DE"/>
        </w:pBdr>
      </w:pPr>
    </w:p>
    <w:p>
      <w:pPr>
        <w:pStyle w:val="Heading1"/>
        <w:pBdr>
          <w:bottom w:val="single" w:sz="8" w:space="4" w:color="C9D6DE"/>
        </w:pBdr>
      </w:pPr>
      <w:r>
        <w:t>6. Judge performance</w:t>
      </w:r>
    </w:p>
    <w:p>
      <w:r>
        <w:t>Judges are evaluated so that the panel improves each edition.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262"/>
            <w:shd w:val="clear" w:color="auto" w:fill="10375C"/>
          </w:tcPr>
          <w:p>
            <w:pPr>
              <w:spacing w:after="50" w:before="50"/>
            </w:pPr>
            <w:r>
              <w:rPr>
                <w:b/>
                <w:color w:val="FFFFFF"/>
                <w:sz w:val="17"/>
              </w:rPr>
              <w:t>Measure</w:t>
            </w:r>
          </w:p>
        </w:tc>
        <w:tc>
          <w:tcPr>
            <w:tcW w:type="dxa" w:w="3206"/>
            <w:shd w:val="clear" w:color="auto" w:fill="10375C"/>
          </w:tcPr>
          <w:p>
            <w:pPr>
              <w:spacing w:after="50" w:before="50"/>
            </w:pPr>
            <w:r>
              <w:rPr>
                <w:b/>
                <w:color w:val="FFFFFF"/>
                <w:sz w:val="17"/>
              </w:rPr>
              <w:t>Source</w:t>
            </w:r>
          </w:p>
        </w:tc>
      </w:tr>
      <w:tr>
        <w:tc>
          <w:tcPr>
            <w:tcW w:type="dxa" w:w="6262"/>
          </w:tcPr>
          <w:p>
            <w:pPr>
              <w:spacing w:after="50" w:before="50" w:line="252" w:lineRule="auto"/>
            </w:pPr>
            <w:r>
              <w:rPr>
                <w:sz w:val="17"/>
              </w:rPr>
              <w:t>Calibration divergence</w:t>
            </w:r>
          </w:p>
        </w:tc>
        <w:tc>
          <w:tcPr>
            <w:tcW w:type="dxa" w:w="3206"/>
          </w:tcPr>
          <w:p>
            <w:pPr>
              <w:spacing w:after="50" w:before="50" w:line="252" w:lineRule="auto"/>
            </w:pPr>
            <w:r>
              <w:rPr>
                <w:sz w:val="17"/>
              </w:rPr>
              <w:t>Calibration exercise</w:t>
            </w:r>
          </w:p>
        </w:tc>
      </w:tr>
      <w:tr>
        <w:tc>
          <w:tcPr>
            <w:tcW w:type="dxa" w:w="6262"/>
            <w:shd w:val="clear" w:color="auto" w:fill="EAF1F4"/>
          </w:tcPr>
          <w:p>
            <w:pPr>
              <w:spacing w:after="50" w:before="50" w:line="252" w:lineRule="auto"/>
            </w:pPr>
            <w:r>
              <w:rPr>
                <w:sz w:val="17"/>
              </w:rPr>
              <w:t>Score variance from the co-judge across sessions</w:t>
            </w:r>
          </w:p>
        </w:tc>
        <w:tc>
          <w:tcPr>
            <w:tcW w:type="dxa" w:w="3206"/>
            <w:shd w:val="clear" w:color="auto" w:fill="EAF1F4"/>
          </w:tcPr>
          <w:p>
            <w:pPr>
              <w:spacing w:after="50" w:before="50" w:line="252" w:lineRule="auto"/>
            </w:pPr>
            <w:r>
              <w:rPr>
                <w:sz w:val="17"/>
              </w:rPr>
              <w:t>Scoring Officer</w:t>
            </w:r>
          </w:p>
        </w:tc>
      </w:tr>
      <w:tr>
        <w:tc>
          <w:tcPr>
            <w:tcW w:type="dxa" w:w="6262"/>
          </w:tcPr>
          <w:p>
            <w:pPr>
              <w:spacing w:after="50" w:before="50" w:line="252" w:lineRule="auto"/>
            </w:pPr>
            <w:r>
              <w:rPr>
                <w:sz w:val="17"/>
              </w:rPr>
              <w:t>Completeness of the three mandatory observations</w:t>
            </w:r>
          </w:p>
        </w:tc>
        <w:tc>
          <w:tcPr>
            <w:tcW w:type="dxa" w:w="3206"/>
          </w:tcPr>
          <w:p>
            <w:pPr>
              <w:spacing w:after="50" w:before="50" w:line="252" w:lineRule="auto"/>
            </w:pPr>
            <w:r>
              <w:rPr>
                <w:sz w:val="17"/>
              </w:rPr>
              <w:t>Scoring Officer</w:t>
            </w:r>
          </w:p>
        </w:tc>
      </w:tr>
      <w:tr>
        <w:tc>
          <w:tcPr>
            <w:tcW w:type="dxa" w:w="6262"/>
            <w:shd w:val="clear" w:color="auto" w:fill="EAF1F4"/>
          </w:tcPr>
          <w:p>
            <w:pPr>
              <w:spacing w:after="50" w:before="50" w:line="252" w:lineRule="auto"/>
            </w:pPr>
            <w:r>
              <w:rPr>
                <w:sz w:val="17"/>
              </w:rPr>
              <w:t>Timeliness of scoresheet submission</w:t>
            </w:r>
          </w:p>
        </w:tc>
        <w:tc>
          <w:tcPr>
            <w:tcW w:type="dxa" w:w="3206"/>
            <w:shd w:val="clear" w:color="auto" w:fill="EAF1F4"/>
          </w:tcPr>
          <w:p>
            <w:pPr>
              <w:spacing w:after="50" w:before="50" w:line="252" w:lineRule="auto"/>
            </w:pPr>
            <w:r>
              <w:rPr>
                <w:sz w:val="17"/>
              </w:rPr>
              <w:t>Supervisor</w:t>
            </w:r>
          </w:p>
        </w:tc>
      </w:tr>
      <w:tr>
        <w:tc>
          <w:tcPr>
            <w:tcW w:type="dxa" w:w="6262"/>
          </w:tcPr>
          <w:p>
            <w:pPr>
              <w:spacing w:after="50" w:before="50" w:line="252" w:lineRule="auto"/>
            </w:pPr>
            <w:r>
              <w:rPr>
                <w:sz w:val="17"/>
              </w:rPr>
              <w:t>Quality of feedback</w:t>
            </w:r>
          </w:p>
        </w:tc>
        <w:tc>
          <w:tcPr>
            <w:tcW w:type="dxa" w:w="3206"/>
          </w:tcPr>
          <w:p>
            <w:pPr>
              <w:spacing w:after="50" w:before="50" w:line="252" w:lineRule="auto"/>
            </w:pPr>
            <w:r>
              <w:rPr>
                <w:sz w:val="17"/>
              </w:rPr>
              <w:t>Anonymous team survey</w:t>
            </w:r>
          </w:p>
        </w:tc>
      </w:tr>
      <w:tr>
        <w:tc>
          <w:tcPr>
            <w:tcW w:type="dxa" w:w="6262"/>
            <w:shd w:val="clear" w:color="auto" w:fill="EAF1F4"/>
          </w:tcPr>
          <w:p>
            <w:pPr>
              <w:spacing w:after="50" w:before="50" w:line="252" w:lineRule="auto"/>
            </w:pPr>
            <w:r>
              <w:rPr>
                <w:sz w:val="17"/>
              </w:rPr>
              <w:t>Conduct</w:t>
            </w:r>
          </w:p>
        </w:tc>
        <w:tc>
          <w:tcPr>
            <w:tcW w:type="dxa" w:w="3206"/>
            <w:shd w:val="clear" w:color="auto" w:fill="EAF1F4"/>
          </w:tcPr>
          <w:p>
            <w:pPr>
              <w:spacing w:after="50" w:before="50" w:line="252" w:lineRule="auto"/>
            </w:pPr>
            <w:r>
              <w:rPr>
                <w:sz w:val="17"/>
              </w:rPr>
              <w:t>Supervisor report</w:t>
            </w:r>
          </w:p>
        </w:tc>
      </w:tr>
    </w:tbl>
    <w:p>
      <w:pPr>
        <w:spacing w:after="80" w:before="0"/>
      </w:pPr>
    </w:p>
    <w:p>
      <w:r>
        <w:t>Judges outside tolerance on two or more measures are not invited to the following edition. This is recorded internally and is not communicated as a criticism.</w:t>
      </w:r>
    </w:p>
    <w:p>
      <w:pPr>
        <w:spacing w:before="80" w:after="160"/>
        <w:pBdr>
          <w:bottom w:val="single" w:sz="6" w:space="1" w:color="C9D6DE"/>
        </w:pBdr>
      </w:pPr>
    </w:p>
    <w:p>
      <w:pPr>
        <w:pStyle w:val="Heading1"/>
        <w:pBdr>
          <w:bottom w:val="single" w:sz="8" w:space="4" w:color="C9D6DE"/>
        </w:pBdr>
      </w:pPr>
      <w:r>
        <w:t>7. Practicalities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63"/>
            <w:shd w:val="clear" w:color="auto" w:fill="10375C"/>
          </w:tcPr>
          <w:p>
            <w:pPr>
              <w:spacing w:after="50" w:before="50"/>
            </w:pPr>
            <w:r>
              <w:rPr>
                <w:b/>
                <w:color w:val="FFFFFF"/>
                <w:sz w:val="17"/>
              </w:rPr>
              <w:t>Item</w:t>
            </w:r>
          </w:p>
        </w:tc>
        <w:tc>
          <w:tcPr>
            <w:tcW w:type="dxa" w:w="7204"/>
            <w:shd w:val="clear" w:color="auto" w:fill="10375C"/>
          </w:tcPr>
          <w:p>
            <w:pPr>
              <w:spacing w:after="50" w:before="50"/>
            </w:pPr>
            <w:r>
              <w:rPr>
                <w:b/>
                <w:color w:val="FFFFFF"/>
                <w:sz w:val="17"/>
              </w:rPr>
              <w:t>Detail</w:t>
            </w:r>
          </w:p>
        </w:tc>
      </w:tr>
      <w:tr>
        <w:tc>
          <w:tcPr>
            <w:tcW w:type="dxa" w:w="2263"/>
          </w:tcPr>
          <w:p>
            <w:pPr>
              <w:spacing w:after="50" w:before="50" w:line="252" w:lineRule="auto"/>
            </w:pPr>
            <w:r>
              <w:rPr>
                <w:sz w:val="17"/>
              </w:rPr>
              <w:t>Reporting time</w:t>
            </w:r>
          </w:p>
        </w:tc>
        <w:tc>
          <w:tcPr>
            <w:tcW w:type="dxa" w:w="7204"/>
          </w:tcPr>
          <w:p>
            <w:pPr>
              <w:spacing w:after="50" w:before="50" w:line="252" w:lineRule="auto"/>
            </w:pPr>
            <w:r>
              <w:rPr>
                <w:sz w:val="17"/>
              </w:rPr>
              <w:t>30 minutes before the first allotted session</w:t>
            </w:r>
          </w:p>
        </w:tc>
      </w:tr>
      <w:tr>
        <w:tc>
          <w:tcPr>
            <w:tcW w:type="dxa" w:w="2263"/>
            <w:shd w:val="clear" w:color="auto" w:fill="EAF1F4"/>
          </w:tcPr>
          <w:p>
            <w:pPr>
              <w:spacing w:after="50" w:before="50" w:line="252" w:lineRule="auto"/>
            </w:pPr>
            <w:r>
              <w:rPr>
                <w:sz w:val="17"/>
              </w:rPr>
              <w:t>Materials</w:t>
            </w:r>
          </w:p>
        </w:tc>
        <w:tc>
          <w:tcPr>
            <w:tcW w:type="dxa" w:w="7204"/>
            <w:shd w:val="clear" w:color="auto" w:fill="EAF1F4"/>
          </w:tcPr>
          <w:p>
            <w:pPr>
              <w:spacing w:after="50" w:before="50" w:line="252" w:lineRule="auto"/>
            </w:pPr>
            <w:r>
              <w:rPr>
                <w:sz w:val="17"/>
              </w:rPr>
              <w:t>Provided in a numbered folder; returned to the Supervisor at the end of each day</w:t>
            </w:r>
          </w:p>
        </w:tc>
      </w:tr>
      <w:tr>
        <w:tc>
          <w:tcPr>
            <w:tcW w:type="dxa" w:w="2263"/>
          </w:tcPr>
          <w:p>
            <w:pPr>
              <w:spacing w:after="50" w:before="50" w:line="252" w:lineRule="auto"/>
            </w:pPr>
            <w:r>
              <w:rPr>
                <w:sz w:val="17"/>
              </w:rPr>
              <w:t>Dress</w:t>
            </w:r>
          </w:p>
        </w:tc>
        <w:tc>
          <w:tcPr>
            <w:tcW w:type="dxa" w:w="7204"/>
          </w:tcPr>
          <w:p>
            <w:pPr>
              <w:spacing w:after="50" w:before="50" w:line="252" w:lineRule="auto"/>
            </w:pPr>
            <w:r>
              <w:rPr>
                <w:sz w:val="17"/>
              </w:rPr>
              <w:t>Business formal</w:t>
            </w:r>
          </w:p>
        </w:tc>
      </w:tr>
      <w:tr>
        <w:tc>
          <w:tcPr>
            <w:tcW w:type="dxa" w:w="2263"/>
            <w:shd w:val="clear" w:color="auto" w:fill="EAF1F4"/>
          </w:tcPr>
          <w:p>
            <w:pPr>
              <w:spacing w:after="50" w:before="50" w:line="252" w:lineRule="auto"/>
            </w:pPr>
            <w:r>
              <w:rPr>
                <w:sz w:val="17"/>
              </w:rPr>
              <w:t>Devices</w:t>
            </w:r>
          </w:p>
        </w:tc>
        <w:tc>
          <w:tcPr>
            <w:tcW w:type="dxa" w:w="7204"/>
            <w:shd w:val="clear" w:color="auto" w:fill="EAF1F4"/>
          </w:tcPr>
          <w:p>
            <w:pPr>
              <w:spacing w:after="50" w:before="50" w:line="252" w:lineRule="auto"/>
            </w:pPr>
            <w:r>
              <w:rPr>
                <w:sz w:val="17"/>
              </w:rPr>
              <w:t>Switched off in session rooms</w:t>
            </w:r>
          </w:p>
        </w:tc>
      </w:tr>
      <w:tr>
        <w:tc>
          <w:tcPr>
            <w:tcW w:type="dxa" w:w="2263"/>
          </w:tcPr>
          <w:p>
            <w:pPr>
              <w:spacing w:after="50" w:before="50" w:line="252" w:lineRule="auto"/>
            </w:pPr>
            <w:r>
              <w:rPr>
                <w:sz w:val="17"/>
              </w:rPr>
              <w:t>Meals and hospitality</w:t>
            </w:r>
          </w:p>
        </w:tc>
        <w:tc>
          <w:tcPr>
            <w:tcW w:type="dxa" w:w="7204"/>
          </w:tcPr>
          <w:p>
            <w:pPr>
              <w:spacing w:after="50" w:before="50" w:line="252" w:lineRule="auto"/>
            </w:pPr>
            <w:r>
              <w:rPr>
                <w:sz w:val="17"/>
              </w:rPr>
              <w:t>Provided by the Institute in the judges' area, which is separate from the participants' area</w:t>
            </w:r>
          </w:p>
        </w:tc>
      </w:tr>
      <w:tr>
        <w:tc>
          <w:tcPr>
            <w:tcW w:type="dxa" w:w="2263"/>
            <w:shd w:val="clear" w:color="auto" w:fill="EAF1F4"/>
          </w:tcPr>
          <w:p>
            <w:pPr>
              <w:spacing w:after="50" w:before="50" w:line="252" w:lineRule="auto"/>
            </w:pPr>
            <w:r>
              <w:rPr>
                <w:sz w:val="17"/>
              </w:rPr>
              <w:t>Honorarium and travel</w:t>
            </w:r>
          </w:p>
        </w:tc>
        <w:tc>
          <w:tcPr>
            <w:tcW w:type="dxa" w:w="7204"/>
            <w:shd w:val="clear" w:color="auto" w:fill="EAF1F4"/>
          </w:tcPr>
          <w:p>
            <w:pPr>
              <w:spacing w:after="50" w:before="50" w:line="252" w:lineRule="auto"/>
            </w:pPr>
            <w:r>
              <w:rPr>
                <w:sz w:val="17"/>
              </w:rPr>
              <w:t>As stated in the invitation; claimed on the form provided</w:t>
            </w:r>
          </w:p>
        </w:tc>
      </w:tr>
      <w:tr>
        <w:tc>
          <w:tcPr>
            <w:tcW w:type="dxa" w:w="2263"/>
          </w:tcPr>
          <w:p>
            <w:pPr>
              <w:spacing w:after="50" w:before="50" w:line="252" w:lineRule="auto"/>
            </w:pPr>
            <w:r>
              <w:rPr>
                <w:sz w:val="17"/>
              </w:rPr>
              <w:t>Photographs</w:t>
            </w:r>
          </w:p>
        </w:tc>
        <w:tc>
          <w:tcPr>
            <w:tcW w:type="dxa" w:w="7204"/>
          </w:tcPr>
          <w:p>
            <w:pPr>
              <w:spacing w:after="50" w:before="50" w:line="252" w:lineRule="auto"/>
            </w:pPr>
            <w:r>
              <w:rPr>
                <w:sz w:val="17"/>
              </w:rPr>
              <w:t>Judges are photographed for the Championship record unless they decline</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Judge &amp; Assessor Briefing and Calibration Pack</w:t>
    </w:r>
    <w:r>
      <w:rPr>
        <w:rFonts w:ascii="Calibri" w:hAnsi="Calibri"/>
        <w:color w:val="595959"/>
        <w:sz w:val="16"/>
      </w:rPr>
      <w:tab/>
      <w:t>Confidential — Judges, mediators and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DB4342D-B6CB-4911-BAD7-96C0617873DC}"/>
</file>

<file path=customXml/itemProps3.xml><?xml version="1.0" encoding="utf-8"?>
<ds:datastoreItem xmlns:ds="http://schemas.openxmlformats.org/officeDocument/2006/customXml" ds:itemID="{6BE1A413-AE94-4559-A542-2DD51D83F916}"/>
</file>

<file path=customXml/itemProps4.xml><?xml version="1.0" encoding="utf-8"?>
<ds:datastoreItem xmlns:ds="http://schemas.openxmlformats.org/officeDocument/2006/customXml" ds:itemID="{7104B0EF-0423-4EC4-990E-B5414161958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