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Safeguarding, POSH &amp; Student Grievance Policy</w:t>
      </w:r>
    </w:p>
    <w:p>
      <w:pPr>
        <w:spacing w:after="280" w:line="276" w:lineRule="auto"/>
      </w:pPr>
      <w:r>
        <w:rPr>
          <w:rFonts w:ascii="Calibri" w:hAnsi="Calibri"/>
          <w:i/>
          <w:color w:val="3E6B8A"/>
          <w:sz w:val="25"/>
        </w:rPr>
        <w:t>Protecting participants — prevention, recognition, response and reporting, including obligations under the POSH Act, 2013</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summary published to participants</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Commitment</w:t>
      </w:r>
    </w:p>
    <w:p>
      <w:r>
        <w:t>Equator's programmes bring adults, and sometimes children, into rooms where they are asked to be uncomfortable, to disclose, to fail in front of others and to trust the person running the session. That creates a duty of care that is higher, not lower, than in ordinary commercial training.</w:t>
      </w:r>
    </w:p>
    <w:p>
      <w:r>
        <w:rPr>
          <w:b/>
        </w:rPr>
        <w:t>The safety and welfare of participants take precedence over commercial, reputational and relationship considerations, without exception.</w:t>
      </w:r>
    </w:p>
    <w:p>
      <w:pPr>
        <w:spacing w:before="80" w:after="160"/>
        <w:pBdr>
          <w:bottom w:val="single" w:sz="6" w:space="1" w:color="C9D6DE"/>
        </w:pBdr>
      </w:pPr>
    </w:p>
    <w:p>
      <w:pPr>
        <w:pStyle w:val="Heading1"/>
        <w:pBdr>
          <w:bottom w:val="single" w:sz="8" w:space="4" w:color="C9D6DE"/>
        </w:pBdr>
      </w:pPr>
      <w:r>
        <w:t>2. Scope</w:t>
      </w:r>
    </w:p>
    <w:p>
      <w:r>
        <w:t>Applies to every Equator activity involving participants — on Equator premises, on partner campuses, at residential events, at community outreach, in school programmes and online — and to every person acting for Equator.</w:t>
      </w:r>
    </w:p>
    <w:p>
      <w:r>
        <w:t xml:space="preserve">Where an activity takes place on a partner campus, the institution's own policies apply in addition. </w:t>
      </w:r>
      <w:r>
        <w:rPr>
          <w:b/>
        </w:rPr>
        <w:t>Where the two differ, the higher standard applies.</w:t>
      </w:r>
    </w:p>
    <w:p>
      <w:pPr>
        <w:spacing w:before="80" w:after="160"/>
        <w:pBdr>
          <w:bottom w:val="single" w:sz="6" w:space="1" w:color="C9D6DE"/>
        </w:pBdr>
      </w:pPr>
    </w:p>
    <w:p>
      <w:pPr>
        <w:pStyle w:val="Heading1"/>
        <w:pBdr>
          <w:bottom w:val="single" w:sz="8" w:space="4" w:color="C9D6DE"/>
        </w:pBdr>
      </w:pPr>
      <w:r>
        <w:t>3. Prevention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96"/>
            <w:shd w:val="clear" w:color="auto" w:fill="10375C"/>
          </w:tcPr>
          <w:p>
            <w:pPr>
              <w:spacing w:after="50" w:before="50"/>
            </w:pPr>
            <w:r>
              <w:rPr>
                <w:b/>
                <w:color w:val="FFFFFF"/>
                <w:sz w:val="17"/>
              </w:rPr>
              <w:t>Control</w:t>
            </w:r>
          </w:p>
        </w:tc>
        <w:tc>
          <w:tcPr>
            <w:tcW w:type="dxa" w:w="7272"/>
            <w:shd w:val="clear" w:color="auto" w:fill="10375C"/>
          </w:tcPr>
          <w:p>
            <w:pPr>
              <w:spacing w:after="50" w:before="50"/>
            </w:pPr>
            <w:r>
              <w:rPr>
                <w:b/>
                <w:color w:val="FFFFFF"/>
                <w:sz w:val="17"/>
              </w:rPr>
              <w:t>Requirement</w:t>
            </w:r>
          </w:p>
        </w:tc>
      </w:tr>
      <w:tr>
        <w:tc>
          <w:tcPr>
            <w:tcW w:type="dxa" w:w="2196"/>
          </w:tcPr>
          <w:p>
            <w:pPr>
              <w:spacing w:after="50" w:before="50" w:line="252" w:lineRule="auto"/>
            </w:pPr>
            <w:r>
              <w:rPr>
                <w:sz w:val="17"/>
              </w:rPr>
              <w:t>Screening</w:t>
            </w:r>
          </w:p>
        </w:tc>
        <w:tc>
          <w:tcPr>
            <w:tcW w:type="dxa" w:w="7272"/>
          </w:tcPr>
          <w:p>
            <w:pPr>
              <w:spacing w:after="50" w:before="50" w:line="252" w:lineRule="auto"/>
            </w:pPr>
            <w:r>
              <w:rPr>
                <w:sz w:val="17"/>
              </w:rPr>
              <w:t>Every person engaged to work with participants declares that no matter exists which would render engagement inappropriate, and undertakes to disclose anything arising</w:t>
            </w:r>
          </w:p>
        </w:tc>
      </w:tr>
      <w:tr>
        <w:tc>
          <w:tcPr>
            <w:tcW w:type="dxa" w:w="2196"/>
            <w:shd w:val="clear" w:color="auto" w:fill="EAF1F4"/>
          </w:tcPr>
          <w:p>
            <w:pPr>
              <w:spacing w:after="50" w:before="50" w:line="252" w:lineRule="auto"/>
            </w:pPr>
            <w:r>
              <w:rPr>
                <w:sz w:val="17"/>
              </w:rPr>
              <w:t>Briefing</w:t>
            </w:r>
          </w:p>
        </w:tc>
        <w:tc>
          <w:tcPr>
            <w:tcW w:type="dxa" w:w="7272"/>
            <w:shd w:val="clear" w:color="auto" w:fill="EAF1F4"/>
          </w:tcPr>
          <w:p>
            <w:pPr>
              <w:spacing w:after="50" w:before="50" w:line="252" w:lineRule="auto"/>
            </w:pPr>
            <w:r>
              <w:rPr>
                <w:sz w:val="17"/>
              </w:rPr>
              <w:t>Every trainer, supervisor, assessor and volunteer is briefed on this policy before working with participants</w:t>
            </w:r>
          </w:p>
        </w:tc>
      </w:tr>
      <w:tr>
        <w:tc>
          <w:tcPr>
            <w:tcW w:type="dxa" w:w="2196"/>
          </w:tcPr>
          <w:p>
            <w:pPr>
              <w:spacing w:after="50" w:before="50" w:line="252" w:lineRule="auto"/>
            </w:pPr>
            <w:r>
              <w:rPr>
                <w:b/>
                <w:sz w:val="17"/>
              </w:rPr>
              <w:t>Two-adult rule</w:t>
            </w:r>
          </w:p>
        </w:tc>
        <w:tc>
          <w:tcPr>
            <w:tcW w:type="dxa" w:w="7272"/>
          </w:tcPr>
          <w:p>
            <w:pPr>
              <w:spacing w:after="50" w:before="50" w:line="252" w:lineRule="auto"/>
            </w:pPr>
            <w:r>
              <w:rPr>
                <w:sz w:val="17"/>
              </w:rPr>
              <w:t>Where participants under eighteen are present, no adult is alone with a participant. Without exception</w:t>
            </w:r>
          </w:p>
        </w:tc>
      </w:tr>
      <w:tr>
        <w:tc>
          <w:tcPr>
            <w:tcW w:type="dxa" w:w="2196"/>
            <w:shd w:val="clear" w:color="auto" w:fill="EAF1F4"/>
          </w:tcPr>
          <w:p>
            <w:pPr>
              <w:spacing w:after="50" w:before="50" w:line="252" w:lineRule="auto"/>
            </w:pPr>
            <w:r>
              <w:rPr>
                <w:sz w:val="17"/>
              </w:rPr>
              <w:t>Open environment</w:t>
            </w:r>
          </w:p>
        </w:tc>
        <w:tc>
          <w:tcPr>
            <w:tcW w:type="dxa" w:w="7272"/>
            <w:shd w:val="clear" w:color="auto" w:fill="EAF1F4"/>
          </w:tcPr>
          <w:p>
            <w:pPr>
              <w:spacing w:after="50" w:before="50" w:line="252" w:lineRule="auto"/>
            </w:pPr>
            <w:r>
              <w:rPr>
                <w:sz w:val="17"/>
              </w:rPr>
              <w:t>Sessions are conducted in rooms with visibility; one-to-one meetings take place in an open or visible setting</w:t>
            </w:r>
          </w:p>
        </w:tc>
      </w:tr>
      <w:tr>
        <w:tc>
          <w:tcPr>
            <w:tcW w:type="dxa" w:w="2196"/>
          </w:tcPr>
          <w:p>
            <w:pPr>
              <w:spacing w:after="50" w:before="50" w:line="252" w:lineRule="auto"/>
            </w:pPr>
            <w:r>
              <w:rPr>
                <w:sz w:val="17"/>
              </w:rPr>
              <w:t>Communication</w:t>
            </w:r>
          </w:p>
        </w:tc>
        <w:tc>
          <w:tcPr>
            <w:tcW w:type="dxa" w:w="7272"/>
          </w:tcPr>
          <w:p>
            <w:pPr>
              <w:spacing w:after="50" w:before="50" w:line="252" w:lineRule="auto"/>
            </w:pPr>
            <w:r>
              <w:rPr>
                <w:sz w:val="17"/>
              </w:rPr>
              <w:t>Programme communication is through Equator channels; not through personal social media or personal messaging</w:t>
            </w:r>
          </w:p>
        </w:tc>
      </w:tr>
      <w:tr>
        <w:tc>
          <w:tcPr>
            <w:tcW w:type="dxa" w:w="2196"/>
            <w:shd w:val="clear" w:color="auto" w:fill="EAF1F4"/>
          </w:tcPr>
          <w:p>
            <w:pPr>
              <w:spacing w:after="50" w:before="50" w:line="252" w:lineRule="auto"/>
            </w:pPr>
            <w:r>
              <w:rPr>
                <w:sz w:val="17"/>
              </w:rPr>
              <w:t>Residential</w:t>
            </w:r>
          </w:p>
        </w:tc>
        <w:tc>
          <w:tcPr>
            <w:tcW w:type="dxa" w:w="7272"/>
            <w:shd w:val="clear" w:color="auto" w:fill="EAF1F4"/>
          </w:tcPr>
          <w:p>
            <w:pPr>
              <w:spacing w:after="50" w:before="50" w:line="252" w:lineRule="auto"/>
            </w:pPr>
            <w:r>
              <w:rPr>
                <w:sz w:val="17"/>
              </w:rPr>
              <w:t>Supervision ratio of at least 1:15; separate arrangements by gender; a named 24-hour coordinator; no alcohol</w:t>
            </w:r>
          </w:p>
        </w:tc>
      </w:tr>
      <w:tr>
        <w:tc>
          <w:tcPr>
            <w:tcW w:type="dxa" w:w="2196"/>
          </w:tcPr>
          <w:p>
            <w:pPr>
              <w:spacing w:after="50" w:before="50" w:line="252" w:lineRule="auto"/>
            </w:pPr>
            <w:r>
              <w:rPr>
                <w:sz w:val="17"/>
              </w:rPr>
              <w:t>Transport</w:t>
            </w:r>
          </w:p>
        </w:tc>
        <w:tc>
          <w:tcPr>
            <w:tcW w:type="dxa" w:w="7272"/>
          </w:tcPr>
          <w:p>
            <w:pPr>
              <w:spacing w:after="50" w:before="50" w:line="252" w:lineRule="auto"/>
            </w:pPr>
            <w:r>
              <w:rPr>
                <w:sz w:val="17"/>
              </w:rPr>
              <w:t>Participants are not transported alone by a single adult</w:t>
            </w:r>
          </w:p>
        </w:tc>
      </w:tr>
      <w:tr>
        <w:tc>
          <w:tcPr>
            <w:tcW w:type="dxa" w:w="2196"/>
            <w:shd w:val="clear" w:color="auto" w:fill="EAF1F4"/>
          </w:tcPr>
          <w:p>
            <w:pPr>
              <w:spacing w:after="50" w:before="50" w:line="252" w:lineRule="auto"/>
            </w:pPr>
            <w:r>
              <w:rPr>
                <w:sz w:val="17"/>
              </w:rPr>
              <w:t>Physical contact</w:t>
            </w:r>
          </w:p>
        </w:tc>
        <w:tc>
          <w:tcPr>
            <w:tcW w:type="dxa" w:w="7272"/>
            <w:shd w:val="clear" w:color="auto" w:fill="EAF1F4"/>
          </w:tcPr>
          <w:p>
            <w:pPr>
              <w:spacing w:after="50" w:before="50" w:line="252" w:lineRule="auto"/>
            </w:pPr>
            <w:r>
              <w:rPr>
                <w:sz w:val="17"/>
              </w:rPr>
              <w:t>Avoided; where a simulation involves proximity, it is explained and consent is sought</w:t>
            </w:r>
          </w:p>
        </w:tc>
      </w:tr>
      <w:tr>
        <w:tc>
          <w:tcPr>
            <w:tcW w:type="dxa" w:w="2196"/>
          </w:tcPr>
          <w:p>
            <w:pPr>
              <w:spacing w:after="50" w:before="50" w:line="252" w:lineRule="auto"/>
            </w:pPr>
            <w:r>
              <w:rPr>
                <w:sz w:val="17"/>
              </w:rPr>
              <w:t>Content warnings</w:t>
            </w:r>
          </w:p>
        </w:tc>
        <w:tc>
          <w:tcPr>
            <w:tcW w:type="dxa" w:w="7272"/>
          </w:tcPr>
          <w:p>
            <w:pPr>
              <w:spacing w:after="50" w:before="50" w:line="252" w:lineRule="auto"/>
            </w:pPr>
            <w:r>
              <w:rPr>
                <w:sz w:val="17"/>
              </w:rPr>
              <w:t>Given before any simulation involving distress, conflict or emotionally difficult material</w:t>
            </w:r>
          </w:p>
        </w:tc>
      </w:tr>
      <w:tr>
        <w:tc>
          <w:tcPr>
            <w:tcW w:type="dxa" w:w="2196"/>
            <w:shd w:val="clear" w:color="auto" w:fill="EAF1F4"/>
          </w:tcPr>
          <w:p>
            <w:pPr>
              <w:spacing w:after="50" w:before="50" w:line="252" w:lineRule="auto"/>
            </w:pPr>
            <w:r>
              <w:rPr>
                <w:sz w:val="17"/>
              </w:rPr>
              <w:t>Opt-out</w:t>
            </w:r>
          </w:p>
        </w:tc>
        <w:tc>
          <w:tcPr>
            <w:tcW w:type="dxa" w:w="7272"/>
            <w:shd w:val="clear" w:color="auto" w:fill="EAF1F4"/>
          </w:tcPr>
          <w:p>
            <w:pPr>
              <w:spacing w:after="50" w:before="50" w:line="252" w:lineRule="auto"/>
            </w:pPr>
            <w:r>
              <w:rPr>
                <w:sz w:val="17"/>
              </w:rPr>
              <w:t>Any participant may decline any exercise without giving a reason and without consequence</w:t>
            </w:r>
          </w:p>
        </w:tc>
      </w:tr>
    </w:tbl>
    <w:p>
      <w:pPr>
        <w:spacing w:after="80" w:before="0"/>
      </w:pPr>
    </w:p>
    <w:p>
      <w:pPr>
        <w:spacing w:before="80" w:after="160"/>
        <w:pBdr>
          <w:bottom w:val="single" w:sz="6" w:space="1" w:color="C9D6DE"/>
        </w:pBdr>
      </w:pPr>
    </w:p>
    <w:p>
      <w:pPr>
        <w:pStyle w:val="Heading1"/>
        <w:pBdr>
          <w:bottom w:val="single" w:sz="8" w:space="4" w:color="C9D6DE"/>
        </w:pBdr>
      </w:pPr>
      <w:r>
        <w:t>4. Recognition</w:t>
      </w:r>
    </w:p>
    <w:p>
      <w:r>
        <w:t>Staff are asked to notice, not to diagnose.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Indicator</w:t>
            </w:r>
          </w:p>
        </w:tc>
        <w:tc>
          <w:tcPr>
            <w:tcW w:type="dxa" w:w="4734"/>
            <w:shd w:val="clear" w:color="auto" w:fill="10375C"/>
          </w:tcPr>
          <w:p>
            <w:pPr>
              <w:spacing w:after="50" w:before="50"/>
            </w:pPr>
            <w:r>
              <w:rPr>
                <w:b/>
                <w:color w:val="FFFFFF"/>
                <w:sz w:val="17"/>
              </w:rPr>
              <w:t>Response</w:t>
            </w:r>
          </w:p>
        </w:tc>
      </w:tr>
      <w:tr>
        <w:tc>
          <w:tcPr>
            <w:tcW w:type="dxa" w:w="4734"/>
          </w:tcPr>
          <w:p>
            <w:pPr>
              <w:spacing w:after="50" w:before="50" w:line="252" w:lineRule="auto"/>
            </w:pPr>
            <w:r>
              <w:rPr>
                <w:sz w:val="17"/>
              </w:rPr>
              <w:t>A participant appears distressed, withdrawn or frightened</w:t>
            </w:r>
          </w:p>
        </w:tc>
        <w:tc>
          <w:tcPr>
            <w:tcW w:type="dxa" w:w="4734"/>
          </w:tcPr>
          <w:p>
            <w:pPr>
              <w:spacing w:after="50" w:before="50" w:line="252" w:lineRule="auto"/>
            </w:pPr>
            <w:r>
              <w:rPr>
                <w:sz w:val="17"/>
              </w:rPr>
              <w:t>Speak privately; offer a break; do not press; report</w:t>
            </w:r>
          </w:p>
        </w:tc>
      </w:tr>
      <w:tr>
        <w:tc>
          <w:tcPr>
            <w:tcW w:type="dxa" w:w="4734"/>
            <w:shd w:val="clear" w:color="auto" w:fill="EAF1F4"/>
          </w:tcPr>
          <w:p>
            <w:pPr>
              <w:spacing w:after="50" w:before="50" w:line="252" w:lineRule="auto"/>
            </w:pPr>
            <w:r>
              <w:rPr>
                <w:sz w:val="17"/>
              </w:rPr>
              <w:t>A participant discloses harm, past or present</w:t>
            </w:r>
          </w:p>
        </w:tc>
        <w:tc>
          <w:tcPr>
            <w:tcW w:type="dxa" w:w="4734"/>
            <w:shd w:val="clear" w:color="auto" w:fill="EAF1F4"/>
          </w:tcPr>
          <w:p>
            <w:pPr>
              <w:spacing w:after="50" w:before="50" w:line="252" w:lineRule="auto"/>
            </w:pPr>
            <w:r>
              <w:rPr>
                <w:sz w:val="17"/>
              </w:rPr>
              <w:t>Follow section 5</w:t>
            </w:r>
          </w:p>
        </w:tc>
      </w:tr>
      <w:tr>
        <w:tc>
          <w:tcPr>
            <w:tcW w:type="dxa" w:w="4734"/>
          </w:tcPr>
          <w:p>
            <w:pPr>
              <w:spacing w:after="50" w:before="50" w:line="252" w:lineRule="auto"/>
            </w:pPr>
            <w:r>
              <w:rPr>
                <w:sz w:val="17"/>
              </w:rPr>
              <w:t>A participant discloses thoughts of self-harm</w:t>
            </w:r>
          </w:p>
        </w:tc>
        <w:tc>
          <w:tcPr>
            <w:tcW w:type="dxa" w:w="4734"/>
          </w:tcPr>
          <w:p>
            <w:pPr>
              <w:spacing w:after="50" w:before="50" w:line="252" w:lineRule="auto"/>
            </w:pPr>
            <w:r>
              <w:rPr>
                <w:b/>
                <w:sz w:val="17"/>
              </w:rPr>
              <w:t>Do not leave them alone.</w:t>
            </w:r>
            <w:r>
              <w:rPr>
                <w:sz w:val="17"/>
              </w:rPr>
              <w:t xml:space="preserve"> Escalate immediately to the Programme Director and to the institution's counselling service. Follow section 6</w:t>
            </w:r>
          </w:p>
        </w:tc>
      </w:tr>
      <w:tr>
        <w:tc>
          <w:tcPr>
            <w:tcW w:type="dxa" w:w="4734"/>
            <w:shd w:val="clear" w:color="auto" w:fill="EAF1F4"/>
          </w:tcPr>
          <w:p>
            <w:pPr>
              <w:spacing w:after="50" w:before="50" w:line="252" w:lineRule="auto"/>
            </w:pPr>
            <w:r>
              <w:rPr>
                <w:sz w:val="17"/>
              </w:rPr>
              <w:t>An adult behaves inappropriately toward a participant</w:t>
            </w:r>
          </w:p>
        </w:tc>
        <w:tc>
          <w:tcPr>
            <w:tcW w:type="dxa" w:w="4734"/>
            <w:shd w:val="clear" w:color="auto" w:fill="EAF1F4"/>
          </w:tcPr>
          <w:p>
            <w:pPr>
              <w:spacing w:after="50" w:before="50" w:line="252" w:lineRule="auto"/>
            </w:pPr>
            <w:r>
              <w:rPr>
                <w:sz w:val="17"/>
              </w:rPr>
              <w:t>Report immediately; do not confront</w:t>
            </w:r>
          </w:p>
        </w:tc>
      </w:tr>
      <w:tr>
        <w:tc>
          <w:tcPr>
            <w:tcW w:type="dxa" w:w="4734"/>
          </w:tcPr>
          <w:p>
            <w:pPr>
              <w:spacing w:after="50" w:before="50" w:line="252" w:lineRule="auto"/>
            </w:pPr>
            <w:r>
              <w:rPr>
                <w:sz w:val="17"/>
              </w:rPr>
              <w:t>A participant makes an allegation about another participant</w:t>
            </w:r>
          </w:p>
        </w:tc>
        <w:tc>
          <w:tcPr>
            <w:tcW w:type="dxa" w:w="4734"/>
          </w:tcPr>
          <w:p>
            <w:pPr>
              <w:spacing w:after="50" w:before="50" w:line="252" w:lineRule="auto"/>
            </w:pPr>
            <w:r>
              <w:rPr>
                <w:sz w:val="17"/>
              </w:rPr>
              <w:t>Report immediately; do not investigate</w:t>
            </w:r>
          </w:p>
        </w:tc>
      </w:tr>
      <w:tr>
        <w:tc>
          <w:tcPr>
            <w:tcW w:type="dxa" w:w="4734"/>
            <w:shd w:val="clear" w:color="auto" w:fill="EAF1F4"/>
          </w:tcPr>
          <w:p>
            <w:pPr>
              <w:spacing w:after="50" w:before="50" w:line="252" w:lineRule="auto"/>
            </w:pPr>
            <w:r>
              <w:rPr>
                <w:sz w:val="17"/>
              </w:rPr>
              <w:t>A simulation triggers an evident personal reaction</w:t>
            </w:r>
          </w:p>
        </w:tc>
        <w:tc>
          <w:tcPr>
            <w:tcW w:type="dxa" w:w="4734"/>
            <w:shd w:val="clear" w:color="auto" w:fill="EAF1F4"/>
          </w:tcPr>
          <w:p>
            <w:pPr>
              <w:spacing w:after="50" w:before="50" w:line="252" w:lineRule="auto"/>
            </w:pPr>
            <w:r>
              <w:rPr>
                <w:sz w:val="17"/>
              </w:rPr>
              <w:t>Stop using that material; check on the participant; report</w:t>
            </w:r>
          </w:p>
        </w:tc>
      </w:tr>
    </w:tbl>
    <w:p>
      <w:pPr>
        <w:spacing w:after="80" w:before="0"/>
      </w:pPr>
    </w:p>
    <w:p>
      <w:pPr>
        <w:spacing w:before="80" w:after="160"/>
        <w:pBdr>
          <w:bottom w:val="single" w:sz="6" w:space="1" w:color="C9D6DE"/>
        </w:pBdr>
      </w:pPr>
    </w:p>
    <w:p>
      <w:pPr>
        <w:pStyle w:val="Heading1"/>
        <w:pBdr>
          <w:bottom w:val="single" w:sz="8" w:space="4" w:color="C9D6DE"/>
        </w:pBdr>
      </w:pPr>
      <w:r>
        <w:t>5. Responding to a disclosure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439"/>
            <w:shd w:val="clear" w:color="auto" w:fill="10375C"/>
          </w:tcPr>
          <w:p>
            <w:pPr>
              <w:spacing w:after="50" w:before="50"/>
            </w:pPr>
            <w:r>
              <w:rPr>
                <w:b/>
                <w:color w:val="FFFFFF"/>
                <w:sz w:val="17"/>
              </w:rPr>
              <w:t>Do</w:t>
            </w:r>
          </w:p>
        </w:tc>
        <w:tc>
          <w:tcPr>
            <w:tcW w:type="dxa" w:w="5028"/>
            <w:shd w:val="clear" w:color="auto" w:fill="10375C"/>
          </w:tcPr>
          <w:p>
            <w:pPr>
              <w:spacing w:after="50" w:before="50"/>
            </w:pPr>
            <w:r>
              <w:rPr>
                <w:b/>
                <w:color w:val="FFFFFF"/>
                <w:sz w:val="17"/>
              </w:rPr>
              <w:t>Do not</w:t>
            </w:r>
          </w:p>
        </w:tc>
      </w:tr>
      <w:tr>
        <w:tc>
          <w:tcPr>
            <w:tcW w:type="dxa" w:w="4439"/>
          </w:tcPr>
          <w:p>
            <w:pPr>
              <w:spacing w:after="50" w:before="50" w:line="252" w:lineRule="auto"/>
            </w:pPr>
            <w:r>
              <w:rPr>
                <w:sz w:val="17"/>
              </w:rPr>
              <w:t>Listen. Let them speak</w:t>
            </w:r>
          </w:p>
        </w:tc>
        <w:tc>
          <w:tcPr>
            <w:tcW w:type="dxa" w:w="5028"/>
          </w:tcPr>
          <w:p>
            <w:pPr>
              <w:spacing w:after="50" w:before="50" w:line="252" w:lineRule="auto"/>
            </w:pPr>
            <w:r>
              <w:rPr>
                <w:sz w:val="17"/>
              </w:rPr>
              <w:t>Ask leading or probing questions</w:t>
            </w:r>
          </w:p>
        </w:tc>
      </w:tr>
      <w:tr>
        <w:tc>
          <w:tcPr>
            <w:tcW w:type="dxa" w:w="4439"/>
            <w:shd w:val="clear" w:color="auto" w:fill="EAF1F4"/>
          </w:tcPr>
          <w:p>
            <w:pPr>
              <w:spacing w:after="50" w:before="50" w:line="252" w:lineRule="auto"/>
            </w:pPr>
            <w:r>
              <w:rPr>
                <w:sz w:val="17"/>
              </w:rPr>
              <w:t>Take it seriously</w:t>
            </w:r>
          </w:p>
        </w:tc>
        <w:tc>
          <w:tcPr>
            <w:tcW w:type="dxa" w:w="5028"/>
            <w:shd w:val="clear" w:color="auto" w:fill="EAF1F4"/>
          </w:tcPr>
          <w:p>
            <w:pPr>
              <w:spacing w:after="50" w:before="50" w:line="252" w:lineRule="auto"/>
            </w:pPr>
            <w:r>
              <w:rPr>
                <w:sz w:val="17"/>
              </w:rPr>
              <w:t>Promise confidentiality — say clearly that you must pass this on</w:t>
            </w:r>
          </w:p>
        </w:tc>
      </w:tr>
      <w:tr>
        <w:tc>
          <w:tcPr>
            <w:tcW w:type="dxa" w:w="4439"/>
          </w:tcPr>
          <w:p>
            <w:pPr>
              <w:spacing w:after="50" w:before="50" w:line="252" w:lineRule="auto"/>
            </w:pPr>
            <w:r>
              <w:rPr>
                <w:sz w:val="17"/>
              </w:rPr>
              <w:t>Say that they were right to tell you</w:t>
            </w:r>
          </w:p>
        </w:tc>
        <w:tc>
          <w:tcPr>
            <w:tcW w:type="dxa" w:w="5028"/>
          </w:tcPr>
          <w:p>
            <w:pPr>
              <w:spacing w:after="50" w:before="50" w:line="252" w:lineRule="auto"/>
            </w:pPr>
            <w:r>
              <w:rPr>
                <w:sz w:val="17"/>
              </w:rPr>
              <w:t>Investigate or interview</w:t>
            </w:r>
          </w:p>
        </w:tc>
      </w:tr>
      <w:tr>
        <w:tc>
          <w:tcPr>
            <w:tcW w:type="dxa" w:w="4439"/>
            <w:shd w:val="clear" w:color="auto" w:fill="EAF1F4"/>
          </w:tcPr>
          <w:p>
            <w:pPr>
              <w:spacing w:after="50" w:before="50" w:line="252" w:lineRule="auto"/>
            </w:pPr>
            <w:r>
              <w:rPr>
                <w:sz w:val="17"/>
              </w:rPr>
              <w:t>Explain what will happen next</w:t>
            </w:r>
          </w:p>
        </w:tc>
        <w:tc>
          <w:tcPr>
            <w:tcW w:type="dxa" w:w="5028"/>
            <w:shd w:val="clear" w:color="auto" w:fill="EAF1F4"/>
          </w:tcPr>
          <w:p>
            <w:pPr>
              <w:spacing w:after="50" w:before="50" w:line="252" w:lineRule="auto"/>
            </w:pPr>
            <w:r>
              <w:rPr>
                <w:sz w:val="17"/>
              </w:rPr>
              <w:t>Confront the alleged perpetrator</w:t>
            </w:r>
          </w:p>
        </w:tc>
      </w:tr>
      <w:tr>
        <w:tc>
          <w:tcPr>
            <w:tcW w:type="dxa" w:w="4439"/>
          </w:tcPr>
          <w:p>
            <w:pPr>
              <w:spacing w:after="50" w:before="50" w:line="252" w:lineRule="auto"/>
            </w:pPr>
            <w:r>
              <w:rPr>
                <w:sz w:val="17"/>
              </w:rPr>
              <w:t>Record what was said, in their words, as soon as possible</w:t>
            </w:r>
          </w:p>
        </w:tc>
        <w:tc>
          <w:tcPr>
            <w:tcW w:type="dxa" w:w="5028"/>
          </w:tcPr>
          <w:p>
            <w:pPr>
              <w:spacing w:after="50" w:before="50" w:line="252" w:lineRule="auto"/>
            </w:pPr>
            <w:r>
              <w:rPr>
                <w:sz w:val="17"/>
              </w:rPr>
              <w:t>Record your interpretation or opinion</w:t>
            </w:r>
          </w:p>
        </w:tc>
      </w:tr>
      <w:tr>
        <w:tc>
          <w:tcPr>
            <w:tcW w:type="dxa" w:w="4439"/>
            <w:shd w:val="clear" w:color="auto" w:fill="EAF1F4"/>
          </w:tcPr>
          <w:p>
            <w:pPr>
              <w:spacing w:after="50" w:before="50" w:line="252" w:lineRule="auto"/>
            </w:pPr>
            <w:r>
              <w:rPr>
                <w:sz w:val="17"/>
              </w:rPr>
              <w:t>Report within the hour to the Programme Director</w:t>
            </w:r>
          </w:p>
        </w:tc>
        <w:tc>
          <w:tcPr>
            <w:tcW w:type="dxa" w:w="5028"/>
            <w:shd w:val="clear" w:color="auto" w:fill="EAF1F4"/>
          </w:tcPr>
          <w:p>
            <w:pPr>
              <w:spacing w:after="50" w:before="50" w:line="252" w:lineRule="auto"/>
            </w:pPr>
            <w:r>
              <w:rPr>
                <w:sz w:val="17"/>
              </w:rPr>
              <w:t>Discuss with anyone not in the reporting line</w:t>
            </w:r>
          </w:p>
        </w:tc>
      </w:tr>
      <w:tr>
        <w:tc>
          <w:tcPr>
            <w:tcW w:type="dxa" w:w="4439"/>
          </w:tcPr>
          <w:p>
            <w:pPr>
              <w:spacing w:after="50" w:before="50" w:line="252" w:lineRule="auto"/>
            </w:pPr>
            <w:r>
              <w:rPr>
                <w:sz w:val="17"/>
              </w:rPr>
              <w:t>Preserve anything relevant</w:t>
            </w:r>
          </w:p>
        </w:tc>
        <w:tc>
          <w:tcPr>
            <w:tcW w:type="dxa" w:w="5028"/>
          </w:tcPr>
          <w:p>
            <w:pPr>
              <w:spacing w:after="50" w:before="50" w:line="252" w:lineRule="auto"/>
            </w:pPr>
            <w:r>
              <w:rPr>
                <w:sz w:val="17"/>
              </w:rPr>
              <w:t>Delete, tidy or alter anything</w:t>
            </w:r>
          </w:p>
        </w:tc>
      </w:tr>
    </w:tbl>
    <w:p>
      <w:pPr>
        <w:spacing w:after="80" w:before="0"/>
      </w:pPr>
    </w:p>
    <w:p>
      <w:r>
        <w:rPr>
          <w:b/>
        </w:rPr>
        <w:t>Say this, early in any disclosure:</w:t>
      </w:r>
      <w:r>
        <w:t xml:space="preserve"> </w:t>
      </w:r>
      <w:r>
        <w:rPr>
          <w:i/>
        </w:rPr>
        <w:t>I want to help, and I need to tell you now that I cannot keep this to myself. If you tell me something that means someone may be at risk, I have to pass it on to the people who can help. I will tell you what I am doing at each step.</w:t>
      </w:r>
    </w:p>
    <w:p>
      <w:pPr>
        <w:spacing w:before="80" w:after="160"/>
        <w:pBdr>
          <w:bottom w:val="single" w:sz="6" w:space="1" w:color="C9D6DE"/>
        </w:pBdr>
      </w:pPr>
    </w:p>
    <w:p>
      <w:pPr>
        <w:pStyle w:val="Heading1"/>
        <w:pBdr>
          <w:bottom w:val="single" w:sz="8" w:space="4" w:color="C9D6DE"/>
        </w:pBdr>
      </w:pPr>
      <w:r>
        <w:t>6. Immediate response — L4</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Step</w:t>
            </w:r>
          </w:p>
        </w:tc>
        <w:tc>
          <w:tcPr>
            <w:tcW w:type="dxa" w:w="6527"/>
            <w:shd w:val="clear" w:color="auto" w:fill="10375C"/>
          </w:tcPr>
          <w:p>
            <w:pPr>
              <w:spacing w:after="50" w:before="50"/>
            </w:pPr>
            <w:r>
              <w:rPr>
                <w:b/>
                <w:color w:val="FFFFFF"/>
                <w:sz w:val="17"/>
              </w:rPr>
              <w:t>Action</w:t>
            </w:r>
          </w:p>
        </w:tc>
        <w:tc>
          <w:tcPr>
            <w:tcW w:type="dxa" w:w="2288"/>
            <w:shd w:val="clear" w:color="auto" w:fill="10375C"/>
          </w:tcPr>
          <w:p>
            <w:pPr>
              <w:spacing w:after="50" w:before="50"/>
            </w:pPr>
            <w:r>
              <w:rPr>
                <w:b/>
                <w:color w:val="FFFFFF"/>
                <w:sz w:val="17"/>
              </w:rPr>
              <w:t>Timing</w:t>
            </w:r>
          </w:p>
        </w:tc>
      </w:tr>
      <w:tr>
        <w:tc>
          <w:tcPr>
            <w:tcW w:type="dxa" w:w="850"/>
          </w:tcPr>
          <w:p>
            <w:pPr>
              <w:spacing w:after="50" w:before="50" w:line="252" w:lineRule="auto"/>
            </w:pPr>
            <w:r>
              <w:rPr>
                <w:sz w:val="17"/>
              </w:rPr>
              <w:t>1</w:t>
            </w:r>
          </w:p>
        </w:tc>
        <w:tc>
          <w:tcPr>
            <w:tcW w:type="dxa" w:w="6527"/>
          </w:tcPr>
          <w:p>
            <w:pPr>
              <w:spacing w:after="50" w:before="50" w:line="252" w:lineRule="auto"/>
            </w:pPr>
            <w:r>
              <w:rPr>
                <w:sz w:val="17"/>
              </w:rPr>
              <w:t>Ensure immediate safety. Where there is danger, contact emergency services</w:t>
            </w:r>
          </w:p>
        </w:tc>
        <w:tc>
          <w:tcPr>
            <w:tcW w:type="dxa" w:w="2288"/>
          </w:tcPr>
          <w:p>
            <w:pPr>
              <w:spacing w:after="50" w:before="50" w:line="252" w:lineRule="auto"/>
            </w:pPr>
            <w:r>
              <w:rPr>
                <w:sz w:val="17"/>
              </w:rPr>
              <w:t>Immediate</w:t>
            </w:r>
          </w:p>
        </w:tc>
      </w:tr>
      <w:tr>
        <w:tc>
          <w:tcPr>
            <w:tcW w:type="dxa" w:w="850"/>
            <w:shd w:val="clear" w:color="auto" w:fill="EAF1F4"/>
          </w:tcPr>
          <w:p>
            <w:pPr>
              <w:spacing w:after="50" w:before="50" w:line="252" w:lineRule="auto"/>
            </w:pPr>
            <w:r>
              <w:rPr>
                <w:sz w:val="17"/>
              </w:rPr>
              <w:t>2</w:t>
            </w:r>
          </w:p>
        </w:tc>
        <w:tc>
          <w:tcPr>
            <w:tcW w:type="dxa" w:w="6527"/>
            <w:shd w:val="clear" w:color="auto" w:fill="EAF1F4"/>
          </w:tcPr>
          <w:p>
            <w:pPr>
              <w:spacing w:after="50" w:before="50" w:line="252" w:lineRule="auto"/>
            </w:pPr>
            <w:r>
              <w:rPr>
                <w:sz w:val="17"/>
              </w:rPr>
              <w:t>Do not leave a person at risk alone</w:t>
            </w:r>
          </w:p>
        </w:tc>
        <w:tc>
          <w:tcPr>
            <w:tcW w:type="dxa" w:w="2288"/>
            <w:shd w:val="clear" w:color="auto" w:fill="EAF1F4"/>
          </w:tcPr>
          <w:p>
            <w:pPr>
              <w:spacing w:after="50" w:before="50" w:line="252" w:lineRule="auto"/>
            </w:pPr>
            <w:r>
              <w:rPr>
                <w:sz w:val="17"/>
              </w:rPr>
              <w:t>Immediate</w:t>
            </w:r>
          </w:p>
        </w:tc>
      </w:tr>
      <w:tr>
        <w:tc>
          <w:tcPr>
            <w:tcW w:type="dxa" w:w="850"/>
          </w:tcPr>
          <w:p>
            <w:pPr>
              <w:spacing w:after="50" w:before="50" w:line="252" w:lineRule="auto"/>
            </w:pPr>
            <w:r>
              <w:rPr>
                <w:sz w:val="17"/>
              </w:rPr>
              <w:t>3</w:t>
            </w:r>
          </w:p>
        </w:tc>
        <w:tc>
          <w:tcPr>
            <w:tcW w:type="dxa" w:w="6527"/>
          </w:tcPr>
          <w:p>
            <w:pPr>
              <w:spacing w:after="50" w:before="50" w:line="252" w:lineRule="auto"/>
            </w:pPr>
            <w:r>
              <w:rPr>
                <w:sz w:val="17"/>
              </w:rPr>
              <w:t xml:space="preserve">Notify the Programme Director </w:t>
            </w:r>
            <w:r>
              <w:rPr>
                <w:b/>
                <w:sz w:val="17"/>
              </w:rPr>
              <w:t>by telephone</w:t>
            </w:r>
          </w:p>
        </w:tc>
        <w:tc>
          <w:tcPr>
            <w:tcW w:type="dxa" w:w="2288"/>
          </w:tcPr>
          <w:p>
            <w:pPr>
              <w:spacing w:after="50" w:before="50" w:line="252" w:lineRule="auto"/>
            </w:pPr>
            <w:r>
              <w:rPr>
                <w:sz w:val="17"/>
              </w:rPr>
              <w:t>Within 1 hour</w:t>
            </w:r>
          </w:p>
        </w:tc>
      </w:tr>
      <w:tr>
        <w:tc>
          <w:tcPr>
            <w:tcW w:type="dxa" w:w="850"/>
            <w:shd w:val="clear" w:color="auto" w:fill="EAF1F4"/>
          </w:tcPr>
          <w:p>
            <w:pPr>
              <w:spacing w:after="50" w:before="50" w:line="252" w:lineRule="auto"/>
            </w:pPr>
            <w:r>
              <w:rPr>
                <w:sz w:val="17"/>
              </w:rPr>
              <w:t>4</w:t>
            </w:r>
          </w:p>
        </w:tc>
        <w:tc>
          <w:tcPr>
            <w:tcW w:type="dxa" w:w="6527"/>
            <w:shd w:val="clear" w:color="auto" w:fill="EAF1F4"/>
          </w:tcPr>
          <w:p>
            <w:pPr>
              <w:spacing w:after="50" w:before="50" w:line="252" w:lineRule="auto"/>
            </w:pPr>
            <w:r>
              <w:rPr>
                <w:sz w:val="17"/>
              </w:rPr>
              <w:t>Programme Director notifies the Managing Director and General Counsel</w:t>
            </w:r>
          </w:p>
        </w:tc>
        <w:tc>
          <w:tcPr>
            <w:tcW w:type="dxa" w:w="2288"/>
            <w:shd w:val="clear" w:color="auto" w:fill="EAF1F4"/>
          </w:tcPr>
          <w:p>
            <w:pPr>
              <w:spacing w:after="50" w:before="50" w:line="252" w:lineRule="auto"/>
            </w:pPr>
            <w:r>
              <w:rPr>
                <w:sz w:val="17"/>
              </w:rPr>
              <w:t>Same day</w:t>
            </w:r>
          </w:p>
        </w:tc>
      </w:tr>
      <w:tr>
        <w:tc>
          <w:tcPr>
            <w:tcW w:type="dxa" w:w="850"/>
          </w:tcPr>
          <w:p>
            <w:pPr>
              <w:spacing w:after="50" w:before="50" w:line="252" w:lineRule="auto"/>
            </w:pPr>
            <w:r>
              <w:rPr>
                <w:sz w:val="17"/>
              </w:rPr>
              <w:t>5</w:t>
            </w:r>
          </w:p>
        </w:tc>
        <w:tc>
          <w:tcPr>
            <w:tcW w:type="dxa" w:w="6527"/>
          </w:tcPr>
          <w:p>
            <w:pPr>
              <w:spacing w:after="50" w:before="50" w:line="252" w:lineRule="auto"/>
            </w:pPr>
            <w:r>
              <w:rPr>
                <w:sz w:val="17"/>
              </w:rPr>
              <w:t>Where the participant is a student of a partner institution, notify the institution's Nodal Officer and its designated safeguarding or grievance authority</w:t>
            </w:r>
          </w:p>
        </w:tc>
        <w:tc>
          <w:tcPr>
            <w:tcW w:type="dxa" w:w="2288"/>
          </w:tcPr>
          <w:p>
            <w:pPr>
              <w:spacing w:after="50" w:before="50" w:line="252" w:lineRule="auto"/>
            </w:pPr>
            <w:r>
              <w:rPr>
                <w:sz w:val="17"/>
              </w:rPr>
              <w:t>Within 24 hours</w:t>
            </w:r>
          </w:p>
        </w:tc>
      </w:tr>
      <w:tr>
        <w:tc>
          <w:tcPr>
            <w:tcW w:type="dxa" w:w="850"/>
            <w:shd w:val="clear" w:color="auto" w:fill="EAF1F4"/>
          </w:tcPr>
          <w:p>
            <w:pPr>
              <w:spacing w:after="50" w:before="50" w:line="252" w:lineRule="auto"/>
            </w:pPr>
            <w:r>
              <w:rPr>
                <w:sz w:val="17"/>
              </w:rPr>
              <w:t>6</w:t>
            </w:r>
          </w:p>
        </w:tc>
        <w:tc>
          <w:tcPr>
            <w:tcW w:type="dxa" w:w="6527"/>
            <w:shd w:val="clear" w:color="auto" w:fill="EAF1F4"/>
          </w:tcPr>
          <w:p>
            <w:pPr>
              <w:spacing w:after="50" w:before="50" w:line="252" w:lineRule="auto"/>
            </w:pPr>
            <w:r>
              <w:rPr>
                <w:sz w:val="17"/>
              </w:rPr>
              <w:t>Where the participant is under eighteen, notify the parent or guardian, unless doing so would increase risk</w:t>
            </w:r>
          </w:p>
        </w:tc>
        <w:tc>
          <w:tcPr>
            <w:tcW w:type="dxa" w:w="2288"/>
            <w:shd w:val="clear" w:color="auto" w:fill="EAF1F4"/>
          </w:tcPr>
          <w:p>
            <w:pPr>
              <w:spacing w:after="50" w:before="50" w:line="252" w:lineRule="auto"/>
            </w:pPr>
            <w:r>
              <w:rPr>
                <w:sz w:val="17"/>
              </w:rPr>
              <w:t>Within 24 hours</w:t>
            </w:r>
          </w:p>
        </w:tc>
      </w:tr>
      <w:tr>
        <w:tc>
          <w:tcPr>
            <w:tcW w:type="dxa" w:w="850"/>
          </w:tcPr>
          <w:p>
            <w:pPr>
              <w:spacing w:after="50" w:before="50" w:line="252" w:lineRule="auto"/>
            </w:pPr>
            <w:r>
              <w:rPr>
                <w:sz w:val="17"/>
              </w:rPr>
              <w:t>7</w:t>
            </w:r>
          </w:p>
        </w:tc>
        <w:tc>
          <w:tcPr>
            <w:tcW w:type="dxa" w:w="6527"/>
          </w:tcPr>
          <w:p>
            <w:pPr>
              <w:spacing w:after="50" w:before="50" w:line="252" w:lineRule="auto"/>
            </w:pPr>
            <w:r>
              <w:rPr>
                <w:sz w:val="17"/>
              </w:rPr>
              <w:t>Where a statutory reporting obligation arises, comply</w:t>
            </w:r>
          </w:p>
        </w:tc>
        <w:tc>
          <w:tcPr>
            <w:tcW w:type="dxa" w:w="2288"/>
          </w:tcPr>
          <w:p>
            <w:pPr>
              <w:spacing w:after="50" w:before="50" w:line="252" w:lineRule="auto"/>
            </w:pPr>
            <w:r>
              <w:rPr>
                <w:sz w:val="17"/>
              </w:rPr>
              <w:t>Per statute</w:t>
            </w:r>
          </w:p>
        </w:tc>
      </w:tr>
      <w:tr>
        <w:tc>
          <w:tcPr>
            <w:tcW w:type="dxa" w:w="850"/>
            <w:shd w:val="clear" w:color="auto" w:fill="EAF1F4"/>
          </w:tcPr>
          <w:p>
            <w:pPr>
              <w:spacing w:after="50" w:before="50" w:line="252" w:lineRule="auto"/>
            </w:pPr>
            <w:r>
              <w:rPr>
                <w:sz w:val="17"/>
              </w:rPr>
              <w:t>8</w:t>
            </w:r>
          </w:p>
        </w:tc>
        <w:tc>
          <w:tcPr>
            <w:tcW w:type="dxa" w:w="6527"/>
            <w:shd w:val="clear" w:color="auto" w:fill="EAF1F4"/>
          </w:tcPr>
          <w:p>
            <w:pPr>
              <w:spacing w:after="50" w:before="50" w:line="252" w:lineRule="auto"/>
            </w:pPr>
            <w:r>
              <w:rPr>
                <w:sz w:val="17"/>
              </w:rPr>
              <w:t>Written incident report</w:t>
            </w:r>
          </w:p>
        </w:tc>
        <w:tc>
          <w:tcPr>
            <w:tcW w:type="dxa" w:w="2288"/>
            <w:shd w:val="clear" w:color="auto" w:fill="EAF1F4"/>
          </w:tcPr>
          <w:p>
            <w:pPr>
              <w:spacing w:after="50" w:before="50" w:line="252" w:lineRule="auto"/>
            </w:pPr>
            <w:r>
              <w:rPr>
                <w:sz w:val="17"/>
              </w:rPr>
              <w:t>Within 24 hours</w:t>
            </w:r>
          </w:p>
        </w:tc>
      </w:tr>
      <w:tr>
        <w:tc>
          <w:tcPr>
            <w:tcW w:type="dxa" w:w="850"/>
          </w:tcPr>
          <w:p>
            <w:pPr>
              <w:spacing w:after="50" w:before="50" w:line="252" w:lineRule="auto"/>
            </w:pPr>
            <w:r>
              <w:rPr>
                <w:sz w:val="17"/>
              </w:rPr>
              <w:t>9</w:t>
            </w:r>
          </w:p>
        </w:tc>
        <w:tc>
          <w:tcPr>
            <w:tcW w:type="dxa" w:w="6527"/>
          </w:tcPr>
          <w:p>
            <w:pPr>
              <w:spacing w:after="50" w:before="50" w:line="252" w:lineRule="auto"/>
            </w:pPr>
            <w:r>
              <w:rPr>
                <w:sz w:val="17"/>
              </w:rPr>
              <w:t>Support for the participant — counselling, adjustment, withdrawal from the programme without penalty</w:t>
            </w:r>
          </w:p>
        </w:tc>
        <w:tc>
          <w:tcPr>
            <w:tcW w:type="dxa" w:w="2288"/>
          </w:tcPr>
          <w:p>
            <w:pPr>
              <w:spacing w:after="50" w:before="50" w:line="252" w:lineRule="auto"/>
            </w:pPr>
            <w:r>
              <w:rPr>
                <w:sz w:val="17"/>
              </w:rPr>
              <w:t>Immediate and continuing</w:t>
            </w:r>
          </w:p>
        </w:tc>
      </w:tr>
      <w:tr>
        <w:tc>
          <w:tcPr>
            <w:tcW w:type="dxa" w:w="850"/>
            <w:shd w:val="clear" w:color="auto" w:fill="EAF1F4"/>
          </w:tcPr>
          <w:p>
            <w:pPr>
              <w:spacing w:after="50" w:before="50" w:line="252" w:lineRule="auto"/>
            </w:pPr>
            <w:r>
              <w:rPr>
                <w:sz w:val="17"/>
              </w:rPr>
              <w:t>10</w:t>
            </w:r>
          </w:p>
        </w:tc>
        <w:tc>
          <w:tcPr>
            <w:tcW w:type="dxa" w:w="6527"/>
            <w:shd w:val="clear" w:color="auto" w:fill="EAF1F4"/>
          </w:tcPr>
          <w:p>
            <w:pPr>
              <w:spacing w:after="50" w:before="50" w:line="252" w:lineRule="auto"/>
            </w:pPr>
            <w:r>
              <w:rPr>
                <w:sz w:val="17"/>
              </w:rPr>
              <w:t>Post-incident review</w:t>
            </w:r>
          </w:p>
        </w:tc>
        <w:tc>
          <w:tcPr>
            <w:tcW w:type="dxa" w:w="2288"/>
            <w:shd w:val="clear" w:color="auto" w:fill="EAF1F4"/>
          </w:tcPr>
          <w:p>
            <w:pPr>
              <w:spacing w:after="50" w:before="50" w:line="252" w:lineRule="auto"/>
            </w:pPr>
            <w:r>
              <w:rPr>
                <w:sz w:val="17"/>
              </w:rPr>
              <w:t>Within 30 days</w:t>
            </w:r>
          </w:p>
        </w:tc>
      </w:tr>
    </w:tbl>
    <w:p>
      <w:pPr>
        <w:spacing w:after="80" w:before="0"/>
      </w:pPr>
    </w:p>
    <w:p>
      <w:r>
        <w:rPr>
          <w:b/>
        </w:rPr>
        <w:t>No informal investigation.</w:t>
      </w:r>
      <w:r>
        <w:t xml:space="preserve"> No Equator person interviews any party, takes a statement, or seeks to establish what happened. That is for the appropriate authority.</w:t>
      </w:r>
    </w:p>
    <w:p>
      <w:pPr>
        <w:spacing w:before="80" w:after="160"/>
        <w:pBdr>
          <w:bottom w:val="single" w:sz="6" w:space="1" w:color="C9D6DE"/>
        </w:pBdr>
      </w:pPr>
    </w:p>
    <w:p>
      <w:pPr>
        <w:pStyle w:val="Heading1"/>
        <w:pBdr>
          <w:bottom w:val="single" w:sz="8" w:space="4" w:color="C9D6DE"/>
        </w:pBdr>
      </w:pPr>
      <w:r>
        <w:t>7. Sexual harassment — POSH</w:t>
      </w:r>
    </w:p>
    <w:p>
      <w:pPr>
        <w:pStyle w:val="Heading2"/>
      </w:pPr>
      <w:r>
        <w:t>7.1 Framework</w:t>
      </w:r>
    </w:p>
    <w:p>
      <w:r>
        <w:t>The Sexual Harassment of Women at Workplace (Prevention, Prohibition and Redressal) Act, 2013 applies to Equator as a workplace, and its Internal Committee is constituted accordingly.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Situation</w:t>
            </w:r>
          </w:p>
        </w:tc>
        <w:tc>
          <w:tcPr>
            <w:tcW w:type="dxa" w:w="4734"/>
            <w:shd w:val="clear" w:color="auto" w:fill="10375C"/>
          </w:tcPr>
          <w:p>
            <w:pPr>
              <w:spacing w:after="50" w:before="50"/>
            </w:pPr>
            <w:r>
              <w:rPr>
                <w:b/>
                <w:color w:val="FFFFFF"/>
                <w:sz w:val="17"/>
              </w:rPr>
              <w:t>Forum</w:t>
            </w:r>
          </w:p>
        </w:tc>
      </w:tr>
      <w:tr>
        <w:tc>
          <w:tcPr>
            <w:tcW w:type="dxa" w:w="4734"/>
          </w:tcPr>
          <w:p>
            <w:pPr>
              <w:spacing w:after="50" w:before="50" w:line="252" w:lineRule="auto"/>
            </w:pPr>
            <w:r>
              <w:rPr>
                <w:sz w:val="17"/>
              </w:rPr>
              <w:t>Complaint by an Equator employee</w:t>
            </w:r>
          </w:p>
        </w:tc>
        <w:tc>
          <w:tcPr>
            <w:tcW w:type="dxa" w:w="4734"/>
          </w:tcPr>
          <w:p>
            <w:pPr>
              <w:spacing w:after="50" w:before="50" w:line="252" w:lineRule="auto"/>
            </w:pPr>
            <w:r>
              <w:rPr>
                <w:sz w:val="17"/>
              </w:rPr>
              <w:t>Equator's Internal Committee</w:t>
            </w:r>
          </w:p>
        </w:tc>
      </w:tr>
      <w:tr>
        <w:tc>
          <w:tcPr>
            <w:tcW w:type="dxa" w:w="4734"/>
            <w:shd w:val="clear" w:color="auto" w:fill="EAF1F4"/>
          </w:tcPr>
          <w:p>
            <w:pPr>
              <w:spacing w:after="50" w:before="50" w:line="252" w:lineRule="auto"/>
            </w:pPr>
            <w:r>
              <w:rPr>
                <w:sz w:val="17"/>
              </w:rPr>
              <w:t>Complaint by a participant against an Equator person</w:t>
            </w:r>
          </w:p>
        </w:tc>
        <w:tc>
          <w:tcPr>
            <w:tcW w:type="dxa" w:w="4734"/>
            <w:shd w:val="clear" w:color="auto" w:fill="EAF1F4"/>
          </w:tcPr>
          <w:p>
            <w:pPr>
              <w:spacing w:after="50" w:before="50" w:line="252" w:lineRule="auto"/>
            </w:pPr>
            <w:r>
              <w:rPr>
                <w:sz w:val="17"/>
              </w:rPr>
              <w:t>Equator's Internal Committee, and the institution informed</w:t>
            </w:r>
          </w:p>
        </w:tc>
      </w:tr>
      <w:tr>
        <w:tc>
          <w:tcPr>
            <w:tcW w:type="dxa" w:w="4734"/>
          </w:tcPr>
          <w:p>
            <w:pPr>
              <w:spacing w:after="50" w:before="50" w:line="252" w:lineRule="auto"/>
            </w:pPr>
            <w:r>
              <w:rPr>
                <w:sz w:val="17"/>
              </w:rPr>
              <w:t>Complaint by a student against another student of the same institution</w:t>
            </w:r>
          </w:p>
        </w:tc>
        <w:tc>
          <w:tcPr>
            <w:tcW w:type="dxa" w:w="4734"/>
          </w:tcPr>
          <w:p>
            <w:pPr>
              <w:spacing w:after="50" w:before="50" w:line="252" w:lineRule="auto"/>
            </w:pPr>
            <w:r>
              <w:rPr>
                <w:sz w:val="17"/>
              </w:rPr>
              <w:t>The institution's Internal Committee; Equator supports and does not investigate</w:t>
            </w:r>
          </w:p>
        </w:tc>
      </w:tr>
      <w:tr>
        <w:tc>
          <w:tcPr>
            <w:tcW w:type="dxa" w:w="4734"/>
            <w:shd w:val="clear" w:color="auto" w:fill="EAF1F4"/>
          </w:tcPr>
          <w:p>
            <w:pPr>
              <w:spacing w:after="50" w:before="50" w:line="252" w:lineRule="auto"/>
            </w:pPr>
            <w:r>
              <w:rPr>
                <w:sz w:val="17"/>
              </w:rPr>
              <w:t>Complaint by an Equator person against a person of the institution</w:t>
            </w:r>
          </w:p>
        </w:tc>
        <w:tc>
          <w:tcPr>
            <w:tcW w:type="dxa" w:w="4734"/>
            <w:shd w:val="clear" w:color="auto" w:fill="EAF1F4"/>
          </w:tcPr>
          <w:p>
            <w:pPr>
              <w:spacing w:after="50" w:before="50" w:line="252" w:lineRule="auto"/>
            </w:pPr>
            <w:r>
              <w:rPr>
                <w:sz w:val="17"/>
              </w:rPr>
              <w:t>The institution's Internal Committee; Equator supports its person</w:t>
            </w:r>
          </w:p>
        </w:tc>
      </w:tr>
    </w:tbl>
    <w:p>
      <w:pPr>
        <w:spacing w:after="80" w:before="0"/>
      </w:pPr>
    </w:p>
    <w:p>
      <w:r>
        <w:t>Where the appropriate forum is unclear, the matter goes to the Internal Committee of both, and the General Counsel co-ordinates.</w:t>
      </w:r>
    </w:p>
    <w:p>
      <w:pPr>
        <w:pStyle w:val="Heading2"/>
      </w:pPr>
      <w:r>
        <w:t>7.2 What Equator does on receiving a complaint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Take it seriously and record it</w:t>
            </w:r>
          </w:p>
        </w:tc>
      </w:tr>
      <w:tr>
        <w:tc>
          <w:tcPr>
            <w:tcW w:type="dxa" w:w="9468"/>
            <w:shd w:val="clear" w:color="auto" w:fill="EAF1F4"/>
          </w:tcPr>
          <w:p>
            <w:pPr>
              <w:spacing w:after="50" w:before="50" w:line="252" w:lineRule="auto"/>
            </w:pPr>
            <w:r>
              <w:rPr>
                <w:b/>
                <w:sz w:val="17"/>
              </w:rPr>
              <w:t>Do not investigate informally.</w:t>
            </w:r>
            <w:r>
              <w:rPr>
                <w:sz w:val="17"/>
              </w:rPr>
              <w:t xml:space="preserve"> Refer to the Internal Committee</w:t>
            </w:r>
          </w:p>
        </w:tc>
      </w:tr>
      <w:tr>
        <w:tc>
          <w:tcPr>
            <w:tcW w:type="dxa" w:w="9468"/>
          </w:tcPr>
          <w:p>
            <w:pPr>
              <w:spacing w:after="50" w:before="50" w:line="252" w:lineRule="auto"/>
            </w:pPr>
            <w:r>
              <w:rPr>
                <w:sz w:val="17"/>
              </w:rPr>
              <w:t>Ensure the complainant's safety and, where necessary, separate the parties</w:t>
            </w:r>
          </w:p>
        </w:tc>
      </w:tr>
      <w:tr>
        <w:tc>
          <w:tcPr>
            <w:tcW w:type="dxa" w:w="9468"/>
            <w:shd w:val="clear" w:color="auto" w:fill="EAF1F4"/>
          </w:tcPr>
          <w:p>
            <w:pPr>
              <w:spacing w:after="50" w:before="50" w:line="252" w:lineRule="auto"/>
            </w:pPr>
            <w:r>
              <w:rPr>
                <w:sz w:val="17"/>
              </w:rPr>
              <w:t>Offer support, including adjustment to the programme and, if wished, withdrawal without penalty or loss of fee</w:t>
            </w:r>
          </w:p>
        </w:tc>
      </w:tr>
      <w:tr>
        <w:tc>
          <w:tcPr>
            <w:tcW w:type="dxa" w:w="9468"/>
          </w:tcPr>
          <w:p>
            <w:pPr>
              <w:spacing w:after="50" w:before="50" w:line="252" w:lineRule="auto"/>
            </w:pPr>
            <w:r>
              <w:rPr>
                <w:sz w:val="17"/>
              </w:rPr>
              <w:t>Protect confidentiality; discuss only with those who need to know</w:t>
            </w:r>
          </w:p>
        </w:tc>
      </w:tr>
      <w:tr>
        <w:tc>
          <w:tcPr>
            <w:tcW w:type="dxa" w:w="9468"/>
            <w:shd w:val="clear" w:color="auto" w:fill="EAF1F4"/>
          </w:tcPr>
          <w:p>
            <w:pPr>
              <w:spacing w:after="50" w:before="50" w:line="252" w:lineRule="auto"/>
            </w:pPr>
            <w:r>
              <w:rPr>
                <w:b/>
                <w:sz w:val="17"/>
              </w:rPr>
              <w:t>Protect against retaliation.</w:t>
            </w:r>
            <w:r>
              <w:rPr>
                <w:sz w:val="17"/>
              </w:rPr>
              <w:t xml:space="preserve"> Retaliation is a separate and serious breach</w:t>
            </w:r>
          </w:p>
        </w:tc>
      </w:tr>
      <w:tr>
        <w:tc>
          <w:tcPr>
            <w:tcW w:type="dxa" w:w="9468"/>
          </w:tcPr>
          <w:p>
            <w:pPr>
              <w:spacing w:after="50" w:before="50" w:line="252" w:lineRule="auto"/>
            </w:pPr>
            <w:r>
              <w:rPr>
                <w:sz w:val="17"/>
              </w:rPr>
              <w:t>Suspend the respondent from participant-facing duties pending the outcome, without prejudging it</w:t>
            </w:r>
          </w:p>
        </w:tc>
      </w:tr>
      <w:tr>
        <w:tc>
          <w:tcPr>
            <w:tcW w:type="dxa" w:w="9468"/>
            <w:shd w:val="clear" w:color="auto" w:fill="EAF1F4"/>
          </w:tcPr>
          <w:p>
            <w:pPr>
              <w:spacing w:after="50" w:before="50" w:line="252" w:lineRule="auto"/>
            </w:pPr>
            <w:r>
              <w:rPr>
                <w:sz w:val="17"/>
              </w:rPr>
              <w:t>Comply with the Committee's directions</w:t>
            </w:r>
          </w:p>
        </w:tc>
      </w:tr>
    </w:tbl>
    <w:p>
      <w:pPr>
        <w:spacing w:after="80" w:before="0"/>
      </w:pPr>
    </w:p>
    <w:p>
      <w:pPr>
        <w:pStyle w:val="Heading2"/>
      </w:pPr>
      <w:r>
        <w:t>7.3 Prevention</w:t>
      </w:r>
    </w:p>
    <w:p>
      <w:r>
        <w:t>Annual POSH training for all personnel; the policy issued to every engaged person; the Internal Committee's composition and contact details displayed and included in every participant pack; the Code of Conduct provisions at section 5 of that Code; and a clear complaints route that does not require going through a line manager.</w:t>
      </w:r>
    </w:p>
    <w:p>
      <w:pPr>
        <w:spacing w:before="80" w:after="160"/>
        <w:pBdr>
          <w:bottom w:val="single" w:sz="6" w:space="1" w:color="C9D6DE"/>
        </w:pBdr>
      </w:pPr>
    </w:p>
    <w:p>
      <w:pPr>
        <w:pStyle w:val="Heading1"/>
        <w:pBdr>
          <w:bottom w:val="single" w:sz="8" w:space="4" w:color="C9D6DE"/>
        </w:pBdr>
      </w:pPr>
      <w:r>
        <w:t>8. Student grievances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008"/>
            <w:shd w:val="clear" w:color="auto" w:fill="10375C"/>
          </w:tcPr>
          <w:p>
            <w:pPr>
              <w:spacing w:after="50" w:before="50"/>
            </w:pPr>
            <w:r>
              <w:rPr>
                <w:b/>
                <w:color w:val="FFFFFF"/>
                <w:sz w:val="17"/>
              </w:rPr>
              <w:t>Type</w:t>
            </w:r>
          </w:p>
        </w:tc>
        <w:tc>
          <w:tcPr>
            <w:tcW w:type="dxa" w:w="4066"/>
            <w:shd w:val="clear" w:color="auto" w:fill="10375C"/>
          </w:tcPr>
          <w:p>
            <w:pPr>
              <w:spacing w:after="50" w:before="50"/>
            </w:pPr>
            <w:r>
              <w:rPr>
                <w:b/>
                <w:color w:val="FFFFFF"/>
                <w:sz w:val="17"/>
              </w:rPr>
              <w:t>Route</w:t>
            </w:r>
          </w:p>
        </w:tc>
        <w:tc>
          <w:tcPr>
            <w:tcW w:type="dxa" w:w="1394"/>
            <w:shd w:val="clear" w:color="auto" w:fill="10375C"/>
          </w:tcPr>
          <w:p>
            <w:pPr>
              <w:spacing w:after="50" w:before="50"/>
            </w:pPr>
            <w:r>
              <w:rPr>
                <w:b/>
                <w:color w:val="FFFFFF"/>
                <w:sz w:val="17"/>
              </w:rPr>
              <w:t>Time</w:t>
            </w:r>
          </w:p>
        </w:tc>
      </w:tr>
      <w:tr>
        <w:tc>
          <w:tcPr>
            <w:tcW w:type="dxa" w:w="4008"/>
          </w:tcPr>
          <w:p>
            <w:pPr>
              <w:spacing w:after="50" w:before="50" w:line="252" w:lineRule="auto"/>
            </w:pPr>
            <w:r>
              <w:rPr>
                <w:sz w:val="17"/>
              </w:rPr>
              <w:t>Programme quality, trainer, materials, facilities</w:t>
            </w:r>
          </w:p>
        </w:tc>
        <w:tc>
          <w:tcPr>
            <w:tcW w:type="dxa" w:w="4066"/>
          </w:tcPr>
          <w:p>
            <w:pPr>
              <w:spacing w:after="50" w:before="50" w:line="252" w:lineRule="auto"/>
            </w:pPr>
            <w:r>
              <w:rPr>
                <w:sz w:val="17"/>
              </w:rPr>
              <w:t>Operations Manager</w:t>
            </w:r>
          </w:p>
        </w:tc>
        <w:tc>
          <w:tcPr>
            <w:tcW w:type="dxa" w:w="1394"/>
          </w:tcPr>
          <w:p>
            <w:pPr>
              <w:spacing w:after="50" w:before="50" w:line="252" w:lineRule="auto"/>
            </w:pPr>
            <w:r>
              <w:rPr>
                <w:sz w:val="17"/>
              </w:rPr>
              <w:t>3 working days</w:t>
            </w:r>
          </w:p>
        </w:tc>
      </w:tr>
      <w:tr>
        <w:tc>
          <w:tcPr>
            <w:tcW w:type="dxa" w:w="4008"/>
            <w:shd w:val="clear" w:color="auto" w:fill="EAF1F4"/>
          </w:tcPr>
          <w:p>
            <w:pPr>
              <w:spacing w:after="50" w:before="50" w:line="252" w:lineRule="auto"/>
            </w:pPr>
            <w:r>
              <w:rPr>
                <w:sz w:val="17"/>
              </w:rPr>
              <w:t>Assessment</w:t>
            </w:r>
          </w:p>
        </w:tc>
        <w:tc>
          <w:tcPr>
            <w:tcW w:type="dxa" w:w="4066"/>
            <w:shd w:val="clear" w:color="auto" w:fill="EAF1F4"/>
          </w:tcPr>
          <w:p>
            <w:pPr>
              <w:spacing w:after="50" w:before="50" w:line="252" w:lineRule="auto"/>
            </w:pPr>
            <w:r>
              <w:rPr>
                <w:sz w:val="17"/>
              </w:rPr>
              <w:t>Assessment appeals procedure in 05.7</w:t>
            </w:r>
          </w:p>
        </w:tc>
        <w:tc>
          <w:tcPr>
            <w:tcW w:type="dxa" w:w="1394"/>
            <w:shd w:val="clear" w:color="auto" w:fill="EAF1F4"/>
          </w:tcPr>
          <w:p>
            <w:pPr>
              <w:spacing w:after="50" w:before="50" w:line="252" w:lineRule="auto"/>
            </w:pPr>
            <w:r>
              <w:rPr>
                <w:sz w:val="17"/>
              </w:rPr>
              <w:t>Per that procedure</w:t>
            </w:r>
          </w:p>
        </w:tc>
      </w:tr>
      <w:tr>
        <w:tc>
          <w:tcPr>
            <w:tcW w:type="dxa" w:w="4008"/>
          </w:tcPr>
          <w:p>
            <w:pPr>
              <w:spacing w:after="50" w:before="50" w:line="252" w:lineRule="auto"/>
            </w:pPr>
            <w:r>
              <w:rPr>
                <w:sz w:val="17"/>
              </w:rPr>
              <w:t>Fees, refunds, certification</w:t>
            </w:r>
          </w:p>
        </w:tc>
        <w:tc>
          <w:tcPr>
            <w:tcW w:type="dxa" w:w="4066"/>
          </w:tcPr>
          <w:p>
            <w:pPr>
              <w:spacing w:after="50" w:before="50" w:line="252" w:lineRule="auto"/>
            </w:pPr>
            <w:r>
              <w:rPr>
                <w:sz w:val="17"/>
              </w:rPr>
              <w:t>Finance, then Programme Director</w:t>
            </w:r>
          </w:p>
        </w:tc>
        <w:tc>
          <w:tcPr>
            <w:tcW w:type="dxa" w:w="1394"/>
          </w:tcPr>
          <w:p>
            <w:pPr>
              <w:spacing w:after="50" w:before="50" w:line="252" w:lineRule="auto"/>
            </w:pPr>
            <w:r>
              <w:rPr>
                <w:sz w:val="17"/>
              </w:rPr>
              <w:t>10 working days</w:t>
            </w:r>
          </w:p>
        </w:tc>
      </w:tr>
      <w:tr>
        <w:tc>
          <w:tcPr>
            <w:tcW w:type="dxa" w:w="4008"/>
            <w:shd w:val="clear" w:color="auto" w:fill="EAF1F4"/>
          </w:tcPr>
          <w:p>
            <w:pPr>
              <w:spacing w:after="50" w:before="50" w:line="252" w:lineRule="auto"/>
            </w:pPr>
            <w:r>
              <w:rPr>
                <w:sz w:val="17"/>
              </w:rPr>
              <w:t>Conduct of an Equator person</w:t>
            </w:r>
          </w:p>
        </w:tc>
        <w:tc>
          <w:tcPr>
            <w:tcW w:type="dxa" w:w="4066"/>
            <w:shd w:val="clear" w:color="auto" w:fill="EAF1F4"/>
          </w:tcPr>
          <w:p>
            <w:pPr>
              <w:spacing w:after="50" w:before="50" w:line="252" w:lineRule="auto"/>
            </w:pPr>
            <w:r>
              <w:rPr>
                <w:sz w:val="17"/>
              </w:rPr>
              <w:t>Programme Director</w:t>
            </w:r>
          </w:p>
        </w:tc>
        <w:tc>
          <w:tcPr>
            <w:tcW w:type="dxa" w:w="1394"/>
            <w:shd w:val="clear" w:color="auto" w:fill="EAF1F4"/>
          </w:tcPr>
          <w:p>
            <w:pPr>
              <w:spacing w:after="50" w:before="50" w:line="252" w:lineRule="auto"/>
            </w:pPr>
            <w:r>
              <w:rPr>
                <w:sz w:val="17"/>
              </w:rPr>
              <w:t>10 working days</w:t>
            </w:r>
          </w:p>
        </w:tc>
      </w:tr>
      <w:tr>
        <w:tc>
          <w:tcPr>
            <w:tcW w:type="dxa" w:w="4008"/>
          </w:tcPr>
          <w:p>
            <w:pPr>
              <w:spacing w:after="50" w:before="50" w:line="252" w:lineRule="auto"/>
            </w:pPr>
            <w:r>
              <w:rPr>
                <w:sz w:val="17"/>
              </w:rPr>
              <w:t>Harassment, discrimination, safeguarding</w:t>
            </w:r>
          </w:p>
        </w:tc>
        <w:tc>
          <w:tcPr>
            <w:tcW w:type="dxa" w:w="4066"/>
          </w:tcPr>
          <w:p>
            <w:pPr>
              <w:spacing w:after="50" w:before="50" w:line="252" w:lineRule="auto"/>
            </w:pPr>
            <w:r>
              <w:rPr>
                <w:b/>
                <w:sz w:val="17"/>
              </w:rPr>
              <w:t>Direct to the Programme Director; bypasses all other stages</w:t>
            </w:r>
          </w:p>
        </w:tc>
        <w:tc>
          <w:tcPr>
            <w:tcW w:type="dxa" w:w="1394"/>
          </w:tcPr>
          <w:p>
            <w:pPr>
              <w:spacing w:after="50" w:before="50" w:line="252" w:lineRule="auto"/>
            </w:pPr>
            <w:r>
              <w:rPr>
                <w:sz w:val="17"/>
              </w:rPr>
              <w:t>Immediate</w:t>
            </w:r>
          </w:p>
        </w:tc>
      </w:tr>
      <w:tr>
        <w:tc>
          <w:tcPr>
            <w:tcW w:type="dxa" w:w="4008"/>
            <w:shd w:val="clear" w:color="auto" w:fill="EAF1F4"/>
          </w:tcPr>
          <w:p>
            <w:pPr>
              <w:spacing w:after="50" w:before="50" w:line="252" w:lineRule="auto"/>
            </w:pPr>
            <w:r>
              <w:rPr>
                <w:sz w:val="17"/>
              </w:rPr>
              <w:t>Anything the student does not wish to raise internally</w:t>
            </w:r>
          </w:p>
        </w:tc>
        <w:tc>
          <w:tcPr>
            <w:tcW w:type="dxa" w:w="4066"/>
            <w:shd w:val="clear" w:color="auto" w:fill="EAF1F4"/>
          </w:tcPr>
          <w:p>
            <w:pPr>
              <w:spacing w:after="50" w:before="50" w:line="252" w:lineRule="auto"/>
            </w:pPr>
            <w:r>
              <w:rPr>
                <w:sz w:val="17"/>
              </w:rPr>
              <w:t>Confidential contact [●]</w:t>
            </w:r>
          </w:p>
        </w:tc>
        <w:tc>
          <w:tcPr>
            <w:tcW w:type="dxa" w:w="1394"/>
            <w:shd w:val="clear" w:color="auto" w:fill="EAF1F4"/>
          </w:tcPr>
          <w:p>
            <w:pPr>
              <w:spacing w:after="50" w:before="50" w:line="252" w:lineRule="auto"/>
            </w:pPr>
            <w:r>
              <w:rPr>
                <w:sz w:val="17"/>
              </w:rPr>
              <w:t>—</w:t>
            </w:r>
          </w:p>
        </w:tc>
      </w:tr>
    </w:tbl>
    <w:p>
      <w:pPr>
        <w:spacing w:after="80" w:before="0"/>
      </w:pPr>
    </w:p>
    <w:p>
      <w:r>
        <w:rPr>
          <w:b/>
        </w:rPr>
        <w:t>Principles.</w:t>
      </w:r>
      <w:r>
        <w:t xml:space="preserve"> Every grievance is acknowledged within two working days and recorded, whatever its apparent seriousness. No student is disadvantaged for raising one. A student may be accompanied. The outcome is given in writing with reasons. The grievance log is reviewed quarterly for patterns.</w:t>
      </w:r>
    </w:p>
    <w:p>
      <w:pPr>
        <w:spacing w:before="80" w:after="160"/>
        <w:pBdr>
          <w:bottom w:val="single" w:sz="6" w:space="1" w:color="C9D6DE"/>
        </w:pBdr>
      </w:pPr>
    </w:p>
    <w:p>
      <w:pPr>
        <w:pStyle w:val="Heading1"/>
        <w:pBdr>
          <w:bottom w:val="single" w:sz="8" w:space="4" w:color="C9D6DE"/>
        </w:pBdr>
      </w:pPr>
      <w:r>
        <w:t>9. Children</w:t>
      </w:r>
    </w:p>
    <w:p>
      <w:r>
        <w:t>Where any activity involves participants under eighteen — school outreach, cascade programmes, school competitions: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Requirement</w:t>
            </w:r>
          </w:p>
        </w:tc>
      </w:tr>
      <w:tr>
        <w:tc>
          <w:tcPr>
            <w:tcW w:type="dxa" w:w="9468"/>
          </w:tcPr>
          <w:p>
            <w:pPr>
              <w:spacing w:after="50" w:before="50" w:line="252" w:lineRule="auto"/>
            </w:pPr>
            <w:r>
              <w:rPr>
                <w:sz w:val="17"/>
              </w:rPr>
              <w:t>Verifiable consent of a parent or lawful guardian before any participation or data processing</w:t>
            </w:r>
          </w:p>
        </w:tc>
      </w:tr>
      <w:tr>
        <w:tc>
          <w:tcPr>
            <w:tcW w:type="dxa" w:w="9468"/>
            <w:shd w:val="clear" w:color="auto" w:fill="EAF1F4"/>
          </w:tcPr>
          <w:p>
            <w:pPr>
              <w:spacing w:after="50" w:before="50" w:line="252" w:lineRule="auto"/>
            </w:pPr>
            <w:r>
              <w:rPr>
                <w:b/>
                <w:sz w:val="17"/>
              </w:rPr>
              <w:t>The two-adult rule, without exception</w:t>
            </w:r>
          </w:p>
        </w:tc>
      </w:tr>
      <w:tr>
        <w:tc>
          <w:tcPr>
            <w:tcW w:type="dxa" w:w="9468"/>
          </w:tcPr>
          <w:p>
            <w:pPr>
              <w:spacing w:after="50" w:before="50" w:line="252" w:lineRule="auto"/>
            </w:pPr>
            <w:r>
              <w:rPr>
                <w:sz w:val="17"/>
              </w:rPr>
              <w:t>Wherever practicable, operate through the school as the responsible body rather than directly</w:t>
            </w:r>
          </w:p>
        </w:tc>
      </w:tr>
      <w:tr>
        <w:tc>
          <w:tcPr>
            <w:tcW w:type="dxa" w:w="9468"/>
            <w:shd w:val="clear" w:color="auto" w:fill="EAF1F4"/>
          </w:tcPr>
          <w:p>
            <w:pPr>
              <w:spacing w:after="50" w:before="50" w:line="252" w:lineRule="auto"/>
            </w:pPr>
            <w:r>
              <w:rPr>
                <w:sz w:val="17"/>
              </w:rPr>
              <w:t>Supervision ratio agreed in writing in advance</w:t>
            </w:r>
          </w:p>
        </w:tc>
      </w:tr>
      <w:tr>
        <w:tc>
          <w:tcPr>
            <w:tcW w:type="dxa" w:w="9468"/>
          </w:tcPr>
          <w:p>
            <w:pPr>
              <w:spacing w:after="50" w:before="50" w:line="252" w:lineRule="auto"/>
            </w:pPr>
            <w:r>
              <w:rPr>
                <w:sz w:val="17"/>
              </w:rPr>
              <w:t>No one-to-one contact, no personal contact details exchanged, no private messaging</w:t>
            </w:r>
          </w:p>
        </w:tc>
      </w:tr>
      <w:tr>
        <w:tc>
          <w:tcPr>
            <w:tcW w:type="dxa" w:w="9468"/>
            <w:shd w:val="clear" w:color="auto" w:fill="EAF1F4"/>
          </w:tcPr>
          <w:p>
            <w:pPr>
              <w:spacing w:after="50" w:before="50" w:line="252" w:lineRule="auto"/>
            </w:pPr>
            <w:r>
              <w:rPr>
                <w:sz w:val="17"/>
              </w:rPr>
              <w:t>No photography without specific guardian consent</w:t>
            </w:r>
          </w:p>
        </w:tc>
      </w:tr>
      <w:tr>
        <w:tc>
          <w:tcPr>
            <w:tcW w:type="dxa" w:w="9468"/>
          </w:tcPr>
          <w:p>
            <w:pPr>
              <w:spacing w:after="50" w:before="50" w:line="252" w:lineRule="auto"/>
            </w:pPr>
            <w:r>
              <w:rPr>
                <w:sz w:val="17"/>
              </w:rPr>
              <w:t>Medical and emergency information collected in advance</w:t>
            </w:r>
          </w:p>
        </w:tc>
      </w:tr>
      <w:tr>
        <w:tc>
          <w:tcPr>
            <w:tcW w:type="dxa" w:w="9468"/>
            <w:shd w:val="clear" w:color="auto" w:fill="EAF1F4"/>
          </w:tcPr>
          <w:p>
            <w:pPr>
              <w:spacing w:after="50" w:before="50" w:line="252" w:lineRule="auto"/>
            </w:pPr>
            <w:r>
              <w:rPr>
                <w:sz w:val="17"/>
              </w:rPr>
              <w:t>Content reviewed for age-appropriateness</w:t>
            </w:r>
          </w:p>
        </w:tc>
      </w:tr>
      <w:tr>
        <w:tc>
          <w:tcPr>
            <w:tcW w:type="dxa" w:w="9468"/>
          </w:tcPr>
          <w:p>
            <w:pPr>
              <w:spacing w:after="50" w:before="50" w:line="252" w:lineRule="auto"/>
            </w:pPr>
            <w:r>
              <w:rPr>
                <w:sz w:val="17"/>
              </w:rPr>
              <w:t>Every adult briefed on this section specifically</w:t>
            </w:r>
          </w:p>
        </w:tc>
      </w:tr>
      <w:tr>
        <w:tc>
          <w:tcPr>
            <w:tcW w:type="dxa" w:w="9468"/>
            <w:shd w:val="clear" w:color="auto" w:fill="EAF1F4"/>
          </w:tcPr>
          <w:p>
            <w:pPr>
              <w:spacing w:after="50" w:before="50" w:line="252" w:lineRule="auto"/>
            </w:pPr>
            <w:r>
              <w:rPr>
                <w:sz w:val="17"/>
              </w:rPr>
              <w:t>Any concern escalated to the school and to the Programme Director the same day</w:t>
            </w:r>
          </w:p>
        </w:tc>
      </w:tr>
    </w:tbl>
    <w:p>
      <w:pPr>
        <w:spacing w:after="80" w:before="0"/>
      </w:pPr>
    </w:p>
    <w:p>
      <w:pPr>
        <w:spacing w:before="80" w:after="160"/>
        <w:pBdr>
          <w:bottom w:val="single" w:sz="6" w:space="1" w:color="C9D6DE"/>
        </w:pBdr>
      </w:pPr>
    </w:p>
    <w:p>
      <w:pPr>
        <w:pStyle w:val="Heading1"/>
        <w:pBdr>
          <w:bottom w:val="single" w:sz="8" w:space="4" w:color="C9D6DE"/>
        </w:pBdr>
      </w:pPr>
      <w:r>
        <w:t>10. Records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21"/>
            <w:shd w:val="clear" w:color="auto" w:fill="10375C"/>
          </w:tcPr>
          <w:p>
            <w:pPr>
              <w:spacing w:after="50" w:before="50"/>
            </w:pPr>
            <w:r>
              <w:rPr>
                <w:b/>
                <w:color w:val="FFFFFF"/>
                <w:sz w:val="17"/>
              </w:rPr>
              <w:t>Record</w:t>
            </w:r>
          </w:p>
        </w:tc>
        <w:tc>
          <w:tcPr>
            <w:tcW w:type="dxa" w:w="4747"/>
            <w:shd w:val="clear" w:color="auto" w:fill="10375C"/>
          </w:tcPr>
          <w:p>
            <w:pPr>
              <w:spacing w:after="50" w:before="50"/>
            </w:pPr>
            <w:r>
              <w:rPr>
                <w:b/>
                <w:color w:val="FFFFFF"/>
                <w:sz w:val="17"/>
              </w:rPr>
              <w:t>Retention</w:t>
            </w:r>
          </w:p>
        </w:tc>
      </w:tr>
      <w:tr>
        <w:tc>
          <w:tcPr>
            <w:tcW w:type="dxa" w:w="4721"/>
          </w:tcPr>
          <w:p>
            <w:pPr>
              <w:spacing w:after="50" w:before="50" w:line="252" w:lineRule="auto"/>
            </w:pPr>
            <w:r>
              <w:rPr>
                <w:sz w:val="17"/>
              </w:rPr>
              <w:t>Safeguarding incident reports</w:t>
            </w:r>
          </w:p>
        </w:tc>
        <w:tc>
          <w:tcPr>
            <w:tcW w:type="dxa" w:w="4747"/>
          </w:tcPr>
          <w:p>
            <w:pPr>
              <w:spacing w:after="50" w:before="50" w:line="252" w:lineRule="auto"/>
            </w:pPr>
            <w:r>
              <w:rPr>
                <w:b/>
                <w:sz w:val="17"/>
              </w:rPr>
              <w:t>Permanent</w:t>
            </w:r>
          </w:p>
        </w:tc>
      </w:tr>
      <w:tr>
        <w:tc>
          <w:tcPr>
            <w:tcW w:type="dxa" w:w="4721"/>
            <w:shd w:val="clear" w:color="auto" w:fill="EAF1F4"/>
          </w:tcPr>
          <w:p>
            <w:pPr>
              <w:spacing w:after="50" w:before="50" w:line="252" w:lineRule="auto"/>
            </w:pPr>
            <w:r>
              <w:rPr>
                <w:sz w:val="17"/>
              </w:rPr>
              <w:t>POSH complaints and outcomes</w:t>
            </w:r>
          </w:p>
        </w:tc>
        <w:tc>
          <w:tcPr>
            <w:tcW w:type="dxa" w:w="4747"/>
            <w:shd w:val="clear" w:color="auto" w:fill="EAF1F4"/>
          </w:tcPr>
          <w:p>
            <w:pPr>
              <w:spacing w:after="50" w:before="50" w:line="252" w:lineRule="auto"/>
            </w:pPr>
            <w:r>
              <w:rPr>
                <w:sz w:val="17"/>
              </w:rPr>
              <w:t>Per statute; minimum 7 years</w:t>
            </w:r>
          </w:p>
        </w:tc>
      </w:tr>
      <w:tr>
        <w:tc>
          <w:tcPr>
            <w:tcW w:type="dxa" w:w="4721"/>
          </w:tcPr>
          <w:p>
            <w:pPr>
              <w:spacing w:after="50" w:before="50" w:line="252" w:lineRule="auto"/>
            </w:pPr>
            <w:r>
              <w:rPr>
                <w:sz w:val="17"/>
              </w:rPr>
              <w:t>Grievance log</w:t>
            </w:r>
          </w:p>
        </w:tc>
        <w:tc>
          <w:tcPr>
            <w:tcW w:type="dxa" w:w="4747"/>
          </w:tcPr>
          <w:p>
            <w:pPr>
              <w:spacing w:after="50" w:before="50" w:line="252" w:lineRule="auto"/>
            </w:pPr>
            <w:r>
              <w:rPr>
                <w:sz w:val="17"/>
              </w:rPr>
              <w:t>7 years</w:t>
            </w:r>
          </w:p>
        </w:tc>
      </w:tr>
      <w:tr>
        <w:tc>
          <w:tcPr>
            <w:tcW w:type="dxa" w:w="4721"/>
            <w:shd w:val="clear" w:color="auto" w:fill="EAF1F4"/>
          </w:tcPr>
          <w:p>
            <w:pPr>
              <w:spacing w:after="50" w:before="50" w:line="252" w:lineRule="auto"/>
            </w:pPr>
            <w:r>
              <w:rPr>
                <w:sz w:val="17"/>
              </w:rPr>
              <w:t>Consent forms including guardian consent</w:t>
            </w:r>
          </w:p>
        </w:tc>
        <w:tc>
          <w:tcPr>
            <w:tcW w:type="dxa" w:w="4747"/>
            <w:shd w:val="clear" w:color="auto" w:fill="EAF1F4"/>
          </w:tcPr>
          <w:p>
            <w:pPr>
              <w:spacing w:after="50" w:before="50" w:line="252" w:lineRule="auto"/>
            </w:pPr>
            <w:r>
              <w:rPr>
                <w:sz w:val="17"/>
              </w:rPr>
              <w:t>Until 3 years after the participant attains majority</w:t>
            </w:r>
          </w:p>
        </w:tc>
      </w:tr>
      <w:tr>
        <w:tc>
          <w:tcPr>
            <w:tcW w:type="dxa" w:w="4721"/>
          </w:tcPr>
          <w:p>
            <w:pPr>
              <w:spacing w:after="50" w:before="50" w:line="252" w:lineRule="auto"/>
            </w:pPr>
            <w:r>
              <w:rPr>
                <w:sz w:val="17"/>
              </w:rPr>
              <w:t>Training records</w:t>
            </w:r>
          </w:p>
        </w:tc>
        <w:tc>
          <w:tcPr>
            <w:tcW w:type="dxa" w:w="4747"/>
          </w:tcPr>
          <w:p>
            <w:pPr>
              <w:spacing w:after="50" w:before="50" w:line="252" w:lineRule="auto"/>
            </w:pPr>
            <w:r>
              <w:rPr>
                <w:sz w:val="17"/>
              </w:rPr>
              <w:t>5 years</w:t>
            </w:r>
          </w:p>
        </w:tc>
      </w:tr>
      <w:tr>
        <w:tc>
          <w:tcPr>
            <w:tcW w:type="dxa" w:w="4721"/>
            <w:shd w:val="clear" w:color="auto" w:fill="EAF1F4"/>
          </w:tcPr>
          <w:p>
            <w:pPr>
              <w:spacing w:after="50" w:before="50" w:line="252" w:lineRule="auto"/>
            </w:pPr>
            <w:r>
              <w:rPr>
                <w:sz w:val="17"/>
              </w:rPr>
              <w:t>Post-incident reviews</w:t>
            </w:r>
          </w:p>
        </w:tc>
        <w:tc>
          <w:tcPr>
            <w:tcW w:type="dxa" w:w="4747"/>
            <w:shd w:val="clear" w:color="auto" w:fill="EAF1F4"/>
          </w:tcPr>
          <w:p>
            <w:pPr>
              <w:spacing w:after="50" w:before="50" w:line="252" w:lineRule="auto"/>
            </w:pPr>
            <w:r>
              <w:rPr>
                <w:sz w:val="17"/>
              </w:rPr>
              <w:t>Permanent</w:t>
            </w:r>
          </w:p>
        </w:tc>
      </w:tr>
    </w:tbl>
    <w:p>
      <w:pPr>
        <w:spacing w:after="80" w:before="0"/>
      </w:pPr>
    </w:p>
    <w:p>
      <w:r>
        <w:t>Safeguarding records are held securely with access restricted to the Programme Director, the Managing Director, the General Counsel and the Data Protection Officer.</w:t>
      </w:r>
    </w:p>
    <w:p>
      <w:pPr>
        <w:spacing w:before="80" w:after="160"/>
        <w:pBdr>
          <w:bottom w:val="single" w:sz="6" w:space="1" w:color="C9D6DE"/>
        </w:pBdr>
      </w:pPr>
    </w:p>
    <w:p>
      <w:pPr>
        <w:pStyle w:val="Heading1"/>
        <w:pBdr>
          <w:bottom w:val="single" w:sz="8" w:space="4" w:color="C9D6DE"/>
        </w:pBdr>
      </w:pPr>
      <w:r>
        <w:t>11. Summary for participants</w:t>
      </w:r>
    </w:p>
    <w:p>
      <w:r>
        <w:rPr>
          <w:i/>
        </w:rPr>
        <w:t>Published in every participant pack and on the registration page.</w:t>
      </w:r>
    </w:p>
    <w:p>
      <w:pPr>
        <w:spacing w:before="140" w:after="20"/>
        <w:ind w:left="198" w:right="113"/>
        <w:shd w:val="clear" w:color="auto" w:fill="EAF1F4"/>
        <w:pBdr>
          <w:left w:val="single" w:sz="18" w:space="6" w:color="0E7C7B"/>
        </w:pBdr>
      </w:pPr>
      <w:r>
        <w:rPr>
          <w:b/>
          <w:sz w:val="19"/>
        </w:rPr>
        <w:t>Your safety matters more to us than the programme does.</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You may decline any exercise, at any time, without giving a reason, and without any consequence.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If anything makes you uncomfortable — something in a session, something someone says, or the way you are treated — tell the trainer, or contact </w:t>
      </w:r>
      <w:r>
        <w:rPr>
          <w:b/>
          <w:sz w:val="19"/>
        </w:rPr>
        <w:t>[●]</w:t>
      </w:r>
      <w:r>
        <w:rPr>
          <w:sz w:val="19"/>
        </w:rPr>
        <w:t xml:space="preserve"> directly. You will be listened to, you will be taken seriously, and you will not be disadvantaged for speaking up.</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sz w:val="19"/>
        </w:rPr>
        <w:t xml:space="preserve">If you wish to raise something confidentially, contact </w:t>
      </w:r>
      <w:r>
        <w:rPr>
          <w:b/>
          <w:sz w:val="19"/>
        </w:rPr>
        <w:t>[●]</w:t>
      </w:r>
      <w:r>
        <w:rPr>
          <w:sz w:val="19"/>
        </w:rPr>
        <w: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Safeguarding, POSH &amp; Student Grievance Policy</w:t>
    </w:r>
    <w:r>
      <w:rPr>
        <w:rFonts w:ascii="Calibri" w:hAnsi="Calibri"/>
        <w:color w:val="595959"/>
        <w:sz w:val="16"/>
      </w:rPr>
      <w:tab/>
      <w:t>Confidential — Internal; summary published to participants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6E7448C-409B-41B6-9E9B-683DF2FEF6ED}"/>
</file>

<file path=customXml/itemProps3.xml><?xml version="1.0" encoding="utf-8"?>
<ds:datastoreItem xmlns:ds="http://schemas.openxmlformats.org/officeDocument/2006/customXml" ds:itemID="{559B8C76-FC89-4888-A056-FA9A19193071}"/>
</file>

<file path=customXml/itemProps4.xml><?xml version="1.0" encoding="utf-8"?>
<ds:datastoreItem xmlns:ds="http://schemas.openxmlformats.org/officeDocument/2006/customXml" ds:itemID="{8A41F12C-03FE-4069-BA03-C68E6AE108F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